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4" w:type="dxa"/>
        <w:tblInd w:w="-212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15"/>
        <w:gridCol w:w="1060"/>
        <w:gridCol w:w="968"/>
        <w:gridCol w:w="472"/>
        <w:gridCol w:w="2078"/>
        <w:gridCol w:w="150"/>
        <w:gridCol w:w="2940"/>
        <w:gridCol w:w="747"/>
        <w:gridCol w:w="141"/>
      </w:tblGrid>
      <w:tr>
        <w:trPr>
          <w:trHeight w:val="336"/>
        </w:trPr>
        <w:tc>
          <w:tcPr>
            <w:tcW w:w="9471" w:type="dxa"/>
            <w:gridSpan w:val="9"/>
            <w:tcBorders>
              <w:top w:val="none"/>
              <w:left w:val="none"/>
              <w:bottom w:val="none"/>
              <w:right w:val="none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jc w:val="left"/>
              <w:rPr>
                <w:rFonts w:ascii="Times New Roman Regular" w:hAnsi="Times New Roman Regular" w:eastAsia="方正黑体简体" w:cs="Times New Roman Regular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 Regular" w:hAnsi="Times New Roman Regular" w:eastAsia="方正黑体简体" w:cs="Times New Roman Regular"/>
                <w:color w:val="000000"/>
                <w:sz w:val="32"/>
                <w:szCs w:val="32"/>
                <w:lang w:bidi="ar"/>
              </w:rPr>
              <w:t xml:space="preserve">附件5</w:t>
            </w:r>
            <w:r>
              <w:rPr>
                <w:rFonts w:ascii="Times New Roman Regular" w:hAnsi="Times New Roman Regular" w:eastAsia="方正黑体简体" w:cs="Times New Roman Regular"/>
                <w:color w:val="000000"/>
                <w:sz w:val="32"/>
                <w:szCs w:val="32"/>
                <w:lang w:bidi="ar"/>
              </w:rPr>
            </w:r>
          </w:p>
          <w:p>
            <w:pPr>
              <w:pStyle w:val="Normal"/>
              <w:widowControl/>
              <w:jc w:val="left"/>
              <w:rPr>
                <w:rFonts w:ascii="Times New Roman Regular" w:hAnsi="Times New Roman Regular" w:eastAsia="方正黑体简体" w:cs="Times New Roman Regular"/>
                <w:color w:val="000000"/>
                <w:sz w:val="11"/>
                <w:szCs w:val="11"/>
                <w:lang w:bidi="ar"/>
              </w:rPr>
            </w:pPr>
            <w:r>
              <w:rPr>
                <w:rFonts w:ascii="Times New Roman Regular" w:hAnsi="Times New Roman Regular" w:eastAsia="方正黑体简体" w:cs="Times New Roman Regular"/>
                <w:color w:val="000000"/>
                <w:sz w:val="11"/>
                <w:szCs w:val="11"/>
                <w:lang w:bidi="ar"/>
              </w:rPr>
            </w:r>
          </w:p>
        </w:tc>
      </w:tr>
      <w:tr>
        <w:trPr>
          <w:trHeight w:val="520"/>
        </w:trPr>
        <w:tc>
          <w:tcPr>
            <w:tcW w:w="9330" w:type="dxa"/>
            <w:gridSpan w:val="8"/>
            <w:tcBorders>
              <w:top w:val="none"/>
              <w:left w:val="none"/>
              <w:bottom w:val="none"/>
              <w:right w:val="none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小标宋简体" w:eastAsia="方正小标宋简体" w:cs="黑体"/>
                <w:color w:val="000000"/>
                <w:sz w:val="36"/>
                <w:szCs w:val="36"/>
                <w:lang w:bidi="ar-SA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 xml:space="preserve">202</w:t>
            </w:r>
            <w:r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 xml:space="preserve">3</w:t>
            </w:r>
            <w:r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 xml:space="preserve">年市级部门整体支出绩效评价指标体系</w:t>
            </w:r>
            <w:r>
              <w:rPr>
                <w:rFonts w:hint="eastAsia" w:ascii="方正小标宋简体" w:eastAsia="方正小标宋简体" w:cs="黑体"/>
                <w:color w:val="000000"/>
                <w:sz w:val="36"/>
                <w:szCs w:val="36"/>
                <w:lang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一级　指标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二级指标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三级指标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分值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评价内容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评价标准及计算方法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评价得分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</w:tr>
      <w:tr>
        <w:trPr>
          <w:trHeight w:val="336"/>
        </w:trPr>
        <w:tc>
          <w:tcPr>
            <w:tcW w:w="8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jc w:val="center"/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  <w:t xml:space="preserve">评价得分</w:t>
            </w: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rFonts w:ascii="方正仿宋简体" w:eastAsia="方正仿宋简体" w:cs="方正仿宋简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 xml:space="preserve">97</w:t>
            </w:r>
            <w:r>
              <w:rPr>
                <w:rFonts w:ascii="方正仿宋简体" w:eastAsia="方正仿宋简体" w:cs="方正仿宋简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680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基础工作管理（15分）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组织机构完善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岗位设置合理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成立各种相应的组织机构及机构合理性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成立相应组织机构、内控岗位设置合理得2分，组织机构不健全、内控岗位设置不合理相应扣分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67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管理制度完善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内控制度建立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包括制定财政资金管理办法、内控制度，会计核算制度等管理制度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管理制度完善2分，制度不够完善相应扣分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8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内控制度合规性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部门制定的管理制度合法、合规、完整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制度合法、合规、完整2分，反之相应扣分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内控制度执行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部门制定的内控制度得到有效执行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有效执行2分，未能有效执行相应扣分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指标体系完善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指标体系完善程度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部门制定项目预算支出评价个性指标体系健全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个性指标体系健全2分，指标体系不够健全相应扣分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49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宣传培训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宣传培训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部门对绩效评价工作开展的宣传培训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开展了宣传培训1分，未能开展宣传培训相应扣分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2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会计核算及时性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会计核算及时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会计核算及时，日清月结的得1分，核算不及时的相应扣分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4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会计核算规范性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会计核算规范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会计核算规范、科目使用准确、原始发票及附件充分、分项目核算的得2分，否则相应扣分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4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会计档案管理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会计档案规范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会计档案整理规范的得1分，不规范的相应扣分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10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绩效目标管理（15分）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绩效目标合理性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合规性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绩效目标管理符合国家法律法规、国民经济和社会发展总体规划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绩效目标符合相关法规和总体规划1分，绩效目标不够合理的相应扣分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与工作衔接度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绩效目标符合部门“三定”方案确定的职责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绩效目标符合部分“三定”方案1分，不符合相应扣分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1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与中长期规划衔接度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绩效目标符合部门制定的中长期规划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绩效目标符合部门制定的中长期规划1分，不符合相应扣分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3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绩效目标覆盖率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绩效目标覆盖率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部门绩效目标覆盖率达到年度预算布置的要求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绩效目标覆盖率＝实际申报绩效目标项目资金额/部门项目预算资金总额×100%。每低于10个百分点扣1分，扣完为止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绩效指标明确性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绩效指标完整性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绩效目标申报表的填写完整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申报表填写完整2分，不完整相应扣分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绩效指标操作性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绩效指标设置清晰、可衡量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绩效指标设置清晰、可衡量2分，反之相应扣分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与预算资金匹配度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绩效指标与本年度部门预算资金相匹配 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绩效指标与资金相匹配2分，不完全匹配相应扣分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1200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绩效运行监控（15分）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预算完成率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部门预算支出完成率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部门预算支出完成程度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预算完成率＝[年度支出完成数/年度支出预算数（含调整预算及结转结余）]×100%。跨年度项目按工程进度或平均年度额分析计算。预算完成率90%及以上得2分。每低于要求5个百分点扣1分，扣完为止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114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项目预算执行率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部门预算项目执行率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部门项目预算执行调整程度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91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政府采购监管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预算执行率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部门政府采购预算执行情况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政府采购执行率=[实际政府采购金额/政府采购预算数（含调整预算）]×100%。政府采购预算执行偏差度在10%以内得1分，超过的不得分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49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财政审批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部门政府采购财政审批情况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应政府采购未采购的每发生一起扣0.5分，扣完该项得分为止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39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政府采购合规性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部门政府采购合规性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存在政府采购违规行为的该项不得分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103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三公经费控制率 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三公经费控制率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部门“三公经费”控制程度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“三公经费”控制率＝（“三公经费”实际支出数/“三公经费”预算数）×100%。“三公经费”控制率≤100%的得3分，每高于要求2个百分点扣1分，扣完为止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3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1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资产管理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资产管理信息系统建设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部门资产管理信息系统建设情况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考核部门和单位将国有资产纳入资产信息系统管理情况,已建好部门资产管理信息系统得1分，未建好不得分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5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资产清核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部门资产清理核实开展情况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考核部门和单位已按要求及时、真实、准确、全面开展资产清查、核实情况得1分，反之不得分；账实不合的按比例扣分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1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日常管理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部门资产登记、上报及管理情况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考核部门和单位已经对国有资产登记、上报，并出台管理办法、制度等措施得1分，差项按比例得分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预决算信息公开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预算信息公开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按规定内容、时限公开预算信息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按规定公开预算信息得1分，未按规定公开相应扣减分数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决算信息公开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1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按规定内容、时限公开决算信息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按规定公开决算信息得1分，未按规定公开相应扣减分数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1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1049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绩效评价实施（15分）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部门项目自评率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部门项目自评率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部门实施绩效评价项目覆盖情况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项目自评率＝自评项目数/项目总数×100%。按项目自评率得分（部门整体支出自评中列示项目的视为已自评）。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110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资金评价覆盖率  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资金评价覆盖率  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部门绩效评价项目资金覆盖情况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项目资金覆盖率=实施绩效评价项目资金额/部门项目预算资金总额×100%。绩效评价资金覆盖率100%得5分；每低于要求10个百分点扣1分，扣完为止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评价质量 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评价质量 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部门绩效评价质量情况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根据评价工作开展情况、评价报告质量、资料收集情况等综合评分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820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评价结　果应用　　（15分）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绩效信息公开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绩效信息公开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绩效信息公开情况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按《巴中市市级预算绩效信息公开规程》规定公开绩效信息的得3分，未按规定公开相应扣分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82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绩效管理问题整改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绩效管理问题整改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绩效管理问题整改情况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上年绩效评价发现的问题全面整改到位的得3分，没有全面整改到位的按比例得分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82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其他监督检查问题整改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其他监督检查问题整改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其他监督检查问题整改情况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各级巡视巡察、纪检监察、审计、财政监督检查等发现问题全面整改到位的得3分，没有全面整改到位的按比例得分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61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监督管理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绩效问责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按规定实施绩效问责情况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按规定实施绩效问责得3分，未按规定实施绩效问责相应扣分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70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项目及资金调整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项目及资金调整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根据绩效评价结果调整下年项目及金额情况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根据上年度绩效评价结果调整下年度项目及金额的得3分，未按规定调整的相应扣分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5</w:t>
            </w: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975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项目支出绩效管理（25分）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项目支出绩效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部门实施项目支出评价情况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按百分制形成的项目支出绩效评价分数换算成此项指标得分。有两个及以上专项预算项目的，以平均分作为得分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  <w:t xml:space="preserve">22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val="en-US" w:eastAsia="zh-CN"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绩效管理创新(+5分)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管理制度创新　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3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在绩效管理制度有创新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在绩效管理制度有创新或者发表相关研究文章的相应得分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</w:tr>
      <w:tr>
        <w:trPr>
          <w:trHeight w:val="560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工作推进创新　　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2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在工作推进中有创新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在推进自我评价、配合重点评价、完善个性指标体系方面的创新的相应得分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</w:tr>
      <w:tr>
        <w:trPr>
          <w:trHeight w:val="1100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监督发现问题 (-5分)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违规问题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-5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部门或个人存在违反财政监督管理等情况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各级巡视巡察、纪检监察、审计、财政监督检查等发现财政管理问题的，每发现一类问题扣1分（多个部门发现的同类问题不重复扣分），涉及金额或社会影响较大的扣2-5分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</w:tr>
      <w:tr>
        <w:trPr>
          <w:trHeight w:val="720"/>
        </w:trPr>
        <w:tc>
          <w:tcPr>
            <w:tcW w:w="2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扣分项（-5分）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-5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被评价单位配合评价工作情况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left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财政重点评价过程中，发现评价对像拖延推诿、提交资料不及时等不配合评价工作的，经报市财政局确认后每次扣1分，最高扣5分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</w:tr>
      <w:tr>
        <w:trPr>
          <w:trHeight w:val="445"/>
        </w:trPr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"/>
              </w:rPr>
              <w:t xml:space="preserve">评价结论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8"/>
                <w:szCs w:val="18"/>
                <w:lang w:bidi="ar-SA"/>
              </w:rPr>
            </w:r>
          </w:p>
        </w:tc>
        <w:tc>
          <w:tcPr>
            <w:tcW w:w="7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/>
              <w:spacing w:line="240" w:lineRule="exact"/>
              <w:jc w:val="center"/>
              <w:rPr>
                <w:rFonts w:ascii="Times New Roman Regular" w:hAnsi="Times New Roman Regular" w:eastAsia="方正仿宋简体" w:cs="Times New Roman Regular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 Regular" w:hAnsi="Times New Roman Regular" w:eastAsia="方正仿宋简体" w:cs="Times New Roman Regular"/>
                <w:color w:val="000000"/>
                <w:sz w:val="15"/>
                <w:szCs w:val="16"/>
                <w:lang w:bidi="ar"/>
              </w:rPr>
              <w:t xml:space="preserve">总评分（Ｘ）　优秀（Ｘ≥90分)　良好（90＞Ｘ≥75分）合格（75分＞Ｘ≥60分）　不合格（Ｘ＜60）分）</w:t>
            </w:r>
            <w:r>
              <w:rPr>
                <w:rFonts w:ascii="Times New Roman Regular" w:hAnsi="Times New Roman Regular" w:eastAsia="方正仿宋简体" w:cs="Times New Roman Regular"/>
                <w:color w:val="000000"/>
                <w:sz w:val="16"/>
                <w:szCs w:val="16"/>
                <w:lang w:bidi="ar-SA"/>
              </w:rPr>
            </w:r>
          </w:p>
        </w:tc>
      </w:tr>
    </w:tbl>
    <w:sectPr>
      <w:footerReference w:type="default" r:id="rId6"/>
      <w:type w:val="nextPage"/>
      <w:pgSz w:w="11906" w:h="16838"/>
      <w:pgMar w:top="2041" w:right="1531" w:bottom="1587" w:left="1531" w:header="851" w:footer="8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10601030101010101"/>
  </w:font>
  <w:font w:name="Times New Roman Regular">
    <w:panose1 w:val="02020603050405020304"/>
  </w:font>
  <w:font w:name="CESI宋体-GB13000">
    <w:panose1 w:val="03000509000000000000"/>
  </w:font>
  <w:font w:name="方正仿宋简体">
    <w:panose1 w:val="02010601030101010101"/>
  </w:font>
  <w:font w:name="黑体">
    <w:panose1 w:val="02010609060101010101"/>
  </w:font>
  <w:font w:name="Luxi Sans">
    <w:panose1 w:val="03000509000000000000"/>
  </w:font>
  <w:font w:name="宋体">
    <w:panose1 w:val="02010600030101010101"/>
  </w:font>
  <w:font w:name="Calibri">
    <w:panose1 w:val="020F0502020204030204"/>
  </w:font>
  <w:font w:name="方正黑体简体">
    <w:panose1 w:val="02010601030101010101"/>
  </w:font>
  <w:font w:name="??">
    <w:panose1 w:val="03000509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outside" w:y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153" w:leader="none"/>
        <w:tab w:val="right" w:pos="8306" w:leader="none"/>
      </w:tabs>
      <w:rPr>
        <w:rFonts w:hint="eastAsia" w:ascii="CESI宋体-GB13000" w:eastAsia="CESI宋体-GB13000"/>
        <w:b/>
        <w:bCs/>
        <w:sz w:val="28"/>
        <w:szCs w:val="28"/>
      </w:rPr>
    </w:pPr>
    <w:r>
      <w:rPr>
        <w:rStyle w:val="PageNumber"/>
        <w:rFonts w:hint="eastAsia" w:ascii="CESI宋体-GB13000" w:eastAsia="CESI宋体-GB13000"/>
        <w:b/>
        <w:bCs/>
        <w:sz w:val="28"/>
        <w:szCs w:val="28"/>
      </w:rPr>
      <w:fldChar w:fldCharType="begin"/>
    </w:r>
    <w:r>
      <w:rPr>
        <w:rStyle w:val="PageNumber"/>
        <w:rFonts w:hint="eastAsia" w:ascii="CESI宋体-GB13000" w:eastAsia="CESI宋体-GB13000"/>
        <w:b/>
        <w:bCs/>
        <w:sz w:val="28"/>
        <w:szCs w:val="28"/>
      </w:rPr>
      <w:instrText xml:space="preserve">Page</w:instrText>
    </w:r>
    <w:r>
      <w:rPr>
        <w:rStyle w:val="PageNumber"/>
        <w:rFonts w:hint="eastAsia" w:ascii="CESI宋体-GB13000" w:eastAsia="CESI宋体-GB13000"/>
        <w:b/>
        <w:bCs/>
        <w:sz w:val="28"/>
        <w:szCs w:val="28"/>
      </w:rPr>
      <w:fldChar w:fldCharType="separate"/>
    </w:r>
    <w:r>
      <w:rPr>
        <w:rStyle w:val="PageNumber"/>
        <w:rFonts w:hint="eastAsia" w:ascii="CESI宋体-GB13000" w:eastAsia="CESI宋体-GB13000"/>
        <w:b/>
        <w:bCs/>
        <w:sz w:val="28"/>
        <w:szCs w:val="28"/>
      </w:rPr>
      <w:t xml:space="preserve">- 1 -</w:t>
    </w:r>
    <w:r>
      <w:rPr>
        <w:rStyle w:val="PageNumber"/>
        <w:rFonts w:hint="eastAsia" w:ascii="CESI宋体-GB13000" w:eastAsia="CESI宋体-GB13000"/>
        <w:b/>
        <w:bCs/>
        <w:sz w:val="28"/>
        <w:szCs w:val="28"/>
      </w:rPr>
      <w:fldChar w:fldCharType="end"/>
    </w:r>
    <w:r>
      <w:rPr>
        <w:rFonts w:hint="eastAsia" w:ascii="CESI宋体-GB13000" w:eastAsia="CESI宋体-GB13000"/>
        <w:b/>
        <w:bCs/>
        <w:sz w:val="28"/>
        <w:szCs w:val="28"/>
      </w:rPr>
    </w:r>
  </w:p>
  <w:p>
    <w:pPr>
      <w:pStyle w:val="Footer"/>
      <w:tabs>
        <w:tab w:val="center" w:pos="4153" w:leader="none"/>
        <w:tab w:val="right" w:pos="8306" w:leader="none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WrapTextWithPunct w:val="true"/>
    <w:doNotUseEastAsianBreakRules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方正黑体简体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正文"/>
    <w:next w:val="Normal"/>
    <w:link w:val="Normal"/>
    <w:pPr>
      <w:widowControl w:val="off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Heading1">
    <w:name w:val="标题 1"/>
    <w:basedOn w:val="Normal"/>
    <w:next w:val="Normal"/>
    <w:link w:val="Normal"/>
    <w:pPr>
      <w:keepNext/>
      <w:keepLines/>
      <w:widowControl w:val="off"/>
      <w:spacing w:before="340" w:after="330" w:line="578" w:lineRule="auto"/>
      <w:outlineLvl w:val="0"/>
    </w:pPr>
    <w:rPr>
      <w:b/>
      <w:bCs/>
      <w:sz w:val="44"/>
    </w:rPr>
  </w:style>
  <w:style w:type="paragraph" w:styleId="Heading2">
    <w:name w:val="标题 2"/>
    <w:basedOn w:val="Normal"/>
    <w:next w:val="Normal"/>
    <w:link w:val="Normal"/>
    <w:pPr>
      <w:keepNext/>
      <w:keepLines/>
      <w:widowControl w:val="off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Heading3">
    <w:name w:val="标题 3"/>
    <w:basedOn w:val="Normal"/>
    <w:next w:val="Normal"/>
    <w:link w:val="Normal"/>
    <w:pPr>
      <w:keepNext/>
      <w:keepLines/>
      <w:widowControl w:val="off"/>
      <w:spacing w:before="260" w:after="260" w:line="415" w:lineRule="auto"/>
      <w:outlineLvl w:val="2"/>
    </w:pPr>
    <w:rPr>
      <w:b/>
      <w:sz w:val="32"/>
    </w:rPr>
  </w:style>
  <w:style w:type="character" w:styleId="NormalCharacter">
    <w:name w:val="默认段落字体"/>
    <w:next w:val="NormalCharacter"/>
    <w:link w:val="Normal"/>
  </w:style>
  <w:style w:type="table" w:styleId="TableNormal">
    <w:name w:val="普通表格"/>
    <w:next w:val="TableNormal"/>
    <w:link w:val="Normal"/>
    <w:semiHidden/>
    <w:qFormat/>
  </w:style>
  <w:style w:type="paragraph" w:styleId="Date">
    <w:name w:val="日期"/>
    <w:basedOn w:val="Normal"/>
    <w:next w:val="Normal"/>
    <w:link w:val="Normal"/>
    <w:pPr>
      <w:ind w:left="2500"/>
    </w:pPr>
  </w:style>
  <w:style w:type="paragraph" w:styleId="Footer">
    <w:name w:val="页脚"/>
    <w:basedOn w:val="Normal"/>
    <w:next w:val="Footer"/>
    <w:link w:val="Normal"/>
    <w:pPr>
      <w:tabs>
        <w:tab w:val="center" w:pos="4153" w:leader="none"/>
        <w:tab w:val="right" w:pos="8306" w:leader="none"/>
      </w:tabs>
      <w:jc w:val="left"/>
    </w:pPr>
    <w:rPr>
      <w:sz w:val="18"/>
    </w:rPr>
  </w:style>
  <w:style w:type="paragraph" w:styleId="Header">
    <w:name w:val="页眉"/>
    <w:basedOn w:val="Normal"/>
    <w:next w:val="Header"/>
    <w:link w:val="Normal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 w:leader="none"/>
        <w:tab w:val="right" w:pos="8306" w:leader="none"/>
      </w:tabs>
    </w:pPr>
    <w:rPr>
      <w:sz w:val="18"/>
    </w:rPr>
  </w:style>
  <w:style w:type="paragraph" w:styleId="HtmlPre">
    <w:name w:val="HTML 预设格式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宋体" w:eastAsia="宋体" w:cs="Times New Roman"/>
      <w:sz w:val="24"/>
      <w:lang w:bidi="ar-SA"/>
    </w:rPr>
  </w:style>
  <w:style w:type="character" w:styleId="PageNumber">
    <w:name w:val="页码"/>
    <w:basedOn w:val="NormalCharacter"/>
    <w:next w:val="PageNumber"/>
    <w:link w:val="Normal"/>
  </w:style>
  <w:style w:type="paragraph" w:styleId="UserStyle_0">
    <w:name w:val="四号正文"/>
    <w:basedOn w:val="Normal"/>
    <w:next w:val="UserStyle_0"/>
    <w:link w:val="Normal"/>
    <w:pPr>
      <w:spacing w:line="360" w:lineRule="auto"/>
    </w:pPr>
    <w:rPr>
      <w:rFonts w:ascii="??" w:hAnsi="??" w:cs="宋体"/>
      <w:color w:val="000000"/>
      <w:sz w:val="28"/>
      <w:szCs w:val="21"/>
      <w:lang w:bidi="ar-SA"/>
    </w:rPr>
  </w:style>
  <w:style w:type="character" w:styleId="UserStyle_1">
    <w:name w:val="font11"/>
    <w:basedOn w:val="NormalCharacter"/>
    <w:next w:val="UserStyle_1"/>
    <w:link w:val="Normal"/>
    <w:rPr>
      <w:rFonts w:ascii="宋体" w:eastAsia="宋体" w:cs="宋体"/>
      <w:color w:val="000000"/>
      <w:sz w:val="15"/>
      <w:szCs w:val="15"/>
      <w:u w:val="none"/>
      <w:lang w:bidi="ar-SA"/>
    </w:rPr>
  </w:style>
  <w:style w:type="character" w:styleId="UserStyle_2">
    <w:name w:val="font01"/>
    <w:basedOn w:val="NormalCharacter"/>
    <w:next w:val="UserStyle_2"/>
    <w:link w:val="Normal"/>
    <w:rPr>
      <w:rFonts w:ascii="宋体" w:eastAsia="宋体" w:cs="宋体"/>
      <w:b/>
      <w:bCs/>
      <w:color w:val="000000"/>
      <w:sz w:val="15"/>
      <w:szCs w:val="15"/>
      <w:u w:val="none"/>
      <w:lang w:bidi="ar-SA"/>
    </w:rPr>
  </w:style>
  <w:style w:type="character" w:styleId="UserStyle_3">
    <w:name w:val="font31"/>
    <w:basedOn w:val="NormalCharacter"/>
    <w:next w:val="UserStyle_3"/>
    <w:link w:val="Normal"/>
    <w:rPr>
      <w:rFonts w:ascii="方正仿宋简体" w:eastAsia="方正仿宋简体" w:cs="方正仿宋简体"/>
      <w:b/>
      <w:bCs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haracters>13901</Characters>
  <CharactersWithSpaces>13958</CharactersWithSpaces>
  <Pages>3</Pages>
  <ScaleCrop>false</ScaleCrop>
  <Words>13174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WPS_160</cp:lastModifiedBy>
  <cp:revision>2</cp:revision>
  <dcterms:created xsi:type="dcterms:W3CDTF">2023-05-17T10:24:00Z</dcterms:created>
  <dcterms:modified xsi:type="dcterms:W3CDTF">2024-05-31T08:28:00Z</dcterms:modified>
</cp:coreProperties>
</file>