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0" w:line="560" w:lineRule="exact"/>
        <w:rPr>
          <w:rFonts w:ascii="黑体" w:eastAsia="黑体"/>
        </w:rPr>
      </w:pPr>
      <w:r>
        <w:rPr>
          <w:rFonts w:hint="eastAsia" w:ascii="黑体" w:eastAsia="黑体"/>
        </w:rPr>
        <w:t>附件</w:t>
      </w:r>
      <w:r>
        <w:rPr>
          <w:rFonts w:ascii="黑体" w:eastAsia="黑体"/>
        </w:rPr>
        <w:t>1</w:t>
      </w:r>
    </w:p>
    <w:p>
      <w:pPr>
        <w:spacing w:line="560" w:lineRule="exact"/>
        <w:rPr>
          <w:rFonts w:hint="eastAsia"/>
        </w:rPr>
      </w:pPr>
    </w:p>
    <w:p>
      <w:pPr>
        <w:widowControl/>
        <w:spacing w:line="560" w:lineRule="exact"/>
        <w:jc w:val="center"/>
        <w:rPr>
          <w:rFonts w:ascii="方正小标宋简体" w:eastAsia="方正小标宋简体" w:cs="宋体"/>
          <w:kern w:val="0"/>
          <w:sz w:val="44"/>
          <w:szCs w:val="44"/>
        </w:rPr>
      </w:pPr>
      <w:bookmarkStart w:id="0" w:name="_GoBack"/>
      <w:r>
        <w:rPr>
          <w:rFonts w:hint="eastAsia" w:ascii="方正小标宋简体" w:eastAsia="方正小标宋简体" w:cs="宋体"/>
          <w:kern w:val="0"/>
          <w:sz w:val="44"/>
          <w:szCs w:val="44"/>
        </w:rPr>
        <w:t>关于持续巩固和增强经济回升向好态势</w:t>
      </w:r>
    </w:p>
    <w:p>
      <w:pPr>
        <w:widowControl/>
        <w:spacing w:line="560" w:lineRule="exact"/>
        <w:jc w:val="center"/>
        <w:rPr>
          <w:rFonts w:ascii="方正小标宋简体" w:eastAsia="方正小标宋简体" w:cs="宋体"/>
          <w:kern w:val="0"/>
          <w:sz w:val="44"/>
          <w:szCs w:val="44"/>
        </w:rPr>
      </w:pPr>
      <w:r>
        <w:rPr>
          <w:rFonts w:hint="eastAsia" w:ascii="方正小标宋简体" w:eastAsia="方正小标宋简体" w:cs="宋体"/>
          <w:kern w:val="0"/>
          <w:sz w:val="44"/>
          <w:szCs w:val="44"/>
        </w:rPr>
        <w:t>若干政策措施</w:t>
      </w:r>
    </w:p>
    <w:p>
      <w:pPr>
        <w:widowControl/>
        <w:spacing w:line="560" w:lineRule="exact"/>
        <w:jc w:val="center"/>
        <w:rPr>
          <w:rFonts w:hint="eastAsia" w:ascii="楷体" w:eastAsia="楷体" w:cs="宋体"/>
          <w:kern w:val="0"/>
          <w:sz w:val="32"/>
          <w:szCs w:val="32"/>
        </w:rPr>
      </w:pPr>
      <w:r>
        <w:rPr>
          <w:rFonts w:hint="eastAsia" w:ascii="楷体" w:eastAsia="楷体" w:cs="宋体"/>
          <w:kern w:val="0"/>
          <w:sz w:val="32"/>
          <w:szCs w:val="32"/>
        </w:rPr>
        <w:t>（征求意见稿）</w:t>
      </w:r>
      <w:bookmarkEnd w:id="0"/>
    </w:p>
    <w:p>
      <w:pPr>
        <w:widowControl/>
        <w:spacing w:line="560" w:lineRule="exact"/>
        <w:ind w:firstLine="640" w:firstLineChars="200"/>
        <w:jc w:val="left"/>
        <w:rPr>
          <w:rFonts w:ascii="仿宋" w:eastAsia="仿宋" w:cs="宋体"/>
          <w:kern w:val="0"/>
          <w:sz w:val="32"/>
          <w:szCs w:val="32"/>
        </w:rPr>
      </w:pPr>
    </w:p>
    <w:p>
      <w:pPr>
        <w:widowControl/>
        <w:spacing w:line="560" w:lineRule="exact"/>
        <w:ind w:firstLine="640" w:firstLineChars="200"/>
        <w:jc w:val="left"/>
        <w:rPr>
          <w:rFonts w:hint="eastAsia" w:ascii="仿宋" w:eastAsia="仿宋" w:cs="宋体"/>
          <w:kern w:val="0"/>
          <w:sz w:val="32"/>
          <w:szCs w:val="32"/>
        </w:rPr>
      </w:pPr>
      <w:r>
        <w:rPr>
          <w:rFonts w:hint="eastAsia" w:ascii="仿宋" w:eastAsia="仿宋" w:cs="宋体"/>
          <w:kern w:val="0"/>
          <w:sz w:val="32"/>
          <w:szCs w:val="32"/>
        </w:rPr>
        <w:t>为深入贯彻习近平总书记来川视察重要指示精神，全面落实中央、省委、市委经济工作会议精神，聚焦激发有效需求、培植增长点</w:t>
      </w:r>
      <w:r>
        <w:rPr>
          <w:rFonts w:hint="eastAsia" w:ascii="仿宋" w:eastAsia="仿宋" w:cs="Microsoft Yi Baiti"/>
          <w:kern w:val="0"/>
          <w:sz w:val="32"/>
          <w:szCs w:val="32"/>
        </w:rPr>
        <w:t>，</w:t>
      </w:r>
      <w:r>
        <w:rPr>
          <w:rFonts w:hint="eastAsia" w:ascii="仿宋" w:eastAsia="仿宋" w:cs="宋体"/>
          <w:kern w:val="0"/>
          <w:sz w:val="32"/>
          <w:szCs w:val="32"/>
        </w:rPr>
        <w:t>持续巩固和增强经济回升向好态势</w:t>
      </w:r>
      <w:r>
        <w:rPr>
          <w:rFonts w:hint="eastAsia" w:ascii="仿宋" w:eastAsia="仿宋" w:cs="Microsoft Yi Baiti"/>
          <w:kern w:val="0"/>
          <w:sz w:val="32"/>
          <w:szCs w:val="32"/>
        </w:rPr>
        <w:t>，按照《四川省人民政府办公厅印发&lt;关于</w:t>
      </w:r>
      <w:r>
        <w:rPr>
          <w:rFonts w:hint="eastAsia" w:ascii="仿宋" w:eastAsia="仿宋" w:cs="宋体"/>
          <w:kern w:val="0"/>
          <w:sz w:val="32"/>
          <w:szCs w:val="32"/>
        </w:rPr>
        <w:t>持续巩固和增强经济回升向好态势若干政策措施</w:t>
      </w:r>
      <w:r>
        <w:rPr>
          <w:rFonts w:hint="eastAsia" w:ascii="仿宋" w:eastAsia="仿宋" w:cs="Microsoft Yi Baiti"/>
          <w:kern w:val="0"/>
          <w:sz w:val="32"/>
          <w:szCs w:val="32"/>
        </w:rPr>
        <w:t>&gt;的通知》（川办规〔2024〕2号）精神</w:t>
      </w:r>
      <w:r>
        <w:rPr>
          <w:rFonts w:hint="eastAsia" w:ascii="仿宋" w:eastAsia="仿宋" w:cs="宋体"/>
          <w:kern w:val="0"/>
          <w:sz w:val="32"/>
          <w:szCs w:val="32"/>
        </w:rPr>
        <w:t>，结合巴中实际，制定如下政策措施</w:t>
      </w:r>
      <w:r>
        <w:rPr>
          <w:rFonts w:hint="eastAsia" w:ascii="仿宋" w:eastAsia="仿宋" w:cs="Microsoft Yi Baiti"/>
          <w:kern w:val="0"/>
          <w:sz w:val="32"/>
          <w:szCs w:val="32"/>
        </w:rPr>
        <w:t>。</w:t>
      </w:r>
      <w:r>
        <w:rPr>
          <w:rFonts w:hint="eastAsia" w:ascii="仿宋" w:eastAsia="仿宋" w:cs="宋体"/>
          <w:kern w:val="0"/>
          <w:sz w:val="32"/>
          <w:szCs w:val="32"/>
        </w:rPr>
        <w:t xml:space="preserve"> </w:t>
      </w:r>
    </w:p>
    <w:p>
      <w:pPr>
        <w:widowControl/>
        <w:spacing w:line="560" w:lineRule="exact"/>
        <w:ind w:firstLine="640" w:firstLineChars="200"/>
        <w:jc w:val="left"/>
        <w:rPr>
          <w:rFonts w:hint="eastAsia" w:ascii="黑体" w:eastAsia="黑体" w:cs="宋体"/>
          <w:kern w:val="0"/>
          <w:sz w:val="32"/>
          <w:szCs w:val="32"/>
        </w:rPr>
      </w:pPr>
      <w:r>
        <w:rPr>
          <w:rFonts w:hint="eastAsia" w:ascii="黑体" w:eastAsia="黑体" w:cs="宋体"/>
          <w:kern w:val="0"/>
          <w:sz w:val="32"/>
          <w:szCs w:val="32"/>
        </w:rPr>
        <w:t xml:space="preserve">一、强化财税政策支持 </w:t>
      </w:r>
    </w:p>
    <w:p>
      <w:pPr>
        <w:widowControl/>
        <w:spacing w:line="560" w:lineRule="exact"/>
        <w:ind w:firstLine="640" w:firstLineChars="200"/>
        <w:jc w:val="left"/>
        <w:rPr>
          <w:rFonts w:hint="eastAsia" w:ascii="仿宋" w:eastAsia="仿宋" w:cs="宋体"/>
          <w:kern w:val="0"/>
          <w:sz w:val="32"/>
          <w:szCs w:val="32"/>
        </w:rPr>
      </w:pPr>
      <w:r>
        <w:rPr>
          <w:rFonts w:ascii="楷体" w:eastAsia="楷体" w:cs="宋体"/>
          <w:kern w:val="0"/>
          <w:sz w:val="32"/>
          <w:szCs w:val="32"/>
        </w:rPr>
        <w:t>（一）</w:t>
      </w:r>
      <w:r>
        <w:rPr>
          <w:rFonts w:hint="eastAsia" w:ascii="楷体" w:eastAsia="楷体" w:cs="宋体"/>
          <w:kern w:val="0"/>
          <w:sz w:val="32"/>
          <w:szCs w:val="32"/>
        </w:rPr>
        <w:t>实施高质量发展激励</w:t>
      </w:r>
      <w:r>
        <w:rPr>
          <w:rFonts w:hint="eastAsia" w:ascii="楷体" w:eastAsia="楷体" w:cs="Microsoft Yi Baiti"/>
          <w:kern w:val="0"/>
          <w:sz w:val="32"/>
          <w:szCs w:val="32"/>
        </w:rPr>
        <w:t>。</w:t>
      </w:r>
      <w:r>
        <w:rPr>
          <w:rFonts w:hint="eastAsia" w:ascii="仿宋" w:eastAsia="仿宋" w:cs="Microsoft Yi Baiti"/>
          <w:kern w:val="0"/>
          <w:sz w:val="32"/>
          <w:szCs w:val="32"/>
        </w:rPr>
        <w:t>市级财政</w:t>
      </w:r>
      <w:r>
        <w:rPr>
          <w:rFonts w:hint="eastAsia" w:ascii="仿宋" w:eastAsia="仿宋" w:cs="宋体"/>
          <w:kern w:val="0"/>
          <w:sz w:val="32"/>
          <w:szCs w:val="32"/>
        </w:rPr>
        <w:t>对7个县</w:t>
      </w:r>
      <w:r>
        <w:rPr>
          <w:rFonts w:ascii="仿宋" w:eastAsia="仿宋" w:cs="宋体"/>
          <w:kern w:val="0"/>
          <w:sz w:val="32"/>
          <w:szCs w:val="32"/>
        </w:rPr>
        <w:t>（</w:t>
      </w:r>
      <w:r>
        <w:rPr>
          <w:rFonts w:hint="eastAsia" w:ascii="仿宋" w:eastAsia="仿宋" w:cs="宋体"/>
          <w:kern w:val="0"/>
          <w:sz w:val="32"/>
          <w:szCs w:val="32"/>
        </w:rPr>
        <w:t>区</w:t>
      </w:r>
      <w:r>
        <w:rPr>
          <w:rFonts w:ascii="仿宋" w:eastAsia="仿宋" w:cs="宋体"/>
          <w:kern w:val="0"/>
          <w:sz w:val="32"/>
          <w:szCs w:val="32"/>
        </w:rPr>
        <w:t>）2024年</w:t>
      </w:r>
      <w:r>
        <w:rPr>
          <w:rFonts w:hint="eastAsia" w:ascii="仿宋" w:eastAsia="仿宋" w:cs="Microsoft Yi Baiti"/>
          <w:kern w:val="0"/>
          <w:sz w:val="32"/>
          <w:szCs w:val="32"/>
        </w:rPr>
        <w:t>二季度、三季度</w:t>
      </w:r>
      <w:r>
        <w:rPr>
          <w:rFonts w:hint="eastAsia" w:ascii="仿宋" w:eastAsia="仿宋" w:cs="宋体"/>
          <w:kern w:val="0"/>
          <w:sz w:val="32"/>
          <w:szCs w:val="32"/>
        </w:rPr>
        <w:t>按照产值和一般公共预算收入增幅各占50%的权重进行考核，对增幅达到平均数以上（不含平均数）的予以激励。(责任单位</w:t>
      </w:r>
      <w:r>
        <w:rPr>
          <w:rFonts w:ascii="仿宋" w:eastAsia="仿宋" w:cs="宋体"/>
          <w:kern w:val="0"/>
          <w:sz w:val="32"/>
          <w:szCs w:val="32"/>
        </w:rPr>
        <w:t>：</w:t>
      </w:r>
      <w:r>
        <w:rPr>
          <w:rFonts w:hint="eastAsia" w:ascii="仿宋" w:eastAsia="仿宋" w:cs="宋体"/>
          <w:kern w:val="0"/>
          <w:sz w:val="32"/>
          <w:szCs w:val="32"/>
        </w:rPr>
        <w:t>市财政局、市发</w:t>
      </w:r>
      <w:r>
        <w:rPr>
          <w:rFonts w:ascii="仿宋" w:eastAsia="仿宋" w:cs="宋体"/>
          <w:kern w:val="0"/>
          <w:sz w:val="32"/>
          <w:szCs w:val="32"/>
        </w:rPr>
        <w:t>展改革</w:t>
      </w:r>
      <w:r>
        <w:rPr>
          <w:rFonts w:hint="eastAsia" w:ascii="仿宋" w:eastAsia="仿宋" w:cs="宋体"/>
          <w:kern w:val="0"/>
          <w:sz w:val="32"/>
          <w:szCs w:val="32"/>
        </w:rPr>
        <w:t xml:space="preserve">委) </w:t>
      </w:r>
    </w:p>
    <w:p>
      <w:pPr>
        <w:widowControl/>
        <w:spacing w:line="560" w:lineRule="exact"/>
        <w:ind w:firstLine="640" w:firstLineChars="200"/>
        <w:jc w:val="left"/>
        <w:rPr>
          <w:rFonts w:hint="eastAsia" w:ascii="仿宋" w:eastAsia="仿宋" w:cs="宋体"/>
          <w:kern w:val="0"/>
          <w:sz w:val="32"/>
          <w:szCs w:val="32"/>
        </w:rPr>
      </w:pPr>
      <w:r>
        <w:rPr>
          <w:rFonts w:ascii="楷体" w:eastAsia="楷体" w:cs="宋体"/>
          <w:kern w:val="0"/>
          <w:sz w:val="32"/>
          <w:szCs w:val="32"/>
        </w:rPr>
        <w:t>（二）</w:t>
      </w:r>
      <w:r>
        <w:rPr>
          <w:rFonts w:hint="eastAsia" w:ascii="楷体" w:eastAsia="楷体" w:cs="宋体"/>
          <w:kern w:val="0"/>
          <w:sz w:val="32"/>
          <w:szCs w:val="32"/>
        </w:rPr>
        <w:t>持续落实创业税收优惠政策。</w:t>
      </w:r>
      <w:r>
        <w:rPr>
          <w:rFonts w:hint="eastAsia" w:ascii="仿宋" w:eastAsia="仿宋" w:cs="宋体"/>
          <w:kern w:val="0"/>
          <w:sz w:val="32"/>
          <w:szCs w:val="32"/>
        </w:rPr>
        <w:t>2027年</w:t>
      </w:r>
      <w:r>
        <w:rPr>
          <w:rFonts w:ascii="仿宋" w:eastAsia="仿宋" w:cs="宋体"/>
          <w:kern w:val="0"/>
          <w:sz w:val="32"/>
          <w:szCs w:val="32"/>
        </w:rPr>
        <w:t>1</w:t>
      </w:r>
      <w:r>
        <w:rPr>
          <w:rFonts w:hint="eastAsia" w:ascii="仿宋" w:eastAsia="仿宋" w:cs="宋体"/>
          <w:kern w:val="0"/>
          <w:sz w:val="32"/>
          <w:szCs w:val="32"/>
        </w:rPr>
        <w:t>2月31日前继续顶格实施符合条件的登记失业人员和毕业年度内高校毕业生等重点群体、自主就业退役士兵创业税收优惠政策</w:t>
      </w:r>
      <w:r>
        <w:rPr>
          <w:rFonts w:hint="eastAsia" w:ascii="仿宋" w:eastAsia="仿宋" w:cs="Microsoft Yi Baiti"/>
          <w:kern w:val="0"/>
          <w:sz w:val="32"/>
          <w:szCs w:val="32"/>
        </w:rPr>
        <w:t>，</w:t>
      </w:r>
      <w:r>
        <w:rPr>
          <w:rFonts w:hint="eastAsia" w:ascii="仿宋" w:eastAsia="仿宋" w:cs="宋体"/>
          <w:kern w:val="0"/>
          <w:sz w:val="32"/>
          <w:szCs w:val="32"/>
        </w:rPr>
        <w:t>对其从事个体经营的</w:t>
      </w:r>
      <w:r>
        <w:rPr>
          <w:rFonts w:hint="eastAsia" w:ascii="仿宋" w:eastAsia="仿宋" w:cs="Microsoft Yi Baiti"/>
          <w:kern w:val="0"/>
          <w:sz w:val="32"/>
          <w:szCs w:val="32"/>
        </w:rPr>
        <w:t>，</w:t>
      </w:r>
      <w:r>
        <w:rPr>
          <w:rFonts w:hint="eastAsia" w:ascii="仿宋" w:eastAsia="仿宋" w:cs="宋体"/>
          <w:kern w:val="0"/>
          <w:sz w:val="32"/>
          <w:szCs w:val="32"/>
        </w:rPr>
        <w:t>自办理个体工商户登记当月起在３年(36个月) 内按限额上限24000元依次扣减其当年实际应缴纳的增值税、城市维护建设税、教育费附加、地方教育附加和个人所得税</w:t>
      </w:r>
      <w:r>
        <w:rPr>
          <w:rFonts w:ascii="仿宋" w:eastAsia="仿宋" w:cs="宋体"/>
          <w:kern w:val="0"/>
          <w:sz w:val="32"/>
          <w:szCs w:val="32"/>
        </w:rPr>
        <w:t>。（</w:t>
      </w:r>
      <w:r>
        <w:rPr>
          <w:rFonts w:hint="eastAsia" w:ascii="仿宋" w:eastAsia="仿宋" w:cs="宋体"/>
          <w:kern w:val="0"/>
          <w:sz w:val="32"/>
          <w:szCs w:val="32"/>
        </w:rPr>
        <w:t>责任单位</w:t>
      </w:r>
      <w:r>
        <w:rPr>
          <w:rFonts w:ascii="仿宋" w:eastAsia="仿宋" w:cs="宋体"/>
          <w:kern w:val="0"/>
          <w:sz w:val="32"/>
          <w:szCs w:val="32"/>
        </w:rPr>
        <w:t>：</w:t>
      </w:r>
      <w:r>
        <w:rPr>
          <w:rFonts w:hint="eastAsia" w:ascii="仿宋" w:eastAsia="仿宋" w:cs="宋体"/>
          <w:kern w:val="0"/>
          <w:sz w:val="32"/>
          <w:szCs w:val="32"/>
        </w:rPr>
        <w:t>市财政局、市税务局、市人力资源社会保障局、市农业农村局、</w:t>
      </w:r>
      <w:r>
        <w:rPr>
          <w:rFonts w:ascii="仿宋" w:eastAsia="仿宋" w:cs="宋体"/>
          <w:kern w:val="0"/>
          <w:sz w:val="32"/>
          <w:szCs w:val="32"/>
        </w:rPr>
        <w:t>市市场监管局、市教育局、</w:t>
      </w:r>
      <w:r>
        <w:rPr>
          <w:rFonts w:hint="eastAsia" w:ascii="仿宋" w:eastAsia="仿宋" w:cs="宋体"/>
          <w:kern w:val="0"/>
          <w:sz w:val="32"/>
          <w:szCs w:val="32"/>
        </w:rPr>
        <w:t>市退役军人局</w:t>
      </w:r>
      <w:r>
        <w:rPr>
          <w:rFonts w:ascii="仿宋" w:eastAsia="仿宋" w:cs="宋体"/>
          <w:kern w:val="0"/>
          <w:sz w:val="32"/>
          <w:szCs w:val="32"/>
        </w:rPr>
        <w:t>）</w:t>
      </w:r>
    </w:p>
    <w:p>
      <w:pPr>
        <w:widowControl/>
        <w:spacing w:line="560" w:lineRule="exact"/>
        <w:ind w:left="0" w:firstLine="640" w:firstLineChars="200"/>
        <w:jc w:val="left"/>
        <w:rPr>
          <w:rFonts w:hint="eastAsia" w:ascii="仿宋" w:eastAsia="仿宋" w:cs="宋体"/>
          <w:kern w:val="0"/>
          <w:sz w:val="32"/>
          <w:szCs w:val="32"/>
        </w:rPr>
      </w:pPr>
      <w:r>
        <w:rPr>
          <w:rFonts w:hint="eastAsia" w:ascii="黑体" w:eastAsia="黑体" w:cs="宋体"/>
          <w:kern w:val="0"/>
          <w:sz w:val="32"/>
          <w:szCs w:val="32"/>
        </w:rPr>
        <w:t>二、积极扩大有效投资</w:t>
      </w:r>
      <w:r>
        <w:rPr>
          <w:rFonts w:hint="eastAsia" w:ascii="仿宋" w:eastAsia="仿宋" w:cs="宋体"/>
          <w:kern w:val="0"/>
          <w:sz w:val="32"/>
          <w:szCs w:val="32"/>
        </w:rPr>
        <w:t xml:space="preserve"> </w:t>
      </w:r>
    </w:p>
    <w:p>
      <w:pPr>
        <w:widowControl/>
        <w:spacing w:line="560" w:lineRule="exact"/>
        <w:ind w:left="0" w:firstLine="640" w:firstLineChars="200"/>
        <w:jc w:val="left"/>
        <w:rPr>
          <w:rFonts w:hint="eastAsia" w:ascii="仿宋" w:eastAsia="仿宋" w:cs="宋体"/>
          <w:kern w:val="0"/>
          <w:sz w:val="32"/>
          <w:szCs w:val="32"/>
        </w:rPr>
      </w:pPr>
      <w:r>
        <w:rPr>
          <w:rFonts w:ascii="楷体" w:eastAsia="楷体" w:cs="宋体"/>
          <w:kern w:val="0"/>
          <w:sz w:val="32"/>
          <w:szCs w:val="32"/>
        </w:rPr>
        <w:t>（</w:t>
      </w:r>
      <w:r>
        <w:rPr>
          <w:rFonts w:hint="eastAsia" w:ascii="楷体" w:eastAsia="楷体" w:cs="宋体"/>
          <w:kern w:val="0"/>
          <w:sz w:val="32"/>
          <w:szCs w:val="32"/>
        </w:rPr>
        <w:t>三</w:t>
      </w:r>
      <w:r>
        <w:rPr>
          <w:rFonts w:ascii="楷体" w:eastAsia="楷体" w:cs="宋体"/>
          <w:kern w:val="0"/>
          <w:sz w:val="32"/>
          <w:szCs w:val="32"/>
        </w:rPr>
        <w:t>）</w:t>
      </w:r>
      <w:r>
        <w:rPr>
          <w:rFonts w:hint="eastAsia" w:ascii="楷体" w:eastAsia="楷体" w:cs="宋体"/>
          <w:kern w:val="0"/>
          <w:sz w:val="32"/>
          <w:szCs w:val="32"/>
        </w:rPr>
        <w:t>实施固定资产投资激励。</w:t>
      </w:r>
      <w:r>
        <w:rPr>
          <w:rFonts w:ascii="仿宋" w:eastAsia="仿宋" w:cs="宋体"/>
          <w:kern w:val="0"/>
          <w:sz w:val="32"/>
          <w:szCs w:val="32"/>
        </w:rPr>
        <w:t>2024年二季度和三季度根据固定资产投资增速、占全省投资比重等因素测算，</w:t>
      </w:r>
      <w:r>
        <w:rPr>
          <w:rFonts w:hint="eastAsia" w:ascii="仿宋" w:eastAsia="仿宋" w:cs="宋体"/>
          <w:kern w:val="0"/>
          <w:sz w:val="32"/>
          <w:szCs w:val="32"/>
        </w:rPr>
        <w:t>获省激励支持的县（区），市</w:t>
      </w:r>
      <w:r>
        <w:rPr>
          <w:rFonts w:ascii="仿宋" w:eastAsia="仿宋" w:cs="宋体"/>
          <w:kern w:val="0"/>
          <w:sz w:val="32"/>
          <w:szCs w:val="32"/>
        </w:rPr>
        <w:t>级</w:t>
      </w:r>
      <w:r>
        <w:rPr>
          <w:rFonts w:hint="eastAsia" w:ascii="仿宋" w:eastAsia="仿宋" w:cs="宋体"/>
          <w:kern w:val="0"/>
          <w:sz w:val="32"/>
          <w:szCs w:val="32"/>
        </w:rPr>
        <w:t>财政给予</w:t>
      </w:r>
      <w:r>
        <w:rPr>
          <w:rFonts w:ascii="仿宋" w:eastAsia="仿宋" w:cs="宋体"/>
          <w:kern w:val="0"/>
          <w:sz w:val="32"/>
          <w:szCs w:val="32"/>
        </w:rPr>
        <w:t>综合排名</w:t>
      </w:r>
      <w:r>
        <w:rPr>
          <w:rFonts w:hint="eastAsia" w:ascii="仿宋" w:eastAsia="仿宋" w:cs="宋体"/>
          <w:kern w:val="0"/>
          <w:sz w:val="32"/>
          <w:szCs w:val="32"/>
          <w:lang w:eastAsia="zh-CN"/>
        </w:rPr>
        <w:t>全省</w:t>
      </w:r>
      <w:r>
        <w:rPr>
          <w:rFonts w:ascii="仿宋" w:eastAsia="仿宋" w:cs="宋体"/>
          <w:kern w:val="0"/>
          <w:sz w:val="32"/>
          <w:szCs w:val="32"/>
        </w:rPr>
        <w:t>前50位的县（区）省级财政定向激励</w:t>
      </w:r>
      <w:r>
        <w:rPr>
          <w:rFonts w:hint="eastAsia" w:ascii="仿宋" w:eastAsia="仿宋" w:cs="宋体"/>
          <w:kern w:val="0"/>
          <w:sz w:val="32"/>
          <w:szCs w:val="32"/>
        </w:rPr>
        <w:t>资金</w:t>
      </w:r>
      <w:r>
        <w:rPr>
          <w:rFonts w:ascii="仿宋" w:eastAsia="仿宋" w:cs="宋体"/>
          <w:kern w:val="0"/>
          <w:sz w:val="32"/>
          <w:szCs w:val="32"/>
        </w:rPr>
        <w:t>的</w:t>
      </w:r>
      <w:r>
        <w:rPr>
          <w:rFonts w:hint="eastAsia" w:ascii="仿宋" w:eastAsia="仿宋" w:cs="宋体"/>
          <w:kern w:val="0"/>
          <w:sz w:val="32"/>
          <w:szCs w:val="32"/>
        </w:rPr>
        <w:t>10%</w:t>
      </w:r>
      <w:r>
        <w:rPr>
          <w:rFonts w:ascii="仿宋" w:eastAsia="仿宋" w:cs="宋体"/>
          <w:kern w:val="0"/>
          <w:sz w:val="32"/>
          <w:szCs w:val="32"/>
        </w:rPr>
        <w:t>奖励，</w:t>
      </w:r>
      <w:r>
        <w:rPr>
          <w:rFonts w:hint="eastAsia" w:ascii="仿宋" w:eastAsia="仿宋" w:cs="宋体"/>
          <w:kern w:val="0"/>
          <w:sz w:val="32"/>
          <w:szCs w:val="32"/>
        </w:rPr>
        <w:t>用于项目前期工作</w:t>
      </w:r>
      <w:r>
        <w:rPr>
          <w:rFonts w:ascii="仿宋" w:eastAsia="仿宋" w:cs="宋体"/>
          <w:kern w:val="0"/>
          <w:sz w:val="32"/>
          <w:szCs w:val="32"/>
        </w:rPr>
        <w:t>经费</w:t>
      </w:r>
      <w:r>
        <w:rPr>
          <w:rFonts w:hint="eastAsia" w:ascii="仿宋" w:eastAsia="仿宋" w:cs="宋体"/>
          <w:kern w:val="0"/>
          <w:sz w:val="32"/>
          <w:szCs w:val="32"/>
        </w:rPr>
        <w:t>，鼓励各县（区）多拉快跑、多作贡献。(责任单位</w:t>
      </w:r>
      <w:r>
        <w:rPr>
          <w:rFonts w:ascii="仿宋" w:eastAsia="仿宋" w:cs="宋体"/>
          <w:kern w:val="0"/>
          <w:sz w:val="32"/>
          <w:szCs w:val="32"/>
        </w:rPr>
        <w:t>：</w:t>
      </w:r>
      <w:r>
        <w:rPr>
          <w:rFonts w:hint="eastAsia" w:ascii="仿宋" w:eastAsia="仿宋" w:cs="宋体"/>
          <w:kern w:val="0"/>
          <w:sz w:val="32"/>
          <w:szCs w:val="32"/>
        </w:rPr>
        <w:t>市发展改革委、市财政局)</w:t>
      </w:r>
    </w:p>
    <w:p>
      <w:pPr>
        <w:widowControl/>
        <w:spacing w:line="560" w:lineRule="exact"/>
        <w:ind w:firstLine="640" w:firstLineChars="200"/>
        <w:jc w:val="left"/>
        <w:rPr>
          <w:rFonts w:hint="eastAsia" w:ascii="仿宋" w:eastAsia="仿宋" w:cs="宋体"/>
          <w:kern w:val="0"/>
          <w:sz w:val="32"/>
          <w:szCs w:val="32"/>
        </w:rPr>
      </w:pPr>
      <w:r>
        <w:rPr>
          <w:rFonts w:ascii="楷体" w:eastAsia="楷体" w:cs="宋体"/>
          <w:kern w:val="0"/>
          <w:sz w:val="32"/>
          <w:szCs w:val="32"/>
        </w:rPr>
        <w:t>（四）</w:t>
      </w:r>
      <w:r>
        <w:rPr>
          <w:rFonts w:hint="eastAsia" w:ascii="楷体" w:eastAsia="楷体" w:cs="宋体"/>
          <w:kern w:val="0"/>
          <w:sz w:val="32"/>
          <w:szCs w:val="32"/>
        </w:rPr>
        <w:t>实施市内银行增加制造业中长期贷款投放激励</w:t>
      </w:r>
      <w:r>
        <w:rPr>
          <w:rFonts w:hint="eastAsia" w:ascii="楷体" w:eastAsia="楷体" w:cs="Microsoft Yi Baiti"/>
          <w:kern w:val="0"/>
          <w:sz w:val="32"/>
          <w:szCs w:val="32"/>
        </w:rPr>
        <w:t>。</w:t>
      </w:r>
      <w:r>
        <w:rPr>
          <w:rFonts w:hint="eastAsia" w:ascii="仿宋" w:eastAsia="仿宋" w:cs="宋体"/>
          <w:kern w:val="0"/>
          <w:sz w:val="32"/>
          <w:szCs w:val="32"/>
        </w:rPr>
        <w:t>对2024年12月31日制造业中长期贷款余额较上年同期增长28%以上的市内银行机构</w:t>
      </w:r>
      <w:r>
        <w:rPr>
          <w:rFonts w:ascii="仿宋" w:eastAsia="仿宋" w:cs="宋体"/>
          <w:kern w:val="0"/>
          <w:sz w:val="32"/>
          <w:szCs w:val="32"/>
        </w:rPr>
        <w:t>，在</w:t>
      </w:r>
      <w:r>
        <w:rPr>
          <w:rFonts w:hint="eastAsia" w:ascii="仿宋" w:eastAsia="仿宋" w:cs="宋体"/>
          <w:kern w:val="0"/>
          <w:sz w:val="32"/>
          <w:szCs w:val="32"/>
        </w:rPr>
        <w:t>省级财政按其制造业中长期贷款余额增量0.2%奖励</w:t>
      </w:r>
      <w:r>
        <w:rPr>
          <w:rFonts w:ascii="仿宋" w:eastAsia="仿宋" w:cs="宋体"/>
          <w:kern w:val="0"/>
          <w:sz w:val="32"/>
          <w:szCs w:val="32"/>
        </w:rPr>
        <w:t>的基础上</w:t>
      </w:r>
      <w:r>
        <w:rPr>
          <w:rFonts w:hint="eastAsia" w:ascii="仿宋" w:eastAsia="仿宋" w:cs="宋体"/>
          <w:kern w:val="0"/>
          <w:sz w:val="32"/>
          <w:szCs w:val="32"/>
        </w:rPr>
        <w:t>，市级财政按省级财政奖励金额的30%予以奖励。(责任单位</w:t>
      </w:r>
      <w:r>
        <w:rPr>
          <w:rFonts w:ascii="仿宋" w:eastAsia="仿宋" w:cs="宋体"/>
          <w:kern w:val="0"/>
          <w:sz w:val="32"/>
          <w:szCs w:val="32"/>
        </w:rPr>
        <w:t>：</w:t>
      </w:r>
      <w:r>
        <w:rPr>
          <w:rFonts w:hint="eastAsia" w:ascii="仿宋" w:eastAsia="仿宋" w:cs="宋体"/>
          <w:kern w:val="0"/>
          <w:sz w:val="32"/>
          <w:szCs w:val="32"/>
        </w:rPr>
        <w:t>市财政局、</w:t>
      </w:r>
      <w:r>
        <w:rPr>
          <w:rFonts w:hint="eastAsia" w:ascii="仿宋" w:eastAsia="仿宋"/>
          <w:sz w:val="32"/>
          <w:szCs w:val="32"/>
        </w:rPr>
        <w:t>人民银行巴中市分行</w:t>
      </w:r>
      <w:r>
        <w:rPr>
          <w:rFonts w:ascii="仿宋" w:eastAsia="仿宋"/>
          <w:sz w:val="32"/>
          <w:szCs w:val="32"/>
        </w:rPr>
        <w:t>、市经济和信息化局</w:t>
      </w:r>
      <w:r>
        <w:rPr>
          <w:rFonts w:hint="eastAsia" w:ascii="仿宋" w:eastAsia="仿宋" w:cs="宋体"/>
          <w:kern w:val="0"/>
          <w:sz w:val="32"/>
          <w:szCs w:val="32"/>
        </w:rPr>
        <w:t xml:space="preserve">) </w:t>
      </w:r>
    </w:p>
    <w:p>
      <w:pPr>
        <w:spacing w:line="560" w:lineRule="exact"/>
        <w:ind w:firstLine="640" w:firstLineChars="200"/>
        <w:jc w:val="left"/>
        <w:rPr>
          <w:rFonts w:hint="eastAsia" w:ascii="仿宋" w:eastAsia="仿宋" w:cs="宋体"/>
          <w:kern w:val="0"/>
          <w:sz w:val="32"/>
          <w:szCs w:val="32"/>
        </w:rPr>
      </w:pPr>
      <w:r>
        <w:rPr>
          <w:rFonts w:ascii="楷体" w:eastAsia="楷体" w:cs="宋体"/>
          <w:kern w:val="0"/>
          <w:sz w:val="32"/>
          <w:szCs w:val="32"/>
        </w:rPr>
        <w:t>（五）</w:t>
      </w:r>
      <w:r>
        <w:rPr>
          <w:rFonts w:hint="eastAsia" w:ascii="楷体" w:eastAsia="楷体" w:cs="宋体"/>
          <w:kern w:val="0"/>
          <w:sz w:val="32"/>
          <w:szCs w:val="32"/>
        </w:rPr>
        <w:t>实施重大产业项目投资贷款财政贴息</w:t>
      </w:r>
      <w:r>
        <w:rPr>
          <w:rFonts w:hint="eastAsia" w:ascii="楷体" w:eastAsia="楷体" w:cs="Microsoft Yi Baiti"/>
          <w:kern w:val="0"/>
          <w:sz w:val="32"/>
          <w:szCs w:val="32"/>
        </w:rPr>
        <w:t>。</w:t>
      </w:r>
      <w:r>
        <w:rPr>
          <w:rFonts w:hint="eastAsia" w:ascii="仿宋" w:eastAsia="仿宋"/>
          <w:sz w:val="32"/>
          <w:szCs w:val="32"/>
        </w:rPr>
        <w:t>投资超5000万元的工业项目，在2024年4月1日至2024年9月30日期间</w:t>
      </w:r>
      <w:r>
        <w:rPr>
          <w:rFonts w:ascii="仿宋" w:eastAsia="仿宋"/>
          <w:sz w:val="32"/>
          <w:szCs w:val="32"/>
        </w:rPr>
        <w:t>的</w:t>
      </w:r>
      <w:r>
        <w:rPr>
          <w:rFonts w:hint="eastAsia" w:ascii="仿宋" w:eastAsia="仿宋"/>
          <w:sz w:val="32"/>
          <w:szCs w:val="32"/>
        </w:rPr>
        <w:t>新增贷款，按固定资产投资贷款利息20%的比例贴息一年，最高不超过100万元</w:t>
      </w:r>
      <w:r>
        <w:rPr>
          <w:rFonts w:ascii="仿宋" w:eastAsia="仿宋"/>
          <w:sz w:val="32"/>
          <w:szCs w:val="32"/>
        </w:rPr>
        <w:t>。</w:t>
      </w:r>
      <w:r>
        <w:rPr>
          <w:rFonts w:hint="eastAsia" w:ascii="仿宋" w:eastAsia="仿宋"/>
          <w:sz w:val="32"/>
          <w:szCs w:val="32"/>
        </w:rPr>
        <w:t>对制造业技改项目贷款进行贴息，按当年实际支出利息额</w:t>
      </w:r>
      <w:r>
        <w:rPr>
          <w:rFonts w:ascii="仿宋" w:eastAsia="仿宋"/>
          <w:sz w:val="32"/>
          <w:szCs w:val="32"/>
        </w:rPr>
        <w:t>的</w:t>
      </w:r>
      <w:r>
        <w:rPr>
          <w:rFonts w:hint="eastAsia" w:ascii="仿宋" w:eastAsia="仿宋"/>
          <w:sz w:val="32"/>
          <w:szCs w:val="32"/>
        </w:rPr>
        <w:t>30%计算，单个项目贴息额最低不低于10万元。对年内新增贷款扩大生产经营的规上制造业企业，且净增营业收入3000万元以上的，按新增贷款的20%给予贴息补助，最高不超过50万元。</w:t>
      </w:r>
      <w:r>
        <w:rPr>
          <w:rFonts w:hint="eastAsia" w:ascii="仿宋" w:eastAsia="仿宋" w:cs="宋体"/>
          <w:kern w:val="0"/>
          <w:sz w:val="32"/>
          <w:szCs w:val="32"/>
        </w:rPr>
        <w:t>(责任单位</w:t>
      </w:r>
      <w:r>
        <w:rPr>
          <w:rFonts w:ascii="仿宋" w:eastAsia="仿宋" w:cs="宋体"/>
          <w:kern w:val="0"/>
          <w:sz w:val="32"/>
          <w:szCs w:val="32"/>
        </w:rPr>
        <w:t>：</w:t>
      </w:r>
      <w:r>
        <w:rPr>
          <w:rFonts w:hint="eastAsia" w:ascii="仿宋" w:eastAsia="仿宋" w:cs="宋体"/>
          <w:kern w:val="0"/>
          <w:sz w:val="32"/>
          <w:szCs w:val="32"/>
        </w:rPr>
        <w:t>市经济和信息化局、</w:t>
      </w:r>
      <w:r>
        <w:rPr>
          <w:rFonts w:ascii="仿宋" w:eastAsia="仿宋" w:cs="宋体"/>
          <w:kern w:val="0"/>
          <w:sz w:val="32"/>
          <w:szCs w:val="32"/>
        </w:rPr>
        <w:t>市发展改革委、</w:t>
      </w:r>
      <w:r>
        <w:rPr>
          <w:rFonts w:hint="eastAsia" w:ascii="仿宋" w:eastAsia="仿宋" w:cs="宋体"/>
          <w:kern w:val="0"/>
          <w:sz w:val="32"/>
          <w:szCs w:val="32"/>
        </w:rPr>
        <w:t xml:space="preserve">市商务局、市财政局) </w:t>
      </w:r>
    </w:p>
    <w:p>
      <w:pPr>
        <w:spacing w:line="560" w:lineRule="exact"/>
        <w:ind w:firstLine="640" w:firstLineChars="200"/>
        <w:jc w:val="left"/>
        <w:rPr>
          <w:rFonts w:hint="eastAsia" w:ascii="仿宋" w:eastAsia="仿宋" w:cs="宋体"/>
          <w:kern w:val="0"/>
          <w:sz w:val="32"/>
          <w:szCs w:val="32"/>
        </w:rPr>
      </w:pPr>
      <w:r>
        <w:rPr>
          <w:rFonts w:ascii="楷体" w:eastAsia="楷体" w:cs="宋体"/>
          <w:kern w:val="0"/>
          <w:sz w:val="32"/>
          <w:szCs w:val="32"/>
        </w:rPr>
        <w:t>（六）</w:t>
      </w:r>
      <w:r>
        <w:rPr>
          <w:rFonts w:hint="eastAsia" w:ascii="楷体" w:eastAsia="楷体" w:cs="宋体"/>
          <w:kern w:val="0"/>
          <w:sz w:val="32"/>
          <w:szCs w:val="32"/>
        </w:rPr>
        <w:t>实施工业项目竣工投产激励。</w:t>
      </w:r>
      <w:r>
        <w:rPr>
          <w:rFonts w:hint="eastAsia" w:ascii="仿宋" w:eastAsia="仿宋" w:cs="宋体"/>
          <w:kern w:val="0"/>
          <w:sz w:val="32"/>
          <w:szCs w:val="32"/>
        </w:rPr>
        <w:t>实施工业项目竣工投产激励。对2024年内竣工的重点工业项目，按不超过项目设备投资额5%的比例给予最高200万元奖补；该项目竣工投产后，在年内新增产值超2000万元，则在5%的奖补基础上增加1%，1%部份不受200万元限制。对总投资1000万元以上且年内竣工的制造业数字化、智能化、绿色化技术改造和传统产业转型升级改造项目，按新增设备投资5%的比例，给予最高200万元奖补。两项奖补不同时享受</w:t>
      </w:r>
      <w:r>
        <w:rPr>
          <w:rFonts w:ascii="仿宋" w:eastAsia="仿宋" w:cs="宋体"/>
          <w:kern w:val="0"/>
          <w:sz w:val="32"/>
          <w:szCs w:val="32"/>
        </w:rPr>
        <w:t>，</w:t>
      </w:r>
      <w:r>
        <w:rPr>
          <w:rFonts w:hint="eastAsia" w:ascii="仿宋" w:eastAsia="仿宋" w:cs="宋体"/>
          <w:kern w:val="0"/>
          <w:sz w:val="32"/>
          <w:szCs w:val="32"/>
        </w:rPr>
        <w:t>就高不就低。(责任单位</w:t>
      </w:r>
      <w:r>
        <w:rPr>
          <w:rFonts w:ascii="仿宋" w:eastAsia="仿宋" w:cs="宋体"/>
          <w:kern w:val="0"/>
          <w:sz w:val="32"/>
          <w:szCs w:val="32"/>
        </w:rPr>
        <w:t>：</w:t>
      </w:r>
      <w:r>
        <w:rPr>
          <w:rFonts w:hint="eastAsia" w:ascii="仿宋" w:eastAsia="仿宋" w:cs="宋体"/>
          <w:kern w:val="0"/>
          <w:sz w:val="32"/>
          <w:szCs w:val="32"/>
        </w:rPr>
        <w:t xml:space="preserve">市经济和信息化局、市财政局) </w:t>
      </w:r>
    </w:p>
    <w:p>
      <w:pPr>
        <w:spacing w:line="560" w:lineRule="exact"/>
        <w:ind w:firstLine="640" w:firstLineChars="200"/>
        <w:jc w:val="left"/>
        <w:rPr>
          <w:rFonts w:hint="eastAsia" w:ascii="黑体" w:eastAsia="黑体" w:cs="宋体"/>
          <w:kern w:val="0"/>
          <w:sz w:val="32"/>
          <w:szCs w:val="32"/>
        </w:rPr>
      </w:pPr>
      <w:r>
        <w:rPr>
          <w:rFonts w:hint="eastAsia" w:ascii="黑体" w:eastAsia="黑体" w:cs="宋体"/>
          <w:kern w:val="0"/>
          <w:sz w:val="32"/>
          <w:szCs w:val="32"/>
        </w:rPr>
        <w:t>三、促进房地产市场平稳健康发展</w:t>
      </w:r>
    </w:p>
    <w:p>
      <w:pPr>
        <w:spacing w:line="560" w:lineRule="exact"/>
        <w:ind w:firstLine="640" w:firstLineChars="200"/>
        <w:jc w:val="left"/>
        <w:rPr>
          <w:rFonts w:hint="eastAsia" w:ascii="仿宋" w:eastAsia="仿宋" w:cs="宋体"/>
          <w:kern w:val="0"/>
          <w:sz w:val="32"/>
          <w:szCs w:val="32"/>
        </w:rPr>
      </w:pPr>
      <w:r>
        <w:rPr>
          <w:rFonts w:hint="eastAsia" w:ascii="楷体" w:eastAsia="楷体" w:cs="宋体"/>
          <w:kern w:val="0"/>
          <w:sz w:val="32"/>
          <w:szCs w:val="32"/>
        </w:rPr>
        <w:t>（七）推动房地产去库存。</w:t>
      </w:r>
      <w:r>
        <w:rPr>
          <w:rFonts w:hint="eastAsia" w:ascii="仿宋" w:eastAsia="仿宋" w:cs="宋体"/>
          <w:kern w:val="0"/>
          <w:sz w:val="32"/>
          <w:szCs w:val="32"/>
        </w:rPr>
        <w:t>全面落实《关于印发进一步促进市中心城区房地产市场平稳健康发展十二条措施的通知》（巴府办规〔2024〕3号），严格按实施细则及时兑现购房补贴。组建专业团队异地推介房产，探索“房票”安置，支持存量商品房依规转为保障性住房。（责任单位：市住房城乡建设局、市财政局）</w:t>
      </w:r>
    </w:p>
    <w:p>
      <w:pPr>
        <w:spacing w:line="560" w:lineRule="exact"/>
        <w:ind w:firstLine="640" w:firstLineChars="200"/>
        <w:jc w:val="left"/>
        <w:rPr>
          <w:rFonts w:hint="eastAsia" w:ascii="仿宋" w:eastAsia="仿宋" w:cs="宋体"/>
          <w:kern w:val="0"/>
          <w:sz w:val="32"/>
          <w:szCs w:val="32"/>
        </w:rPr>
      </w:pPr>
      <w:r>
        <w:rPr>
          <w:rFonts w:hint="eastAsia" w:ascii="楷体" w:eastAsia="楷体" w:cs="宋体"/>
          <w:kern w:val="0"/>
          <w:sz w:val="32"/>
          <w:szCs w:val="32"/>
        </w:rPr>
        <w:t>（八）实施“建筑强企”培育行动。</w:t>
      </w:r>
      <w:r>
        <w:rPr>
          <w:rFonts w:hint="eastAsia" w:ascii="仿宋" w:eastAsia="仿宋" w:cs="宋体"/>
          <w:kern w:val="0"/>
          <w:sz w:val="32"/>
          <w:szCs w:val="32"/>
        </w:rPr>
        <w:t>按照《巴中市进一步推动建筑业高质量发展若干措施》，对贡献大的建筑企业</w:t>
      </w:r>
      <w:r>
        <w:rPr>
          <w:rFonts w:ascii="仿宋" w:eastAsia="仿宋" w:cs="宋体"/>
          <w:kern w:val="0"/>
          <w:sz w:val="32"/>
          <w:szCs w:val="32"/>
        </w:rPr>
        <w:t>和</w:t>
      </w:r>
      <w:r>
        <w:rPr>
          <w:rFonts w:hint="eastAsia" w:ascii="仿宋" w:eastAsia="仿宋" w:cs="宋体"/>
          <w:kern w:val="0"/>
          <w:sz w:val="32"/>
          <w:szCs w:val="32"/>
        </w:rPr>
        <w:t>建筑业资质晋升为特级、一级</w:t>
      </w:r>
      <w:r>
        <w:rPr>
          <w:rFonts w:ascii="仿宋" w:eastAsia="仿宋" w:cs="宋体"/>
          <w:kern w:val="0"/>
          <w:sz w:val="32"/>
          <w:szCs w:val="32"/>
        </w:rPr>
        <w:t>的企业</w:t>
      </w:r>
      <w:r>
        <w:rPr>
          <w:rFonts w:hint="eastAsia" w:ascii="仿宋" w:eastAsia="仿宋" w:cs="宋体"/>
          <w:kern w:val="0"/>
          <w:sz w:val="32"/>
          <w:szCs w:val="32"/>
        </w:rPr>
        <w:t>予以奖补。鼓励市外建筑业将企业设立在巴中、产值带回巴中，根据情况予以激励。</w:t>
      </w:r>
      <w:r>
        <w:rPr>
          <w:rFonts w:ascii="仿宋" w:eastAsia="仿宋" w:cs="宋体"/>
          <w:kern w:val="0"/>
          <w:sz w:val="32"/>
          <w:szCs w:val="32"/>
        </w:rPr>
        <w:t>（责任单位：市住房城乡建设局、市财政局）</w:t>
      </w:r>
    </w:p>
    <w:p>
      <w:pPr>
        <w:widowControl/>
        <w:spacing w:line="560" w:lineRule="exact"/>
        <w:ind w:left="0" w:firstLine="640" w:firstLineChars="200"/>
        <w:jc w:val="left"/>
        <w:rPr>
          <w:rFonts w:hint="eastAsia" w:ascii="黑体" w:eastAsia="黑体" w:cs="宋体"/>
          <w:kern w:val="0"/>
          <w:sz w:val="32"/>
          <w:szCs w:val="32"/>
        </w:rPr>
      </w:pPr>
      <w:r>
        <w:rPr>
          <w:rFonts w:hint="eastAsia" w:ascii="黑体" w:eastAsia="黑体" w:cs="宋体"/>
          <w:kern w:val="0"/>
          <w:sz w:val="32"/>
          <w:szCs w:val="32"/>
        </w:rPr>
        <w:t xml:space="preserve">四、加快消费恢复提振 </w:t>
      </w:r>
    </w:p>
    <w:p>
      <w:pPr>
        <w:autoSpaceDE w:val="0"/>
        <w:spacing w:line="560" w:lineRule="exact"/>
        <w:ind w:firstLine="640" w:firstLineChars="200"/>
        <w:jc w:val="left"/>
        <w:rPr>
          <w:rFonts w:hint="eastAsia" w:ascii="仿宋" w:eastAsia="仿宋"/>
          <w:sz w:val="32"/>
          <w:szCs w:val="32"/>
        </w:rPr>
      </w:pPr>
      <w:r>
        <w:rPr>
          <w:rFonts w:ascii="楷体" w:eastAsia="楷体" w:cs="宋体"/>
          <w:kern w:val="0"/>
          <w:sz w:val="32"/>
          <w:szCs w:val="32"/>
        </w:rPr>
        <w:t>（九）</w:t>
      </w:r>
      <w:r>
        <w:rPr>
          <w:rFonts w:hint="eastAsia" w:ascii="楷体" w:eastAsia="楷体" w:cs="宋体"/>
          <w:kern w:val="0"/>
          <w:sz w:val="32"/>
          <w:szCs w:val="32"/>
        </w:rPr>
        <w:t>实施消费信贷财政贴息</w:t>
      </w:r>
      <w:r>
        <w:rPr>
          <w:rFonts w:hint="eastAsia" w:ascii="楷体" w:eastAsia="楷体" w:cs="Microsoft Yi Baiti"/>
          <w:kern w:val="0"/>
          <w:sz w:val="32"/>
          <w:szCs w:val="32"/>
        </w:rPr>
        <w:t>。</w:t>
      </w:r>
      <w:r>
        <w:rPr>
          <w:rFonts w:hint="eastAsia" w:ascii="仿宋" w:eastAsia="仿宋"/>
          <w:sz w:val="32"/>
          <w:szCs w:val="32"/>
        </w:rPr>
        <w:t>对2024年4月1日至2024年9月30日期间</w:t>
      </w:r>
      <w:r>
        <w:rPr>
          <w:rFonts w:ascii="仿宋" w:eastAsia="仿宋"/>
          <w:sz w:val="32"/>
          <w:szCs w:val="32"/>
        </w:rPr>
        <w:t>，</w:t>
      </w:r>
      <w:r>
        <w:rPr>
          <w:rFonts w:hint="eastAsia" w:ascii="仿宋" w:eastAsia="仿宋"/>
          <w:sz w:val="32"/>
          <w:szCs w:val="32"/>
        </w:rPr>
        <w:t>市内银行机构向市内居民发放1年期及以上，且贷款用途为汽车购置、电子产品、住房装修、家电家具耐用品4类商品线下消费贷款，财政部门按照年利率1.5%、单笔不超过3000元给予居民1年期一次性贴息，居民在全市范围最高可享受2笔贷款贴息支持。所需资</w:t>
      </w:r>
      <w:r>
        <w:rPr>
          <w:rFonts w:ascii="仿宋" w:eastAsia="仿宋"/>
          <w:sz w:val="32"/>
          <w:szCs w:val="32"/>
        </w:rPr>
        <w:t>金</w:t>
      </w:r>
      <w:r>
        <w:rPr>
          <w:rFonts w:hint="eastAsia" w:ascii="仿宋" w:eastAsia="仿宋"/>
          <w:sz w:val="32"/>
          <w:szCs w:val="32"/>
        </w:rPr>
        <w:t>省、市、县（区）按8:1:1比例负担。〔责任单位</w:t>
      </w:r>
      <w:r>
        <w:rPr>
          <w:rFonts w:ascii="仿宋" w:eastAsia="仿宋"/>
          <w:sz w:val="32"/>
          <w:szCs w:val="32"/>
        </w:rPr>
        <w:t>：</w:t>
      </w:r>
      <w:r>
        <w:rPr>
          <w:rFonts w:hint="eastAsia" w:ascii="仿宋" w:eastAsia="仿宋"/>
          <w:sz w:val="32"/>
          <w:szCs w:val="32"/>
        </w:rPr>
        <w:t>市财政局、</w:t>
      </w:r>
      <w:r>
        <w:rPr>
          <w:rFonts w:ascii="仿宋" w:eastAsia="仿宋"/>
          <w:sz w:val="32"/>
          <w:szCs w:val="32"/>
        </w:rPr>
        <w:t>市商务局、</w:t>
      </w:r>
      <w:r>
        <w:rPr>
          <w:rFonts w:hint="eastAsia" w:ascii="仿宋" w:eastAsia="仿宋"/>
          <w:sz w:val="32"/>
          <w:szCs w:val="32"/>
        </w:rPr>
        <w:t>人民银行巴中市分行,各县（区）人民政府</w:t>
      </w:r>
      <w:r>
        <w:rPr>
          <w:rFonts w:ascii="仿宋" w:eastAsia="仿宋"/>
          <w:sz w:val="32"/>
          <w:szCs w:val="32"/>
        </w:rPr>
        <w:t>，巴中经开区、文旅新区管委会</w:t>
      </w:r>
      <w:r>
        <w:rPr>
          <w:rFonts w:hint="eastAsia" w:ascii="仿宋" w:eastAsia="仿宋"/>
          <w:sz w:val="32"/>
          <w:szCs w:val="32"/>
        </w:rPr>
        <w:t>〕</w:t>
      </w:r>
    </w:p>
    <w:p>
      <w:pPr>
        <w:widowControl/>
        <w:spacing w:line="560" w:lineRule="exact"/>
        <w:ind w:firstLine="480" w:firstLineChars="150"/>
        <w:jc w:val="left"/>
        <w:rPr>
          <w:rFonts w:hint="eastAsia" w:ascii="仿宋" w:eastAsia="仿宋" w:cs="宋体"/>
          <w:kern w:val="0"/>
          <w:sz w:val="32"/>
          <w:szCs w:val="32"/>
        </w:rPr>
      </w:pPr>
      <w:r>
        <w:rPr>
          <w:rFonts w:hint="eastAsia" w:ascii="楷体" w:eastAsia="楷体" w:cs="宋体"/>
          <w:kern w:val="0"/>
          <w:sz w:val="32"/>
          <w:szCs w:val="32"/>
        </w:rPr>
        <w:t xml:space="preserve"> </w:t>
      </w:r>
      <w:r>
        <w:rPr>
          <w:rFonts w:ascii="楷体" w:eastAsia="楷体" w:cs="宋体"/>
          <w:kern w:val="0"/>
          <w:sz w:val="32"/>
          <w:szCs w:val="32"/>
        </w:rPr>
        <w:t>（十）</w:t>
      </w:r>
      <w:r>
        <w:rPr>
          <w:rFonts w:hint="eastAsia" w:ascii="楷体" w:eastAsia="楷体" w:cs="宋体"/>
          <w:kern w:val="0"/>
          <w:sz w:val="32"/>
          <w:szCs w:val="32"/>
        </w:rPr>
        <w:t>发放特色产品消费券。</w:t>
      </w:r>
      <w:r>
        <w:rPr>
          <w:rFonts w:hint="eastAsia" w:ascii="仿宋" w:eastAsia="仿宋" w:cs="宋体"/>
          <w:kern w:val="0"/>
          <w:sz w:val="32"/>
          <w:szCs w:val="32"/>
        </w:rPr>
        <w:t>2024年４月１日至2024年12月31日期间</w:t>
      </w:r>
      <w:r>
        <w:rPr>
          <w:rFonts w:hint="eastAsia" w:ascii="仿宋" w:eastAsia="仿宋" w:cs="Microsoft Yi Baiti"/>
          <w:kern w:val="0"/>
          <w:sz w:val="32"/>
          <w:szCs w:val="32"/>
        </w:rPr>
        <w:t>，</w:t>
      </w:r>
      <w:r>
        <w:rPr>
          <w:rFonts w:ascii="仿宋" w:eastAsia="仿宋" w:cs="Microsoft Yi Baiti"/>
          <w:kern w:val="0"/>
          <w:sz w:val="32"/>
          <w:szCs w:val="32"/>
        </w:rPr>
        <w:t>鼓励</w:t>
      </w:r>
      <w:r>
        <w:rPr>
          <w:rFonts w:hint="eastAsia" w:ascii="仿宋" w:eastAsia="仿宋" w:cs="Microsoft Yi Baiti"/>
          <w:kern w:val="0"/>
          <w:sz w:val="32"/>
          <w:szCs w:val="32"/>
          <w:lang w:eastAsia="zh-CN"/>
        </w:rPr>
        <w:t>县区、相关协会</w:t>
      </w:r>
      <w:r>
        <w:rPr>
          <w:rFonts w:hint="eastAsia" w:ascii="仿宋" w:eastAsia="仿宋" w:cs="宋体"/>
          <w:kern w:val="0"/>
          <w:sz w:val="32"/>
          <w:szCs w:val="32"/>
        </w:rPr>
        <w:t>结合重大促消费活动</w:t>
      </w:r>
      <w:r>
        <w:rPr>
          <w:rFonts w:hint="eastAsia" w:ascii="仿宋" w:eastAsia="仿宋" w:cs="Microsoft Yi Baiti"/>
          <w:kern w:val="0"/>
          <w:sz w:val="32"/>
          <w:szCs w:val="32"/>
        </w:rPr>
        <w:t>，</w:t>
      </w:r>
      <w:r>
        <w:rPr>
          <w:rFonts w:hint="eastAsia" w:ascii="仿宋" w:eastAsia="仿宋" w:cs="宋体"/>
          <w:kern w:val="0"/>
          <w:sz w:val="32"/>
          <w:szCs w:val="32"/>
        </w:rPr>
        <w:t>聚焦“巴中产”“巴中造”等特色产品</w:t>
      </w:r>
      <w:r>
        <w:rPr>
          <w:rFonts w:hint="eastAsia" w:ascii="仿宋" w:eastAsia="仿宋" w:cs="Microsoft Yi Baiti"/>
          <w:kern w:val="0"/>
          <w:sz w:val="32"/>
          <w:szCs w:val="32"/>
        </w:rPr>
        <w:t>进行集中展示、展销和推介，市级财政</w:t>
      </w:r>
      <w:r>
        <w:rPr>
          <w:rFonts w:hint="eastAsia" w:ascii="仿宋" w:eastAsia="仿宋" w:cs="Microsoft Yi Baiti"/>
          <w:kern w:val="0"/>
          <w:sz w:val="32"/>
          <w:szCs w:val="32"/>
          <w:lang w:eastAsia="zh-CN"/>
        </w:rPr>
        <w:t>按照境外、省外、市外、市内分别给予参展企业</w:t>
      </w:r>
      <w:r>
        <w:rPr>
          <w:rFonts w:hint="eastAsia" w:ascii="仿宋" w:eastAsia="仿宋" w:cs="Microsoft Yi Baiti"/>
          <w:kern w:val="0"/>
          <w:sz w:val="32"/>
          <w:szCs w:val="32"/>
          <w:lang w:val="en-US" w:eastAsia="zh-CN"/>
        </w:rPr>
        <w:t>5000、4000、3000、2000</w:t>
      </w:r>
      <w:r>
        <w:rPr>
          <w:rFonts w:ascii="仿宋" w:eastAsia="仿宋" w:cs="Microsoft Yi Baiti"/>
          <w:kern w:val="0"/>
          <w:sz w:val="32"/>
          <w:szCs w:val="32"/>
          <w:lang w:val="en-US" w:eastAsia="zh-CN"/>
        </w:rPr>
        <w:t>元</w:t>
      </w:r>
      <w:r>
        <w:rPr>
          <w:rFonts w:hint="eastAsia" w:ascii="仿宋" w:eastAsia="仿宋" w:cs="Microsoft Yi Baiti"/>
          <w:kern w:val="0"/>
          <w:sz w:val="32"/>
          <w:szCs w:val="32"/>
          <w:lang w:val="en-US" w:eastAsia="zh-CN"/>
        </w:rPr>
        <w:t>一次性</w:t>
      </w:r>
      <w:r>
        <w:rPr>
          <w:rFonts w:hint="eastAsia" w:ascii="仿宋" w:eastAsia="仿宋" w:cs="Microsoft Yi Baiti"/>
          <w:kern w:val="0"/>
          <w:sz w:val="32"/>
          <w:szCs w:val="32"/>
        </w:rPr>
        <w:t>费用补助</w:t>
      </w:r>
      <w:r>
        <w:rPr>
          <w:rFonts w:ascii="仿宋" w:eastAsia="仿宋" w:cs="Microsoft Yi Baiti"/>
          <w:kern w:val="0"/>
          <w:sz w:val="32"/>
          <w:szCs w:val="32"/>
        </w:rPr>
        <w:t>。</w:t>
      </w:r>
      <w:r>
        <w:rPr>
          <w:rFonts w:hint="eastAsia" w:ascii="仿宋" w:eastAsia="仿宋" w:cs="宋体"/>
          <w:kern w:val="0"/>
          <w:sz w:val="32"/>
          <w:szCs w:val="32"/>
        </w:rPr>
        <w:t>市级安排1600万元，县（区）匹配相应资金面向消费者分批分类分档发放“巴中产”“巴中造”消费券</w:t>
      </w:r>
      <w:r>
        <w:rPr>
          <w:rFonts w:hint="eastAsia" w:ascii="仿宋" w:eastAsia="仿宋" w:cs="Microsoft Yi Baiti"/>
          <w:kern w:val="0"/>
          <w:sz w:val="32"/>
          <w:szCs w:val="32"/>
        </w:rPr>
        <w:t>，</w:t>
      </w:r>
      <w:r>
        <w:rPr>
          <w:rFonts w:hint="eastAsia" w:ascii="仿宋" w:eastAsia="仿宋" w:cs="宋体"/>
          <w:kern w:val="0"/>
          <w:sz w:val="32"/>
          <w:szCs w:val="32"/>
        </w:rPr>
        <w:t>助力企业拓展市场</w:t>
      </w:r>
      <w:r>
        <w:rPr>
          <w:rFonts w:hint="eastAsia" w:ascii="仿宋" w:eastAsia="仿宋" w:cs="Microsoft Yi Baiti"/>
          <w:kern w:val="0"/>
          <w:sz w:val="32"/>
          <w:szCs w:val="32"/>
        </w:rPr>
        <w:t>，</w:t>
      </w:r>
      <w:r>
        <w:rPr>
          <w:rFonts w:hint="eastAsia" w:ascii="仿宋" w:eastAsia="仿宋" w:cs="宋体"/>
          <w:kern w:val="0"/>
          <w:sz w:val="32"/>
          <w:szCs w:val="32"/>
        </w:rPr>
        <w:t>带动特色优势产业发展</w:t>
      </w:r>
      <w:r>
        <w:rPr>
          <w:rFonts w:ascii="仿宋" w:eastAsia="仿宋" w:cs="宋体"/>
          <w:kern w:val="0"/>
          <w:sz w:val="32"/>
          <w:szCs w:val="32"/>
        </w:rPr>
        <w:t>。</w:t>
      </w:r>
      <w:r>
        <w:rPr>
          <w:rFonts w:hint="eastAsia" w:ascii="仿宋" w:eastAsia="仿宋"/>
          <w:sz w:val="32"/>
          <w:szCs w:val="32"/>
        </w:rPr>
        <w:t>〔</w:t>
      </w:r>
      <w:r>
        <w:rPr>
          <w:rFonts w:hint="eastAsia" w:ascii="仿宋" w:eastAsia="仿宋" w:cs="宋体"/>
          <w:kern w:val="0"/>
          <w:sz w:val="32"/>
          <w:szCs w:val="32"/>
        </w:rPr>
        <w:t>责任单位</w:t>
      </w:r>
      <w:r>
        <w:rPr>
          <w:rFonts w:ascii="仿宋" w:eastAsia="仿宋" w:cs="宋体"/>
          <w:kern w:val="0"/>
          <w:sz w:val="32"/>
          <w:szCs w:val="32"/>
        </w:rPr>
        <w:t>：</w:t>
      </w:r>
      <w:r>
        <w:rPr>
          <w:rFonts w:hint="eastAsia" w:ascii="仿宋" w:eastAsia="仿宋" w:cs="宋体"/>
          <w:kern w:val="0"/>
          <w:sz w:val="32"/>
          <w:szCs w:val="32"/>
        </w:rPr>
        <w:t>市商务局、市财政局</w:t>
      </w:r>
      <w:r>
        <w:rPr>
          <w:rFonts w:ascii="仿宋" w:eastAsia="仿宋" w:cs="宋体"/>
          <w:kern w:val="0"/>
          <w:sz w:val="32"/>
          <w:szCs w:val="32"/>
        </w:rPr>
        <w:t>，</w:t>
      </w:r>
      <w:r>
        <w:rPr>
          <w:rFonts w:hint="eastAsia" w:ascii="仿宋" w:eastAsia="仿宋"/>
          <w:sz w:val="32"/>
          <w:szCs w:val="32"/>
        </w:rPr>
        <w:t>各县（区）人民政府</w:t>
      </w:r>
      <w:r>
        <w:rPr>
          <w:rFonts w:ascii="仿宋" w:eastAsia="仿宋"/>
          <w:sz w:val="32"/>
          <w:szCs w:val="32"/>
        </w:rPr>
        <w:t>，巴中经开区、文旅新区管委会</w:t>
      </w:r>
      <w:r>
        <w:rPr>
          <w:rFonts w:hint="eastAsia" w:ascii="仿宋" w:eastAsia="仿宋"/>
          <w:sz w:val="32"/>
          <w:szCs w:val="32"/>
        </w:rPr>
        <w:t>〕</w:t>
      </w:r>
      <w:r>
        <w:rPr>
          <w:rFonts w:hint="eastAsia" w:ascii="仿宋" w:eastAsia="仿宋" w:cs="宋体"/>
          <w:kern w:val="0"/>
          <w:sz w:val="32"/>
          <w:szCs w:val="32"/>
        </w:rPr>
        <w:t xml:space="preserve"> </w:t>
      </w:r>
    </w:p>
    <w:p>
      <w:pPr>
        <w:widowControl/>
        <w:spacing w:line="560" w:lineRule="exact"/>
        <w:ind w:left="0" w:firstLine="640" w:firstLineChars="200"/>
        <w:jc w:val="left"/>
        <w:rPr>
          <w:rFonts w:hint="eastAsia" w:ascii="仿宋" w:eastAsia="仿宋" w:cs="宋体"/>
          <w:kern w:val="0"/>
          <w:sz w:val="32"/>
          <w:szCs w:val="32"/>
        </w:rPr>
      </w:pPr>
      <w:r>
        <w:rPr>
          <w:rFonts w:ascii="楷体" w:eastAsia="楷体" w:cs="宋体"/>
          <w:kern w:val="0"/>
          <w:sz w:val="32"/>
          <w:szCs w:val="32"/>
        </w:rPr>
        <w:t>（十一）</w:t>
      </w:r>
      <w:r>
        <w:rPr>
          <w:rFonts w:hint="eastAsia" w:ascii="楷体" w:eastAsia="楷体" w:cs="宋体"/>
          <w:kern w:val="0"/>
          <w:sz w:val="32"/>
          <w:szCs w:val="32"/>
        </w:rPr>
        <w:t>实施二手车销售奖励。</w:t>
      </w:r>
      <w:r>
        <w:rPr>
          <w:rFonts w:hint="eastAsia" w:ascii="仿宋" w:eastAsia="仿宋" w:cs="宋体"/>
          <w:kern w:val="0"/>
          <w:sz w:val="32"/>
          <w:szCs w:val="32"/>
        </w:rPr>
        <w:t>对符合条件的二手车经销企业</w:t>
      </w:r>
      <w:r>
        <w:rPr>
          <w:rFonts w:ascii="仿宋" w:eastAsia="仿宋" w:cs="宋体"/>
          <w:kern w:val="0"/>
          <w:sz w:val="32"/>
          <w:szCs w:val="32"/>
        </w:rPr>
        <w:t>，</w:t>
      </w:r>
      <w:r>
        <w:rPr>
          <w:rFonts w:hint="eastAsia" w:ascii="仿宋" w:eastAsia="仿宋" w:cs="宋体"/>
          <w:kern w:val="0"/>
          <w:sz w:val="32"/>
          <w:szCs w:val="32"/>
        </w:rPr>
        <w:t>按其 2024 年４月１日至2024年９月</w:t>
      </w:r>
      <w:r>
        <w:rPr>
          <w:rFonts w:ascii="仿宋" w:eastAsia="仿宋" w:cs="宋体"/>
          <w:kern w:val="0"/>
          <w:sz w:val="32"/>
          <w:szCs w:val="32"/>
        </w:rPr>
        <w:t>30</w:t>
      </w:r>
      <w:r>
        <w:rPr>
          <w:rFonts w:hint="eastAsia" w:ascii="仿宋" w:eastAsia="仿宋" w:cs="宋体"/>
          <w:kern w:val="0"/>
          <w:sz w:val="32"/>
          <w:szCs w:val="32"/>
        </w:rPr>
        <w:t>日期间二手车销售额的0.5%给予奖励</w:t>
      </w:r>
      <w:r>
        <w:rPr>
          <w:rFonts w:hint="eastAsia" w:ascii="仿宋" w:eastAsia="仿宋" w:cs="Microsoft Yi Baiti"/>
          <w:kern w:val="0"/>
          <w:sz w:val="32"/>
          <w:szCs w:val="32"/>
        </w:rPr>
        <w:t>,</w:t>
      </w:r>
      <w:r>
        <w:rPr>
          <w:rFonts w:hint="eastAsia" w:ascii="仿宋" w:eastAsia="仿宋" w:cs="宋体"/>
          <w:kern w:val="0"/>
          <w:sz w:val="32"/>
          <w:szCs w:val="32"/>
        </w:rPr>
        <w:t>单户企业最高不超过100万元</w:t>
      </w:r>
      <w:r>
        <w:rPr>
          <w:rFonts w:hint="eastAsia" w:ascii="仿宋" w:eastAsia="仿宋" w:cs="Microsoft Yi Baiti"/>
          <w:kern w:val="0"/>
          <w:sz w:val="32"/>
          <w:szCs w:val="32"/>
        </w:rPr>
        <w:t>。所需资金由省、市、县（区）按照</w:t>
      </w:r>
      <w:r>
        <w:rPr>
          <w:rFonts w:hint="eastAsia" w:ascii="仿宋" w:eastAsia="仿宋"/>
          <w:sz w:val="32"/>
          <w:szCs w:val="32"/>
        </w:rPr>
        <w:t>8:1:1</w:t>
      </w:r>
      <w:r>
        <w:rPr>
          <w:rFonts w:hint="eastAsia" w:ascii="仿宋" w:eastAsia="仿宋" w:cs="Microsoft Yi Baiti"/>
          <w:kern w:val="0"/>
          <w:sz w:val="32"/>
          <w:szCs w:val="32"/>
        </w:rPr>
        <w:t>比例负担。</w:t>
      </w:r>
      <w:r>
        <w:rPr>
          <w:rFonts w:hint="eastAsia" w:ascii="仿宋" w:eastAsia="仿宋" w:cs="宋体"/>
          <w:kern w:val="0"/>
          <w:sz w:val="32"/>
          <w:szCs w:val="32"/>
        </w:rPr>
        <w:t>〔责任单位</w:t>
      </w:r>
      <w:r>
        <w:rPr>
          <w:rFonts w:ascii="仿宋" w:eastAsia="仿宋" w:cs="宋体"/>
          <w:kern w:val="0"/>
          <w:sz w:val="32"/>
          <w:szCs w:val="32"/>
        </w:rPr>
        <w:t>：</w:t>
      </w:r>
      <w:r>
        <w:rPr>
          <w:rFonts w:hint="eastAsia" w:ascii="仿宋" w:eastAsia="仿宋" w:cs="宋体"/>
          <w:kern w:val="0"/>
          <w:sz w:val="32"/>
          <w:szCs w:val="32"/>
        </w:rPr>
        <w:t>市商务局、市财政局</w:t>
      </w:r>
      <w:r>
        <w:rPr>
          <w:rFonts w:hint="eastAsia" w:ascii="仿宋" w:eastAsia="仿宋" w:cs="Microsoft Yi Baiti"/>
          <w:kern w:val="0"/>
          <w:sz w:val="32"/>
          <w:szCs w:val="32"/>
        </w:rPr>
        <w:t>、</w:t>
      </w:r>
      <w:r>
        <w:rPr>
          <w:rFonts w:hint="eastAsia" w:ascii="仿宋" w:eastAsia="仿宋" w:cs="宋体"/>
          <w:kern w:val="0"/>
          <w:sz w:val="32"/>
          <w:szCs w:val="32"/>
        </w:rPr>
        <w:t>各县</w:t>
      </w:r>
      <w:r>
        <w:rPr>
          <w:rFonts w:ascii="仿宋" w:eastAsia="仿宋" w:cs="宋体"/>
          <w:kern w:val="0"/>
          <w:sz w:val="32"/>
          <w:szCs w:val="32"/>
        </w:rPr>
        <w:t>（</w:t>
      </w:r>
      <w:r>
        <w:rPr>
          <w:rFonts w:hint="eastAsia" w:ascii="仿宋" w:eastAsia="仿宋" w:cs="宋体"/>
          <w:kern w:val="0"/>
          <w:sz w:val="32"/>
          <w:szCs w:val="32"/>
        </w:rPr>
        <w:t>区</w:t>
      </w:r>
      <w:r>
        <w:rPr>
          <w:rFonts w:ascii="仿宋" w:eastAsia="仿宋" w:cs="宋体"/>
          <w:kern w:val="0"/>
          <w:sz w:val="32"/>
          <w:szCs w:val="32"/>
        </w:rPr>
        <w:t>）</w:t>
      </w:r>
      <w:r>
        <w:rPr>
          <w:rFonts w:hint="eastAsia" w:ascii="仿宋" w:eastAsia="仿宋" w:cs="宋体"/>
          <w:kern w:val="0"/>
          <w:sz w:val="32"/>
          <w:szCs w:val="32"/>
        </w:rPr>
        <w:t>人民政府</w:t>
      </w:r>
      <w:r>
        <w:rPr>
          <w:rFonts w:ascii="仿宋" w:eastAsia="仿宋" w:cs="宋体"/>
          <w:kern w:val="0"/>
          <w:sz w:val="32"/>
          <w:szCs w:val="32"/>
        </w:rPr>
        <w:t>，</w:t>
      </w:r>
      <w:r>
        <w:rPr>
          <w:rFonts w:ascii="仿宋" w:eastAsia="仿宋"/>
          <w:sz w:val="32"/>
          <w:szCs w:val="32"/>
        </w:rPr>
        <w:t>巴中经开区、文旅新区管委会</w:t>
      </w:r>
      <w:r>
        <w:rPr>
          <w:rFonts w:hint="eastAsia" w:ascii="仿宋" w:eastAsia="仿宋" w:cs="宋体"/>
          <w:kern w:val="0"/>
          <w:sz w:val="32"/>
          <w:szCs w:val="32"/>
        </w:rPr>
        <w:t xml:space="preserve">〕 </w:t>
      </w:r>
    </w:p>
    <w:p>
      <w:pPr>
        <w:widowControl/>
        <w:spacing w:line="560" w:lineRule="exact"/>
        <w:ind w:left="0" w:firstLine="640" w:firstLineChars="200"/>
        <w:jc w:val="left"/>
        <w:rPr>
          <w:rFonts w:hint="eastAsia" w:ascii="仿宋" w:eastAsia="仿宋" w:cs="宋体"/>
          <w:kern w:val="0"/>
          <w:sz w:val="32"/>
          <w:szCs w:val="32"/>
        </w:rPr>
      </w:pPr>
      <w:r>
        <w:rPr>
          <w:rFonts w:ascii="楷体" w:eastAsia="楷体" w:cs="宋体"/>
          <w:kern w:val="0"/>
          <w:sz w:val="32"/>
          <w:szCs w:val="32"/>
        </w:rPr>
        <w:t>（十二）</w:t>
      </w:r>
      <w:r>
        <w:rPr>
          <w:rFonts w:hint="eastAsia" w:ascii="楷体" w:eastAsia="楷体" w:cs="宋体"/>
          <w:kern w:val="0"/>
          <w:sz w:val="32"/>
          <w:szCs w:val="32"/>
        </w:rPr>
        <w:t>实施旅行社入境游激励。</w:t>
      </w:r>
      <w:r>
        <w:rPr>
          <w:rFonts w:hint="eastAsia" w:ascii="仿宋" w:eastAsia="仿宋" w:cs="宋体"/>
          <w:kern w:val="0"/>
          <w:sz w:val="32"/>
          <w:szCs w:val="32"/>
        </w:rPr>
        <w:t>除省级激励措施外，市财政对2024年1月1日至2024年12月31日期间，接待来巴入境游过夜游客达到500人次、1000人次、2000人次的旅行社，市级财政分别给予1万元、3万元、8万元一次性奖补。原引客入巴激励政策继续执行。(责任单位</w:t>
      </w:r>
      <w:r>
        <w:rPr>
          <w:rFonts w:ascii="仿宋" w:eastAsia="仿宋" w:cs="宋体"/>
          <w:kern w:val="0"/>
          <w:sz w:val="32"/>
          <w:szCs w:val="32"/>
        </w:rPr>
        <w:t>：</w:t>
      </w:r>
      <w:r>
        <w:rPr>
          <w:rFonts w:hint="eastAsia" w:ascii="仿宋" w:eastAsia="仿宋" w:cs="宋体"/>
          <w:kern w:val="0"/>
          <w:sz w:val="32"/>
          <w:szCs w:val="32"/>
        </w:rPr>
        <w:t>市文</w:t>
      </w:r>
      <w:r>
        <w:rPr>
          <w:rFonts w:ascii="仿宋" w:eastAsia="仿宋" w:cs="宋体"/>
          <w:kern w:val="0"/>
          <w:sz w:val="32"/>
          <w:szCs w:val="32"/>
        </w:rPr>
        <w:t>化广电体育旅游</w:t>
      </w:r>
      <w:r>
        <w:rPr>
          <w:rFonts w:hint="eastAsia" w:ascii="仿宋" w:eastAsia="仿宋" w:cs="宋体"/>
          <w:kern w:val="0"/>
          <w:sz w:val="32"/>
          <w:szCs w:val="32"/>
        </w:rPr>
        <w:t xml:space="preserve">局、市财政局) </w:t>
      </w:r>
    </w:p>
    <w:p>
      <w:pPr>
        <w:widowControl/>
        <w:spacing w:line="560" w:lineRule="exact"/>
        <w:ind w:left="0" w:firstLine="640" w:firstLineChars="200"/>
        <w:jc w:val="left"/>
        <w:rPr>
          <w:rFonts w:hint="eastAsia" w:ascii="黑体" w:eastAsia="黑体" w:cs="宋体"/>
          <w:kern w:val="0"/>
          <w:sz w:val="32"/>
          <w:szCs w:val="32"/>
        </w:rPr>
      </w:pPr>
      <w:r>
        <w:rPr>
          <w:rFonts w:hint="eastAsia" w:ascii="黑体" w:eastAsia="黑体" w:cs="宋体"/>
          <w:kern w:val="0"/>
          <w:sz w:val="32"/>
          <w:szCs w:val="32"/>
        </w:rPr>
        <w:t xml:space="preserve">五、推动外贸提质增效 </w:t>
      </w:r>
    </w:p>
    <w:p>
      <w:pPr>
        <w:widowControl/>
        <w:spacing w:line="560" w:lineRule="exact"/>
        <w:ind w:left="0" w:firstLine="640" w:firstLineChars="200"/>
        <w:jc w:val="left"/>
        <w:rPr>
          <w:rFonts w:hint="eastAsia" w:ascii="仿宋" w:eastAsia="仿宋" w:cs="宋体"/>
          <w:kern w:val="0"/>
          <w:sz w:val="32"/>
          <w:szCs w:val="32"/>
        </w:rPr>
      </w:pPr>
      <w:r>
        <w:rPr>
          <w:rFonts w:ascii="楷体" w:eastAsia="楷体" w:cs="宋体"/>
          <w:kern w:val="0"/>
          <w:sz w:val="32"/>
          <w:szCs w:val="32"/>
        </w:rPr>
        <w:t>（十三）</w:t>
      </w:r>
      <w:r>
        <w:rPr>
          <w:rFonts w:hint="eastAsia" w:ascii="楷体" w:eastAsia="楷体"/>
          <w:sz w:val="32"/>
          <w:szCs w:val="32"/>
        </w:rPr>
        <w:t>支持企业“开口破零”。</w:t>
      </w:r>
      <w:r>
        <w:rPr>
          <w:rFonts w:hint="eastAsia" w:ascii="仿宋" w:eastAsia="仿宋"/>
          <w:sz w:val="32"/>
          <w:szCs w:val="32"/>
        </w:rPr>
        <w:t>除省级激励政策外，市级财政鼓励和支持非自营企业转自营，对当年实现进出口额达到50万元以上的，给予1万元奖励，每增加50万元增加1万元；对年度自营进出口首次达到500万元以上的生产型企业，给予10万元一次性财政资金奖励。支持新业态发展，对在巴中注册并实际运营</w:t>
      </w:r>
      <w:r>
        <w:rPr>
          <w:rFonts w:ascii="仿宋" w:eastAsia="仿宋"/>
          <w:sz w:val="32"/>
          <w:szCs w:val="32"/>
        </w:rPr>
        <w:t>1</w:t>
      </w:r>
      <w:r>
        <w:rPr>
          <w:rFonts w:hint="eastAsia" w:ascii="仿宋" w:eastAsia="仿宋"/>
          <w:sz w:val="32"/>
          <w:szCs w:val="32"/>
        </w:rPr>
        <w:t>年以上的跨境电商企业、二手车出口企业，按照年进出口总值的</w:t>
      </w:r>
      <w:r>
        <w:rPr>
          <w:rFonts w:hint="eastAsia" w:ascii="仿宋" w:eastAsia="仿宋"/>
          <w:sz w:val="32"/>
          <w:szCs w:val="32"/>
          <w:lang w:val="en-US" w:eastAsia="zh-CN"/>
        </w:rPr>
        <w:t>2</w:t>
      </w:r>
      <w:r>
        <w:rPr>
          <w:rFonts w:hint="eastAsia" w:ascii="仿宋" w:eastAsia="仿宋" w:cs="Arial"/>
          <w:sz w:val="32"/>
          <w:szCs w:val="32"/>
          <w:lang w:val="en-US" w:eastAsia="zh-CN"/>
        </w:rPr>
        <w:t>‰</w:t>
      </w:r>
      <w:r>
        <w:rPr>
          <w:rFonts w:hint="eastAsia" w:ascii="仿宋" w:eastAsia="仿宋"/>
          <w:sz w:val="32"/>
          <w:szCs w:val="32"/>
        </w:rPr>
        <w:t>给予补助，最高不超过200万元。支持在巴中注册的外贸综合服务企业每服务1家生产型外贸企业进出口额满1000万元补助1万元，最高不超过10万元/年。</w:t>
      </w:r>
      <w:r>
        <w:rPr>
          <w:rFonts w:ascii="仿宋" w:eastAsia="仿宋"/>
          <w:sz w:val="32"/>
          <w:szCs w:val="32"/>
        </w:rPr>
        <w:t>（</w:t>
      </w:r>
      <w:r>
        <w:rPr>
          <w:rFonts w:hint="eastAsia" w:ascii="仿宋" w:eastAsia="仿宋" w:cs="宋体"/>
          <w:kern w:val="0"/>
          <w:sz w:val="32"/>
          <w:szCs w:val="32"/>
        </w:rPr>
        <w:t>责任单位</w:t>
      </w:r>
      <w:r>
        <w:rPr>
          <w:rFonts w:ascii="仿宋" w:eastAsia="仿宋" w:cs="宋体"/>
          <w:kern w:val="0"/>
          <w:sz w:val="32"/>
          <w:szCs w:val="32"/>
        </w:rPr>
        <w:t>：</w:t>
      </w:r>
      <w:r>
        <w:rPr>
          <w:rFonts w:hint="eastAsia" w:ascii="仿宋" w:eastAsia="仿宋" w:cs="宋体"/>
          <w:kern w:val="0"/>
          <w:sz w:val="32"/>
          <w:szCs w:val="32"/>
        </w:rPr>
        <w:t>市商务局、市财政局</w:t>
      </w:r>
      <w:r>
        <w:rPr>
          <w:rFonts w:ascii="仿宋" w:eastAsia="仿宋"/>
          <w:sz w:val="32"/>
          <w:szCs w:val="32"/>
        </w:rPr>
        <w:t>）</w:t>
      </w:r>
    </w:p>
    <w:p>
      <w:pPr>
        <w:spacing w:line="560" w:lineRule="exact"/>
        <w:ind w:firstLine="640" w:firstLineChars="200"/>
        <w:jc w:val="left"/>
        <w:rPr>
          <w:rFonts w:hint="eastAsia" w:ascii="仿宋" w:eastAsia="仿宋" w:cs="宋体"/>
          <w:kern w:val="0"/>
          <w:sz w:val="32"/>
          <w:szCs w:val="32"/>
        </w:rPr>
      </w:pPr>
      <w:r>
        <w:rPr>
          <w:rFonts w:ascii="楷体" w:eastAsia="楷体" w:cs="宋体"/>
          <w:kern w:val="0"/>
          <w:sz w:val="32"/>
          <w:szCs w:val="32"/>
        </w:rPr>
        <w:t>（十四）</w:t>
      </w:r>
      <w:r>
        <w:rPr>
          <w:rFonts w:hint="eastAsia" w:ascii="楷体" w:eastAsia="楷体" w:cs="宋体"/>
          <w:kern w:val="0"/>
          <w:sz w:val="32"/>
          <w:szCs w:val="32"/>
        </w:rPr>
        <w:t>实施出口信用保险保费补贴</w:t>
      </w:r>
      <w:r>
        <w:rPr>
          <w:rFonts w:hint="eastAsia" w:ascii="楷体" w:eastAsia="楷体" w:cs="Microsoft Yi Baiti"/>
          <w:kern w:val="0"/>
          <w:sz w:val="32"/>
          <w:szCs w:val="32"/>
        </w:rPr>
        <w:t>。</w:t>
      </w:r>
      <w:r>
        <w:rPr>
          <w:rFonts w:hint="eastAsia" w:ascii="仿宋" w:eastAsia="仿宋" w:cs="宋体"/>
          <w:kern w:val="0"/>
          <w:sz w:val="32"/>
          <w:szCs w:val="32"/>
        </w:rPr>
        <w:t>对上年出口额500万美元以下的企业</w:t>
      </w:r>
      <w:r>
        <w:rPr>
          <w:rFonts w:hint="eastAsia" w:ascii="仿宋" w:eastAsia="仿宋" w:cs="Microsoft Yi Baiti"/>
          <w:kern w:val="0"/>
          <w:sz w:val="32"/>
          <w:szCs w:val="32"/>
        </w:rPr>
        <w:t>，</w:t>
      </w:r>
      <w:r>
        <w:rPr>
          <w:rFonts w:hint="eastAsia" w:ascii="仿宋" w:eastAsia="仿宋" w:cs="宋体"/>
          <w:kern w:val="0"/>
          <w:sz w:val="32"/>
          <w:szCs w:val="32"/>
        </w:rPr>
        <w:t>2024年１月1日至2024年12月31日期间通过省级中小微外贸企业政策性出口信用保险统保平台投保、保险费率不超过0.09%的保险费依规定由省级财政据实全额补贴</w:t>
      </w:r>
      <w:r>
        <w:rPr>
          <w:rFonts w:ascii="仿宋" w:eastAsia="仿宋" w:cs="宋体"/>
          <w:kern w:val="0"/>
          <w:sz w:val="32"/>
          <w:szCs w:val="32"/>
        </w:rPr>
        <w:t>。</w:t>
      </w:r>
      <w:r>
        <w:rPr>
          <w:rFonts w:hint="eastAsia" w:ascii="仿宋" w:eastAsia="仿宋" w:cs="宋体"/>
          <w:kern w:val="0"/>
          <w:sz w:val="32"/>
          <w:szCs w:val="32"/>
        </w:rPr>
        <w:t xml:space="preserve"> (责任单位</w:t>
      </w:r>
      <w:r>
        <w:rPr>
          <w:rFonts w:ascii="仿宋" w:eastAsia="仿宋" w:cs="宋体"/>
          <w:kern w:val="0"/>
          <w:sz w:val="32"/>
          <w:szCs w:val="32"/>
        </w:rPr>
        <w:t>：</w:t>
      </w:r>
      <w:r>
        <w:rPr>
          <w:rFonts w:hint="eastAsia" w:ascii="仿宋" w:eastAsia="仿宋" w:cs="宋体"/>
          <w:kern w:val="0"/>
          <w:sz w:val="32"/>
          <w:szCs w:val="32"/>
        </w:rPr>
        <w:t xml:space="preserve">市商务局、市财政局) </w:t>
      </w:r>
    </w:p>
    <w:p>
      <w:pPr>
        <w:widowControl/>
        <w:spacing w:line="560" w:lineRule="exact"/>
        <w:ind w:left="0" w:firstLine="640" w:firstLineChars="200"/>
        <w:jc w:val="left"/>
        <w:rPr>
          <w:rFonts w:hint="eastAsia" w:ascii="仿宋" w:eastAsia="仿宋" w:cs="宋体"/>
          <w:kern w:val="0"/>
          <w:sz w:val="32"/>
          <w:szCs w:val="32"/>
        </w:rPr>
      </w:pPr>
      <w:r>
        <w:rPr>
          <w:rFonts w:hint="eastAsia" w:ascii="黑体" w:eastAsia="黑体" w:cs="宋体"/>
          <w:kern w:val="0"/>
          <w:sz w:val="32"/>
          <w:szCs w:val="32"/>
        </w:rPr>
        <w:t>六、帮助企业降本减负</w:t>
      </w:r>
      <w:r>
        <w:rPr>
          <w:rFonts w:hint="eastAsia" w:ascii="仿宋" w:eastAsia="仿宋" w:cs="宋体"/>
          <w:kern w:val="0"/>
          <w:sz w:val="32"/>
          <w:szCs w:val="32"/>
        </w:rPr>
        <w:t xml:space="preserve"> </w:t>
      </w:r>
    </w:p>
    <w:p>
      <w:pPr>
        <w:autoSpaceDE w:val="0"/>
        <w:spacing w:line="560" w:lineRule="exact"/>
        <w:ind w:firstLine="640" w:firstLineChars="200"/>
        <w:jc w:val="left"/>
        <w:rPr>
          <w:rFonts w:hint="eastAsia" w:ascii="仿宋" w:eastAsia="仿宋"/>
          <w:sz w:val="32"/>
          <w:szCs w:val="32"/>
        </w:rPr>
      </w:pPr>
      <w:r>
        <w:rPr>
          <w:rFonts w:ascii="楷体" w:eastAsia="楷体" w:cs="宋体"/>
          <w:kern w:val="0"/>
          <w:sz w:val="32"/>
          <w:szCs w:val="32"/>
        </w:rPr>
        <w:t>（十五）</w:t>
      </w:r>
      <w:r>
        <w:rPr>
          <w:rFonts w:hint="eastAsia" w:ascii="楷体" w:eastAsia="楷体" w:cs="宋体"/>
          <w:kern w:val="0"/>
          <w:sz w:val="32"/>
          <w:szCs w:val="32"/>
        </w:rPr>
        <w:t>实施地方法人银行支农支小再贷款激励。</w:t>
      </w:r>
      <w:r>
        <w:rPr>
          <w:rFonts w:hint="eastAsia" w:ascii="仿宋" w:eastAsia="仿宋"/>
          <w:sz w:val="32"/>
          <w:szCs w:val="32"/>
        </w:rPr>
        <w:t>对2024年4月1日至2024年12月31日期间,地方法人银行运用人民银行再贷款资金向小微企业(含个体工商户、小微企业主)和新型农业经营主体(含农户)发放的低于1年期LPR+40BP的贷款,按其新发放贷款金额的1%给予一次性奖补。所需资金由省、市、县（区）按照8:1:1负担.〔责任单位</w:t>
      </w:r>
      <w:r>
        <w:rPr>
          <w:rFonts w:ascii="仿宋" w:eastAsia="仿宋"/>
          <w:sz w:val="32"/>
          <w:szCs w:val="32"/>
        </w:rPr>
        <w:t>：</w:t>
      </w:r>
      <w:r>
        <w:rPr>
          <w:rFonts w:hint="eastAsia" w:ascii="仿宋" w:eastAsia="仿宋"/>
          <w:sz w:val="32"/>
          <w:szCs w:val="32"/>
        </w:rPr>
        <w:t>市财政局、人民银行巴中市分行,各县（区）人民政府</w:t>
      </w:r>
      <w:r>
        <w:rPr>
          <w:rFonts w:ascii="仿宋" w:eastAsia="仿宋"/>
          <w:sz w:val="32"/>
          <w:szCs w:val="32"/>
        </w:rPr>
        <w:t>，巴中经开区、文旅新区管委会</w:t>
      </w:r>
      <w:r>
        <w:rPr>
          <w:rFonts w:hint="eastAsia" w:ascii="仿宋" w:eastAsia="仿宋"/>
          <w:sz w:val="32"/>
          <w:szCs w:val="32"/>
        </w:rPr>
        <w:t>〕</w:t>
      </w:r>
    </w:p>
    <w:p>
      <w:pPr>
        <w:widowControl/>
        <w:spacing w:line="560" w:lineRule="exact"/>
        <w:ind w:left="0" w:firstLine="640" w:firstLineChars="200"/>
        <w:jc w:val="left"/>
        <w:rPr>
          <w:rFonts w:hint="eastAsia" w:ascii="仿宋" w:eastAsia="仿宋" w:cs="宋体"/>
          <w:kern w:val="0"/>
          <w:sz w:val="32"/>
          <w:szCs w:val="32"/>
        </w:rPr>
      </w:pPr>
      <w:r>
        <w:rPr>
          <w:rFonts w:ascii="楷体" w:eastAsia="楷体" w:cs="宋体"/>
          <w:kern w:val="0"/>
          <w:sz w:val="32"/>
          <w:szCs w:val="32"/>
        </w:rPr>
        <w:t>（十六）</w:t>
      </w:r>
      <w:r>
        <w:rPr>
          <w:rFonts w:hint="eastAsia" w:ascii="楷体" w:eastAsia="楷体" w:cs="宋体"/>
          <w:kern w:val="0"/>
          <w:sz w:val="32"/>
          <w:szCs w:val="32"/>
        </w:rPr>
        <w:t>加大货车高速公路通行费优惠力度</w:t>
      </w:r>
      <w:r>
        <w:rPr>
          <w:rFonts w:hint="eastAsia" w:ascii="楷体" w:eastAsia="楷体" w:cs="Microsoft Yi Baiti"/>
          <w:kern w:val="0"/>
          <w:sz w:val="32"/>
          <w:szCs w:val="32"/>
        </w:rPr>
        <w:t>。</w:t>
      </w:r>
      <w:r>
        <w:rPr>
          <w:rFonts w:hint="eastAsia" w:ascii="仿宋" w:eastAsia="仿宋" w:cs="宋体"/>
          <w:kern w:val="0"/>
          <w:sz w:val="32"/>
          <w:szCs w:val="32"/>
        </w:rPr>
        <w:t>对2024年４月１日至2024年</w:t>
      </w:r>
      <w:r>
        <w:rPr>
          <w:rFonts w:ascii="仿宋" w:eastAsia="仿宋" w:cs="宋体"/>
          <w:kern w:val="0"/>
          <w:sz w:val="32"/>
          <w:szCs w:val="32"/>
        </w:rPr>
        <w:t>12</w:t>
      </w:r>
      <w:r>
        <w:rPr>
          <w:rFonts w:hint="eastAsia" w:ascii="仿宋" w:eastAsia="仿宋" w:cs="宋体"/>
          <w:kern w:val="0"/>
          <w:sz w:val="32"/>
          <w:szCs w:val="32"/>
        </w:rPr>
        <w:t>月</w:t>
      </w:r>
      <w:r>
        <w:rPr>
          <w:rFonts w:ascii="仿宋" w:eastAsia="仿宋" w:cs="宋体"/>
          <w:kern w:val="0"/>
          <w:sz w:val="32"/>
          <w:szCs w:val="32"/>
        </w:rPr>
        <w:t>31</w:t>
      </w:r>
      <w:r>
        <w:rPr>
          <w:rFonts w:hint="eastAsia" w:ascii="仿宋" w:eastAsia="仿宋" w:cs="宋体"/>
          <w:kern w:val="0"/>
          <w:sz w:val="32"/>
          <w:szCs w:val="32"/>
        </w:rPr>
        <w:t>日期间</w:t>
      </w:r>
      <w:r>
        <w:rPr>
          <w:rFonts w:hint="eastAsia" w:ascii="仿宋" w:eastAsia="仿宋" w:cs="Microsoft Yi Baiti"/>
          <w:kern w:val="0"/>
          <w:sz w:val="32"/>
          <w:szCs w:val="32"/>
        </w:rPr>
        <w:t>，</w:t>
      </w:r>
      <w:r>
        <w:rPr>
          <w:rFonts w:hint="eastAsia" w:ascii="仿宋" w:eastAsia="仿宋" w:cs="宋体"/>
          <w:kern w:val="0"/>
          <w:sz w:val="32"/>
          <w:szCs w:val="32"/>
        </w:rPr>
        <w:t>安装</w:t>
      </w:r>
      <w:r>
        <w:rPr>
          <w:rFonts w:ascii="仿宋" w:eastAsia="仿宋" w:cs="宋体"/>
          <w:kern w:val="0"/>
          <w:sz w:val="32"/>
          <w:szCs w:val="32"/>
        </w:rPr>
        <w:t>ETC</w:t>
      </w:r>
      <w:r>
        <w:rPr>
          <w:rFonts w:hint="eastAsia" w:ascii="仿宋" w:eastAsia="仿宋" w:cs="宋体"/>
          <w:kern w:val="0"/>
          <w:sz w:val="32"/>
          <w:szCs w:val="32"/>
        </w:rPr>
        <w:t>(电子不停车收费系统)的非新能源货车省内高速公路通行费优惠由５％提高至6%</w:t>
      </w:r>
      <w:r>
        <w:rPr>
          <w:rFonts w:hint="eastAsia" w:ascii="仿宋" w:eastAsia="仿宋" w:cs="Microsoft Yi Baiti"/>
          <w:kern w:val="0"/>
          <w:sz w:val="32"/>
          <w:szCs w:val="32"/>
        </w:rPr>
        <w:t>，</w:t>
      </w:r>
      <w:r>
        <w:rPr>
          <w:rFonts w:hint="eastAsia" w:ascii="仿宋" w:eastAsia="仿宋" w:cs="宋体"/>
          <w:kern w:val="0"/>
          <w:sz w:val="32"/>
          <w:szCs w:val="32"/>
        </w:rPr>
        <w:t>夜间(23:00至次日6:00)行车通行费优惠由6%提高至8%，安装ETC的新能源货车省内高速公路通行费优惠由5%提高至20%</w:t>
      </w:r>
      <w:r>
        <w:rPr>
          <w:rFonts w:hint="eastAsia" w:ascii="仿宋" w:eastAsia="仿宋" w:cs="Microsoft Yi Baiti"/>
          <w:kern w:val="0"/>
          <w:sz w:val="32"/>
          <w:szCs w:val="32"/>
        </w:rPr>
        <w:t>。</w:t>
      </w:r>
      <w:r>
        <w:rPr>
          <w:rFonts w:hint="eastAsia" w:ascii="仿宋" w:eastAsia="仿宋" w:cs="宋体"/>
          <w:kern w:val="0"/>
          <w:sz w:val="32"/>
          <w:szCs w:val="32"/>
        </w:rPr>
        <w:t>安装ETC的国际标准集装箱运输车辆省内高速公路通行费优惠由30%提高至60%，优惠政策就高执行</w:t>
      </w:r>
      <w:r>
        <w:rPr>
          <w:rFonts w:ascii="仿宋" w:eastAsia="仿宋" w:cs="宋体"/>
          <w:kern w:val="0"/>
          <w:sz w:val="32"/>
          <w:szCs w:val="32"/>
        </w:rPr>
        <w:t>，</w:t>
      </w:r>
      <w:r>
        <w:rPr>
          <w:rFonts w:hint="eastAsia" w:ascii="仿宋" w:eastAsia="仿宋" w:cs="宋体"/>
          <w:kern w:val="0"/>
          <w:sz w:val="32"/>
          <w:szCs w:val="32"/>
        </w:rPr>
        <w:t>提高部分所需资金依照规定省级财政负担</w:t>
      </w:r>
      <w:r>
        <w:rPr>
          <w:rFonts w:ascii="仿宋" w:eastAsia="仿宋" w:cs="宋体"/>
          <w:kern w:val="0"/>
          <w:sz w:val="32"/>
          <w:szCs w:val="32"/>
        </w:rPr>
        <w:t>。</w:t>
      </w:r>
      <w:r>
        <w:rPr>
          <w:rFonts w:hint="eastAsia" w:ascii="仿宋" w:eastAsia="仿宋" w:cs="宋体"/>
          <w:kern w:val="0"/>
          <w:sz w:val="32"/>
          <w:szCs w:val="32"/>
        </w:rPr>
        <w:t>(责任单位</w:t>
      </w:r>
      <w:r>
        <w:rPr>
          <w:rFonts w:ascii="仿宋" w:eastAsia="仿宋" w:cs="宋体"/>
          <w:kern w:val="0"/>
          <w:sz w:val="32"/>
          <w:szCs w:val="32"/>
        </w:rPr>
        <w:t>：</w:t>
      </w:r>
      <w:r>
        <w:rPr>
          <w:rFonts w:hint="eastAsia" w:ascii="仿宋" w:eastAsia="仿宋" w:cs="宋体"/>
          <w:kern w:val="0"/>
          <w:sz w:val="32"/>
          <w:szCs w:val="32"/>
        </w:rPr>
        <w:t xml:space="preserve">市交通运输局、市财政局) </w:t>
      </w:r>
    </w:p>
    <w:p>
      <w:pPr>
        <w:autoSpaceDE w:val="0"/>
        <w:spacing w:line="560" w:lineRule="exact"/>
        <w:ind w:firstLine="640" w:firstLineChars="200"/>
        <w:jc w:val="left"/>
        <w:rPr>
          <w:rFonts w:hint="eastAsia" w:ascii="仿宋" w:eastAsia="仿宋"/>
          <w:sz w:val="32"/>
          <w:szCs w:val="32"/>
        </w:rPr>
      </w:pPr>
      <w:r>
        <w:rPr>
          <w:rFonts w:ascii="楷体" w:eastAsia="楷体" w:cs="宋体"/>
          <w:kern w:val="0"/>
          <w:sz w:val="32"/>
          <w:szCs w:val="32"/>
        </w:rPr>
        <w:t>（十七）</w:t>
      </w:r>
      <w:r>
        <w:rPr>
          <w:rFonts w:hint="eastAsia" w:ascii="楷体" w:eastAsia="楷体" w:cs="宋体"/>
          <w:kern w:val="0"/>
          <w:sz w:val="32"/>
          <w:szCs w:val="32"/>
        </w:rPr>
        <w:t>实施企业招工成本补贴。</w:t>
      </w:r>
      <w:r>
        <w:rPr>
          <w:rFonts w:hint="eastAsia" w:ascii="仿宋" w:eastAsia="仿宋" w:cs="宋体"/>
          <w:kern w:val="0"/>
          <w:sz w:val="32"/>
          <w:szCs w:val="32"/>
        </w:rPr>
        <w:t>对2024年４月１日至2024年9月30日期间</w:t>
      </w:r>
      <w:r>
        <w:rPr>
          <w:rFonts w:hint="eastAsia" w:ascii="仿宋" w:eastAsia="仿宋" w:cs="Microsoft Yi Baiti"/>
          <w:kern w:val="0"/>
          <w:sz w:val="32"/>
          <w:szCs w:val="32"/>
        </w:rPr>
        <w:t>，</w:t>
      </w:r>
      <w:r>
        <w:rPr>
          <w:rFonts w:hint="eastAsia" w:ascii="仿宋" w:eastAsia="仿宋" w:cs="宋体"/>
          <w:kern w:val="0"/>
          <w:sz w:val="32"/>
          <w:szCs w:val="32"/>
        </w:rPr>
        <w:t>签订劳动合同招用新成长劳动力并按规定参加职工社会保险(新成长劳动力应为首次参保) 的企业</w:t>
      </w:r>
      <w:r>
        <w:rPr>
          <w:rFonts w:hint="eastAsia" w:ascii="仿宋" w:eastAsia="仿宋" w:cs="Microsoft Yi Baiti"/>
          <w:kern w:val="0"/>
          <w:sz w:val="32"/>
          <w:szCs w:val="32"/>
        </w:rPr>
        <w:t>，</w:t>
      </w:r>
      <w:r>
        <w:rPr>
          <w:rFonts w:hint="eastAsia" w:ascii="仿宋" w:eastAsia="仿宋" w:cs="宋体"/>
          <w:kern w:val="0"/>
          <w:sz w:val="32"/>
          <w:szCs w:val="32"/>
        </w:rPr>
        <w:t>给予招工成本补贴</w:t>
      </w:r>
      <w:r>
        <w:rPr>
          <w:rFonts w:hint="eastAsia" w:ascii="仿宋" w:eastAsia="仿宋" w:cs="Microsoft Yi Baiti"/>
          <w:kern w:val="0"/>
          <w:sz w:val="32"/>
          <w:szCs w:val="32"/>
        </w:rPr>
        <w:t>，</w:t>
      </w:r>
      <w:r>
        <w:rPr>
          <w:rFonts w:hint="eastAsia" w:ascii="仿宋" w:eastAsia="仿宋" w:cs="宋体"/>
          <w:kern w:val="0"/>
          <w:sz w:val="32"/>
          <w:szCs w:val="32"/>
        </w:rPr>
        <w:t>补贴标准由每人</w:t>
      </w:r>
      <w:r>
        <w:rPr>
          <w:rFonts w:ascii="仿宋" w:eastAsia="仿宋" w:cs="宋体"/>
          <w:kern w:val="0"/>
          <w:sz w:val="32"/>
          <w:szCs w:val="32"/>
        </w:rPr>
        <w:t>500</w:t>
      </w:r>
      <w:r>
        <w:rPr>
          <w:rFonts w:hint="eastAsia" w:ascii="仿宋" w:eastAsia="仿宋" w:cs="宋体"/>
          <w:kern w:val="0"/>
          <w:sz w:val="32"/>
          <w:szCs w:val="32"/>
        </w:rPr>
        <w:t>元提高至</w:t>
      </w:r>
      <w:r>
        <w:rPr>
          <w:rFonts w:ascii="仿宋" w:eastAsia="仿宋" w:cs="宋体"/>
          <w:kern w:val="0"/>
          <w:sz w:val="32"/>
          <w:szCs w:val="32"/>
        </w:rPr>
        <w:t>1000</w:t>
      </w:r>
      <w:r>
        <w:rPr>
          <w:rFonts w:hint="eastAsia" w:ascii="仿宋" w:eastAsia="仿宋" w:cs="宋体"/>
          <w:kern w:val="0"/>
          <w:sz w:val="32"/>
          <w:szCs w:val="32"/>
        </w:rPr>
        <w:t>元</w:t>
      </w:r>
      <w:r>
        <w:rPr>
          <w:rFonts w:hint="eastAsia" w:ascii="仿宋" w:eastAsia="仿宋" w:cs="Microsoft Yi Baiti"/>
          <w:kern w:val="0"/>
          <w:sz w:val="32"/>
          <w:szCs w:val="32"/>
        </w:rPr>
        <w:t>，</w:t>
      </w:r>
      <w:r>
        <w:rPr>
          <w:rFonts w:hint="eastAsia" w:ascii="仿宋" w:eastAsia="仿宋" w:cs="宋体"/>
          <w:kern w:val="0"/>
          <w:sz w:val="32"/>
          <w:szCs w:val="32"/>
        </w:rPr>
        <w:t>社会团体、基金会、社会服务机构、律师事务所、会计师事务所、以单位形式参保的个体工商户参照实施</w:t>
      </w:r>
      <w:r>
        <w:rPr>
          <w:rFonts w:hint="eastAsia" w:ascii="仿宋" w:eastAsia="仿宋" w:cs="Microsoft Yi Baiti"/>
          <w:kern w:val="0"/>
          <w:sz w:val="32"/>
          <w:szCs w:val="32"/>
        </w:rPr>
        <w:t>，</w:t>
      </w:r>
      <w:r>
        <w:rPr>
          <w:rFonts w:hint="eastAsia" w:ascii="仿宋" w:eastAsia="仿宋" w:cs="宋体"/>
          <w:kern w:val="0"/>
          <w:sz w:val="32"/>
          <w:szCs w:val="32"/>
        </w:rPr>
        <w:t>补贴实行“免申即享”发放方式</w:t>
      </w:r>
      <w:r>
        <w:rPr>
          <w:rFonts w:hint="eastAsia" w:ascii="仿宋" w:eastAsia="仿宋" w:cs="Microsoft Yi Baiti"/>
          <w:kern w:val="0"/>
          <w:sz w:val="32"/>
          <w:szCs w:val="32"/>
        </w:rPr>
        <w:t>，</w:t>
      </w:r>
      <w:r>
        <w:rPr>
          <w:rFonts w:hint="eastAsia" w:ascii="仿宋" w:eastAsia="仿宋" w:cs="宋体"/>
          <w:kern w:val="0"/>
          <w:sz w:val="32"/>
          <w:szCs w:val="32"/>
        </w:rPr>
        <w:t>由各地根据参保系统信息直接向企业发放</w:t>
      </w:r>
      <w:r>
        <w:rPr>
          <w:rFonts w:hint="eastAsia" w:ascii="仿宋" w:eastAsia="仿宋" w:cs="Microsoft Yi Baiti"/>
          <w:kern w:val="0"/>
          <w:sz w:val="32"/>
          <w:szCs w:val="32"/>
        </w:rPr>
        <w:t>。</w:t>
      </w:r>
      <w:r>
        <w:rPr>
          <w:rFonts w:hint="eastAsia" w:ascii="仿宋" w:eastAsia="仿宋"/>
          <w:sz w:val="32"/>
          <w:szCs w:val="32"/>
        </w:rPr>
        <w:t>所需资金由省、市、县（区）按照8:1:1负担。</w:t>
      </w:r>
      <w:r>
        <w:rPr>
          <w:rFonts w:hint="eastAsia" w:ascii="仿宋" w:eastAsia="仿宋" w:cs="宋体"/>
          <w:kern w:val="0"/>
          <w:sz w:val="32"/>
          <w:szCs w:val="32"/>
        </w:rPr>
        <w:t>〔责任单位:市人力资源社会保障局、市财政局</w:t>
      </w:r>
      <w:r>
        <w:rPr>
          <w:rFonts w:hint="eastAsia" w:ascii="仿宋" w:eastAsia="仿宋" w:cs="Microsoft Yi Baiti"/>
          <w:kern w:val="0"/>
          <w:sz w:val="32"/>
          <w:szCs w:val="32"/>
        </w:rPr>
        <w:t>，</w:t>
      </w:r>
      <w:r>
        <w:rPr>
          <w:rFonts w:hint="eastAsia" w:ascii="仿宋" w:eastAsia="仿宋" w:cs="宋体"/>
          <w:kern w:val="0"/>
          <w:sz w:val="32"/>
          <w:szCs w:val="32"/>
        </w:rPr>
        <w:t>各县</w:t>
      </w:r>
      <w:r>
        <w:rPr>
          <w:rFonts w:ascii="仿宋" w:eastAsia="仿宋" w:cs="宋体"/>
          <w:kern w:val="0"/>
          <w:sz w:val="32"/>
          <w:szCs w:val="32"/>
        </w:rPr>
        <w:t>（</w:t>
      </w:r>
      <w:r>
        <w:rPr>
          <w:rFonts w:hint="eastAsia" w:ascii="仿宋" w:eastAsia="仿宋" w:cs="宋体"/>
          <w:kern w:val="0"/>
          <w:sz w:val="32"/>
          <w:szCs w:val="32"/>
        </w:rPr>
        <w:t>区</w:t>
      </w:r>
      <w:r>
        <w:rPr>
          <w:rFonts w:ascii="仿宋" w:eastAsia="仿宋" w:cs="宋体"/>
          <w:kern w:val="0"/>
          <w:sz w:val="32"/>
          <w:szCs w:val="32"/>
        </w:rPr>
        <w:t>）</w:t>
      </w:r>
      <w:r>
        <w:rPr>
          <w:rFonts w:hint="eastAsia" w:ascii="仿宋" w:eastAsia="仿宋" w:cs="宋体"/>
          <w:kern w:val="0"/>
          <w:sz w:val="32"/>
          <w:szCs w:val="32"/>
        </w:rPr>
        <w:t>人民政府</w:t>
      </w:r>
      <w:r>
        <w:rPr>
          <w:rFonts w:ascii="仿宋" w:eastAsia="仿宋"/>
          <w:sz w:val="32"/>
          <w:szCs w:val="32"/>
        </w:rPr>
        <w:t>，巴中经开区、文旅新区管委会</w:t>
      </w:r>
      <w:r>
        <w:rPr>
          <w:rFonts w:hint="eastAsia" w:ascii="仿宋" w:eastAsia="仿宋"/>
          <w:sz w:val="32"/>
          <w:szCs w:val="32"/>
        </w:rPr>
        <w:t>〕</w:t>
      </w:r>
    </w:p>
    <w:p>
      <w:pPr>
        <w:widowControl/>
        <w:spacing w:line="560" w:lineRule="exact"/>
        <w:ind w:firstLine="640" w:firstLineChars="200"/>
        <w:jc w:val="left"/>
        <w:rPr>
          <w:rFonts w:hint="eastAsia" w:ascii="仿宋" w:eastAsia="仿宋" w:cs="宋体"/>
          <w:kern w:val="0"/>
          <w:sz w:val="32"/>
          <w:szCs w:val="32"/>
        </w:rPr>
      </w:pPr>
      <w:r>
        <w:rPr>
          <w:rFonts w:hint="eastAsia" w:ascii="黑体" w:eastAsia="黑体" w:cs="宋体"/>
          <w:kern w:val="0"/>
          <w:sz w:val="32"/>
          <w:szCs w:val="32"/>
        </w:rPr>
        <w:t>七、</w:t>
      </w:r>
      <w:r>
        <w:rPr>
          <w:rFonts w:ascii="黑体" w:eastAsia="黑体" w:cs="宋体"/>
          <w:kern w:val="0"/>
          <w:sz w:val="32"/>
          <w:szCs w:val="32"/>
        </w:rPr>
        <w:t>助力</w:t>
      </w:r>
      <w:r>
        <w:rPr>
          <w:rFonts w:hint="eastAsia" w:ascii="黑体" w:eastAsia="黑体" w:cs="宋体"/>
          <w:kern w:val="0"/>
          <w:sz w:val="32"/>
          <w:szCs w:val="32"/>
        </w:rPr>
        <w:t>企业快速成长</w:t>
      </w:r>
      <w:r>
        <w:rPr>
          <w:rFonts w:hint="eastAsia" w:ascii="仿宋" w:eastAsia="仿宋" w:cs="宋体"/>
          <w:kern w:val="0"/>
          <w:sz w:val="32"/>
          <w:szCs w:val="32"/>
        </w:rPr>
        <w:t xml:space="preserve"> </w:t>
      </w:r>
    </w:p>
    <w:p>
      <w:pPr>
        <w:widowControl/>
        <w:spacing w:line="560" w:lineRule="exact"/>
        <w:ind w:left="0" w:firstLine="640" w:firstLineChars="200"/>
        <w:jc w:val="left"/>
        <w:rPr>
          <w:rFonts w:hint="eastAsia" w:ascii="仿宋" w:eastAsia="仿宋" w:cs="宋体"/>
          <w:kern w:val="0"/>
          <w:sz w:val="32"/>
          <w:szCs w:val="32"/>
        </w:rPr>
      </w:pPr>
      <w:r>
        <w:rPr>
          <w:rFonts w:ascii="楷体" w:eastAsia="楷体" w:cs="宋体"/>
          <w:kern w:val="0"/>
          <w:sz w:val="32"/>
          <w:szCs w:val="32"/>
        </w:rPr>
        <w:t>（十八）</w:t>
      </w:r>
      <w:r>
        <w:rPr>
          <w:rFonts w:hint="eastAsia" w:ascii="楷体" w:eastAsia="楷体" w:cs="宋体"/>
          <w:kern w:val="0"/>
          <w:sz w:val="32"/>
          <w:szCs w:val="32"/>
        </w:rPr>
        <w:t>加大“转企升规”激励力度。</w:t>
      </w:r>
      <w:r>
        <w:rPr>
          <w:rFonts w:hint="eastAsia" w:ascii="仿宋" w:eastAsia="仿宋" w:cs="宋体"/>
          <w:kern w:val="0"/>
          <w:sz w:val="32"/>
          <w:szCs w:val="32"/>
        </w:rPr>
        <w:t>对2024年１月１日至2024年12月31日期间</w:t>
      </w:r>
      <w:r>
        <w:rPr>
          <w:rFonts w:hint="eastAsia" w:ascii="仿宋" w:eastAsia="仿宋" w:cs="Microsoft Yi Baiti"/>
          <w:kern w:val="0"/>
          <w:sz w:val="32"/>
          <w:szCs w:val="32"/>
        </w:rPr>
        <w:t>，</w:t>
      </w:r>
      <w:r>
        <w:rPr>
          <w:rFonts w:hint="eastAsia" w:ascii="仿宋" w:eastAsia="仿宋" w:cs="宋体"/>
          <w:kern w:val="0"/>
          <w:sz w:val="32"/>
          <w:szCs w:val="32"/>
        </w:rPr>
        <w:t>“转企升规”企业户数净增加的县区，除省级财政给予激励“个转企”户均标准为0.6万元，“小升规”工业、服务业、商贸业企业户均标准分别为８万元、４万元、2万元外，市、县</w:t>
      </w:r>
      <w:r>
        <w:rPr>
          <w:rFonts w:ascii="仿宋" w:eastAsia="仿宋" w:cs="宋体"/>
          <w:kern w:val="0"/>
          <w:sz w:val="32"/>
          <w:szCs w:val="32"/>
        </w:rPr>
        <w:t>（区）</w:t>
      </w:r>
      <w:r>
        <w:rPr>
          <w:rFonts w:hint="eastAsia" w:ascii="仿宋" w:eastAsia="仿宋" w:cs="宋体"/>
          <w:kern w:val="0"/>
          <w:sz w:val="32"/>
          <w:szCs w:val="32"/>
        </w:rPr>
        <w:t>财政分别给予“个转企”主体0.1万元及1万元的激励</w:t>
      </w:r>
      <w:r>
        <w:rPr>
          <w:rFonts w:ascii="仿宋" w:eastAsia="仿宋" w:cs="宋体"/>
          <w:kern w:val="0"/>
          <w:sz w:val="32"/>
          <w:szCs w:val="32"/>
        </w:rPr>
        <w:t>，</w:t>
      </w:r>
      <w:r>
        <w:rPr>
          <w:rFonts w:hint="eastAsia" w:ascii="仿宋" w:eastAsia="仿宋" w:cs="宋体"/>
          <w:kern w:val="0"/>
          <w:sz w:val="32"/>
          <w:szCs w:val="32"/>
        </w:rPr>
        <w:t>并由受益财政给予</w:t>
      </w:r>
      <w:r>
        <w:rPr>
          <w:rFonts w:ascii="仿宋" w:eastAsia="仿宋" w:cs="宋体"/>
          <w:kern w:val="0"/>
          <w:sz w:val="32"/>
          <w:szCs w:val="32"/>
        </w:rPr>
        <w:t>户均</w:t>
      </w:r>
      <w:r>
        <w:rPr>
          <w:rFonts w:hint="eastAsia" w:ascii="仿宋" w:eastAsia="仿宋" w:cs="宋体"/>
          <w:kern w:val="0"/>
          <w:sz w:val="32"/>
          <w:szCs w:val="32"/>
        </w:rPr>
        <w:t xml:space="preserve">0.3万元的记账费用补助。对新增或复核通过的省级“专精特新”企业、国家级专精特新“小巨人”企业给予户均5万元、50万元资金激励。（责任单位：市财政局、市经济和信息化局、市商务局、市市场监管局) </w:t>
      </w:r>
    </w:p>
    <w:p>
      <w:pPr>
        <w:widowControl/>
        <w:spacing w:line="560" w:lineRule="exact"/>
        <w:ind w:left="0" w:firstLine="640" w:firstLineChars="200"/>
        <w:jc w:val="left"/>
        <w:rPr>
          <w:rFonts w:hint="eastAsia" w:ascii="仿宋" w:eastAsia="仿宋" w:cs="宋体"/>
          <w:kern w:val="0"/>
          <w:sz w:val="32"/>
          <w:szCs w:val="32"/>
        </w:rPr>
      </w:pPr>
      <w:r>
        <w:rPr>
          <w:rFonts w:ascii="楷体" w:eastAsia="楷体" w:cs="宋体"/>
          <w:kern w:val="0"/>
          <w:sz w:val="32"/>
          <w:szCs w:val="32"/>
        </w:rPr>
        <w:t>（十九）</w:t>
      </w:r>
      <w:r>
        <w:rPr>
          <w:rFonts w:hint="eastAsia" w:ascii="楷体" w:eastAsia="楷体" w:cs="宋体"/>
          <w:kern w:val="0"/>
          <w:sz w:val="32"/>
          <w:szCs w:val="32"/>
        </w:rPr>
        <w:t>实施大企业大集团定向采购激励。</w:t>
      </w:r>
      <w:r>
        <w:rPr>
          <w:rFonts w:hint="eastAsia" w:ascii="仿宋" w:eastAsia="仿宋" w:cs="宋体"/>
          <w:kern w:val="0"/>
          <w:sz w:val="32"/>
          <w:szCs w:val="32"/>
        </w:rPr>
        <w:t>对2024年4月1日至2024年9月30日期间，符合条件的工业领域大企业大集团采购我市中小企业产品及服务累计超过2000万元的，市级财政按照实际支付采购金额的1%给予奖补，单个企业最高补助不超过100万元。达到省级激励条件的，申报省级激励。(责任单位</w:t>
      </w:r>
      <w:r>
        <w:rPr>
          <w:rFonts w:ascii="仿宋" w:eastAsia="仿宋" w:cs="宋体"/>
          <w:kern w:val="0"/>
          <w:sz w:val="32"/>
          <w:szCs w:val="32"/>
        </w:rPr>
        <w:t>：</w:t>
      </w:r>
      <w:r>
        <w:rPr>
          <w:rFonts w:hint="eastAsia" w:ascii="仿宋" w:eastAsia="仿宋" w:cs="宋体"/>
          <w:kern w:val="0"/>
          <w:sz w:val="32"/>
          <w:szCs w:val="32"/>
        </w:rPr>
        <w:t>市经济和信息化局、</w:t>
      </w:r>
      <w:r>
        <w:rPr>
          <w:rFonts w:ascii="仿宋" w:eastAsia="仿宋" w:cs="宋体"/>
          <w:kern w:val="0"/>
          <w:sz w:val="32"/>
          <w:szCs w:val="32"/>
        </w:rPr>
        <w:t>市市场监管局、</w:t>
      </w:r>
      <w:r>
        <w:rPr>
          <w:rFonts w:hint="eastAsia" w:ascii="仿宋" w:eastAsia="仿宋" w:cs="宋体"/>
          <w:kern w:val="0"/>
          <w:sz w:val="32"/>
          <w:szCs w:val="32"/>
        </w:rPr>
        <w:t xml:space="preserve">市财政局) </w:t>
      </w:r>
    </w:p>
    <w:p>
      <w:pPr>
        <w:spacing w:line="560" w:lineRule="exact"/>
        <w:ind w:left="0" w:firstLine="640" w:firstLineChars="200"/>
        <w:rPr>
          <w:rFonts w:ascii="仿宋" w:eastAsia="仿宋" w:cs="宋体"/>
          <w:kern w:val="0"/>
          <w:sz w:val="32"/>
          <w:szCs w:val="32"/>
        </w:rPr>
      </w:pPr>
      <w:r>
        <w:rPr>
          <w:rFonts w:ascii="楷体" w:eastAsia="楷体" w:cs="宋体"/>
          <w:kern w:val="0"/>
          <w:sz w:val="32"/>
          <w:szCs w:val="32"/>
        </w:rPr>
        <w:t>（二十）</w:t>
      </w:r>
      <w:r>
        <w:rPr>
          <w:rFonts w:hint="eastAsia" w:ascii="楷体" w:eastAsia="楷体" w:cs="宋体"/>
          <w:kern w:val="0"/>
          <w:sz w:val="32"/>
          <w:szCs w:val="32"/>
        </w:rPr>
        <w:t>实施机器人和无人机等重点产品推广应用激励。</w:t>
      </w:r>
      <w:r>
        <w:rPr>
          <w:rFonts w:hint="eastAsia" w:ascii="仿宋" w:eastAsia="仿宋" w:cs="宋体"/>
          <w:kern w:val="0"/>
          <w:sz w:val="32"/>
          <w:szCs w:val="32"/>
        </w:rPr>
        <w:t>对2024年４月１日至2024年９月</w:t>
      </w:r>
      <w:r>
        <w:rPr>
          <w:rFonts w:ascii="仿宋" w:eastAsia="仿宋" w:cs="宋体"/>
          <w:kern w:val="0"/>
          <w:sz w:val="32"/>
          <w:szCs w:val="32"/>
        </w:rPr>
        <w:t>30</w:t>
      </w:r>
      <w:r>
        <w:rPr>
          <w:rFonts w:hint="eastAsia" w:ascii="仿宋" w:eastAsia="仿宋" w:cs="宋体"/>
          <w:kern w:val="0"/>
          <w:sz w:val="32"/>
          <w:szCs w:val="32"/>
        </w:rPr>
        <w:t>日期间，符合条件的机器人和工业无人机产品生产企业，按该类产品同比销售收入增量的5%给予奖补，单个企业最高不超过</w:t>
      </w:r>
      <w:r>
        <w:rPr>
          <w:rFonts w:ascii="仿宋" w:eastAsia="仿宋" w:cs="宋体"/>
          <w:kern w:val="0"/>
          <w:sz w:val="32"/>
          <w:szCs w:val="32"/>
        </w:rPr>
        <w:t>500</w:t>
      </w:r>
      <w:r>
        <w:rPr>
          <w:rFonts w:hint="eastAsia" w:ascii="仿宋" w:eastAsia="仿宋" w:cs="宋体"/>
          <w:kern w:val="0"/>
          <w:sz w:val="32"/>
          <w:szCs w:val="32"/>
        </w:rPr>
        <w:t>万元。所需资金依照规定由省级财政负担</w:t>
      </w:r>
      <w:r>
        <w:rPr>
          <w:rFonts w:ascii="仿宋" w:eastAsia="仿宋" w:cs="宋体"/>
          <w:kern w:val="0"/>
          <w:sz w:val="32"/>
          <w:szCs w:val="32"/>
        </w:rPr>
        <w:t>。</w:t>
      </w:r>
      <w:r>
        <w:rPr>
          <w:rFonts w:hint="eastAsia" w:ascii="仿宋" w:eastAsia="仿宋" w:cs="宋体"/>
          <w:kern w:val="0"/>
          <w:sz w:val="32"/>
          <w:szCs w:val="32"/>
        </w:rPr>
        <w:t>(责任单位</w:t>
      </w:r>
      <w:r>
        <w:rPr>
          <w:rFonts w:ascii="仿宋" w:eastAsia="仿宋" w:cs="宋体"/>
          <w:kern w:val="0"/>
          <w:sz w:val="32"/>
          <w:szCs w:val="32"/>
        </w:rPr>
        <w:t>：</w:t>
      </w:r>
      <w:r>
        <w:rPr>
          <w:rFonts w:hint="eastAsia" w:ascii="仿宋" w:eastAsia="仿宋" w:cs="宋体"/>
          <w:kern w:val="0"/>
          <w:sz w:val="32"/>
          <w:szCs w:val="32"/>
        </w:rPr>
        <w:t>市经济和信息化局、市财政局)</w:t>
      </w:r>
    </w:p>
    <w:p/>
    <w:p>
      <w:pPr>
        <w:spacing w:line="560" w:lineRule="exact"/>
        <w:rPr>
          <w:rFonts w:ascii="方正黑体_GBK" w:eastAsia="方正黑体_GBK" w:cs="方正黑体_GBK"/>
          <w:bCs/>
          <w:color w:val="000000"/>
          <w:sz w:val="32"/>
          <w:szCs w:val="32"/>
          <w:lang w:bidi="ar-SA"/>
        </w:rPr>
      </w:pPr>
    </w:p>
    <w:p>
      <w:pPr>
        <w:spacing w:line="560" w:lineRule="exact"/>
        <w:rPr>
          <w:rFonts w:ascii="方正黑体_GBK" w:eastAsia="方正黑体_GBK" w:cs="方正黑体_GBK"/>
          <w:bCs/>
          <w:color w:val="000000"/>
          <w:sz w:val="32"/>
          <w:szCs w:val="32"/>
          <w:lang w:bidi="ar-SA"/>
        </w:rPr>
      </w:pPr>
    </w:p>
    <w:p>
      <w:pPr>
        <w:spacing w:line="560" w:lineRule="exact"/>
        <w:rPr>
          <w:rFonts w:ascii="方正黑体_GBK" w:eastAsia="方正黑体_GBK" w:cs="方正黑体_GBK"/>
          <w:bCs/>
          <w:color w:val="000000"/>
          <w:sz w:val="32"/>
          <w:szCs w:val="32"/>
          <w:lang w:bidi="ar-SA"/>
        </w:rPr>
      </w:pPr>
    </w:p>
    <w:p>
      <w:pPr>
        <w:spacing w:line="560" w:lineRule="exact"/>
        <w:rPr>
          <w:rFonts w:ascii="方正黑体_GBK" w:eastAsia="方正黑体_GBK" w:cs="方正黑体_GBK"/>
          <w:bCs/>
          <w:color w:val="000000"/>
          <w:sz w:val="32"/>
          <w:szCs w:val="32"/>
          <w:lang w:bidi="ar-SA"/>
        </w:rPr>
      </w:pPr>
    </w:p>
    <w:p>
      <w:pPr>
        <w:spacing w:line="560" w:lineRule="exact"/>
        <w:rPr>
          <w:rFonts w:ascii="方正黑体_GBK" w:eastAsia="方正黑体_GBK" w:cs="方正黑体_GBK"/>
          <w:bCs/>
          <w:color w:val="000000"/>
          <w:sz w:val="32"/>
          <w:szCs w:val="32"/>
          <w:lang w:bidi="ar-SA"/>
        </w:rPr>
      </w:pPr>
    </w:p>
    <w:p>
      <w:pPr>
        <w:spacing w:line="560" w:lineRule="exact"/>
        <w:rPr>
          <w:rFonts w:ascii="方正黑体_GBK" w:eastAsia="方正黑体_GBK" w:cs="方正黑体_GBK"/>
          <w:bCs/>
          <w:color w:val="000000"/>
          <w:sz w:val="32"/>
          <w:szCs w:val="32"/>
          <w:lang w:bidi="ar-SA"/>
        </w:rPr>
      </w:pPr>
    </w:p>
    <w:p>
      <w:pPr>
        <w:spacing w:line="560" w:lineRule="exact"/>
        <w:rPr>
          <w:rFonts w:ascii="方正黑体_GBK" w:eastAsia="方正黑体_GBK" w:cs="方正黑体_GBK"/>
          <w:bCs/>
          <w:color w:val="000000"/>
          <w:sz w:val="32"/>
          <w:szCs w:val="32"/>
          <w:lang w:bidi="ar-SA"/>
        </w:rPr>
      </w:pPr>
    </w:p>
    <w:p>
      <w:pPr>
        <w:spacing w:line="560" w:lineRule="exact"/>
        <w:rPr>
          <w:rFonts w:ascii="方正黑体_GBK" w:eastAsia="方正黑体_GBK" w:cs="方正黑体_GBK"/>
          <w:bCs/>
          <w:color w:val="000000"/>
          <w:sz w:val="32"/>
          <w:szCs w:val="32"/>
          <w:lang w:bidi="ar-SA"/>
        </w:rPr>
      </w:pPr>
    </w:p>
    <w:p>
      <w:pPr>
        <w:spacing w:line="560" w:lineRule="exact"/>
        <w:rPr>
          <w:rFonts w:ascii="方正黑体_GBK" w:eastAsia="方正黑体_GBK" w:cs="方正黑体_GBK"/>
          <w:bCs/>
          <w:color w:val="000000"/>
          <w:sz w:val="32"/>
          <w:szCs w:val="32"/>
          <w:lang w:bidi="ar-SA"/>
        </w:rPr>
      </w:pPr>
    </w:p>
    <w:p>
      <w:pPr>
        <w:spacing w:line="560" w:lineRule="exact"/>
        <w:rPr>
          <w:rFonts w:ascii="方正黑体_GBK" w:eastAsia="方正黑体_GBK" w:cs="方正黑体_GBK"/>
          <w:bCs/>
          <w:color w:val="000000"/>
          <w:sz w:val="32"/>
          <w:szCs w:val="32"/>
          <w:lang w:bidi="ar-SA"/>
        </w:rPr>
      </w:pPr>
    </w:p>
    <w:p>
      <w:pPr>
        <w:spacing w:line="560" w:lineRule="exact"/>
        <w:rPr>
          <w:rFonts w:ascii="方正黑体_GBK" w:eastAsia="方正黑体_GBK" w:cs="方正黑体_GBK"/>
          <w:bCs/>
          <w:color w:val="000000"/>
          <w:sz w:val="32"/>
          <w:szCs w:val="32"/>
          <w:lang w:bidi="ar-SA"/>
        </w:rPr>
      </w:pPr>
    </w:p>
    <w:p>
      <w:pPr>
        <w:spacing w:line="560" w:lineRule="exact"/>
        <w:rPr>
          <w:rFonts w:hint="eastAsia"/>
        </w:rPr>
      </w:pPr>
    </w:p>
    <w:sectPr>
      <w:footerReference r:id="rId5" w:type="default"/>
      <w:pgSz w:w="11907" w:h="16840"/>
      <w:pgMar w:top="2098" w:right="1587" w:bottom="1984" w:left="1588" w:header="851" w:footer="1417" w:gutter="0"/>
      <w:cols w:space="720" w:num="1"/>
      <w:rtlGutter w:val="1"/>
      <w:docGrid w:type="lines" w:linePitch="312" w:charSpace="163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Luxi Sans">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monospace">
    <w:altName w:val="Segoe Print"/>
    <w:panose1 w:val="00000000000000000000"/>
    <w:charset w:val="00"/>
    <w:family w:val="auto"/>
    <w:pitch w:val="default"/>
    <w:sig w:usb0="00000000" w:usb1="00000000" w:usb2="00000000" w:usb3="00000000" w:csb0="00000000" w:csb1="00000000"/>
  </w:font>
  <w:font w:name="方正仿宋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Microsoft Yi Baiti">
    <w:panose1 w:val="03000500000000000000"/>
    <w:charset w:val="00"/>
    <w:family w:val="auto"/>
    <w:pitch w:val="default"/>
    <w:sig w:usb0="80000003" w:usb1="00010402" w:usb2="00080002" w:usb3="00000000" w:csb0="00000001"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3665" distR="113665" simplePos="0" relativeHeight="251659264" behindDoc="0" locked="0" layoutInCell="1" allowOverlap="1">
              <wp:simplePos x="0" y="0"/>
              <wp:positionH relativeFrom="margin">
                <wp:align>outside</wp:align>
              </wp:positionH>
              <wp:positionV relativeFrom="paragraph">
                <wp:posOffset>0</wp:posOffset>
              </wp:positionV>
              <wp:extent cx="824230" cy="207010"/>
              <wp:effectExtent l="0" t="0" r="0" b="0"/>
              <wp:wrapNone/>
              <wp:docPr id="1" name="文本框 1"/>
              <wp:cNvGraphicFramePr/>
              <a:graphic xmlns:a="http://schemas.openxmlformats.org/drawingml/2006/main">
                <a:graphicData uri="http://schemas.microsoft.com/office/word/2010/wordprocessingShape">
                  <wps:wsp>
                    <wps:cNvSpPr/>
                    <wps:spPr>
                      <a:xfrm>
                        <a:off x="0" y="0"/>
                        <a:ext cx="824280" cy="207137"/>
                      </a:xfrm>
                      <a:prstGeom prst="rect">
                        <a:avLst/>
                      </a:prstGeom>
                      <a:noFill/>
                      <a:ln w="6350" cap="flat" cmpd="sng">
                        <a:noFill/>
                        <a:prstDash val="solid"/>
                        <a:round/>
                      </a:ln>
                    </wps:spPr>
                    <wps:txbx>
                      <w:txbxContent>
                        <w:p>
                          <w:pPr>
                            <w:pStyle w:val="7"/>
                            <w:rPr>
                              <w:rFonts w:ascii="Times New Roman" w:hAnsi="Times New Roman" w:eastAsia="宋体" w:cs="Times New Roman"/>
                              <w:sz w:val="28"/>
                              <w:szCs w:val="28"/>
                              <w:lang w:val="en-US" w:eastAsia="zh-CN"/>
                            </w:rPr>
                          </w:pPr>
                          <w:r>
                            <w:rPr>
                              <w:rFonts w:ascii="Times New Roman" w:hAnsi="Times New Roman" w:eastAsia="宋体" w:cs="Times New Roman"/>
                              <w:sz w:val="28"/>
                              <w:szCs w:val="28"/>
                              <w:lang w:eastAsia="zh-CN"/>
                            </w:rPr>
                            <w:t>—</w:t>
                          </w:r>
                          <w:r>
                            <w:rPr>
                              <w:rFonts w:ascii="Times New Roman" w:hAnsi="Times New Roman" w:eastAsia="宋体" w:cs="Times New Roman"/>
                              <w:sz w:val="28"/>
                              <w:szCs w:val="28"/>
                              <w:lang w:val="en-US" w:eastAsia="zh-CN"/>
                            </w:rPr>
                            <w:t xml:space="preserve">  </w:t>
                          </w:r>
                          <w:r>
                            <w:rPr>
                              <w:rFonts w:ascii="Times New Roman" w:hAnsi="Times New Roman" w:eastAsia="宋体" w:cs="Times New Roman"/>
                              <w:sz w:val="28"/>
                              <w:szCs w:val="28"/>
                              <w:lang w:eastAsia="zh-CN"/>
                            </w:rPr>
                            <w:fldChar w:fldCharType="begin"/>
                          </w:r>
                          <w:r>
                            <w:rPr>
                              <w:rFonts w:ascii="Times New Roman" w:hAnsi="Times New Roman" w:eastAsia="宋体" w:cs="Times New Roman"/>
                              <w:sz w:val="28"/>
                              <w:szCs w:val="28"/>
                              <w:lang w:eastAsia="zh-CN"/>
                            </w:rPr>
                            <w:instrText xml:space="preserve"> PAGE  \* MERGEFORMAT </w:instrText>
                          </w:r>
                          <w:r>
                            <w:rPr>
                              <w:rFonts w:ascii="Times New Roman" w:hAnsi="Times New Roman" w:eastAsia="宋体" w:cs="Times New Roman"/>
                              <w:sz w:val="28"/>
                              <w:szCs w:val="28"/>
                              <w:lang w:eastAsia="zh-CN"/>
                            </w:rPr>
                            <w:fldChar w:fldCharType="separate"/>
                          </w:r>
                          <w:r>
                            <w:rPr>
                              <w:rFonts w:ascii="Times New Roman" w:hAnsi="Times New Roman" w:eastAsia="宋体" w:cs="Times New Roman"/>
                              <w:sz w:val="28"/>
                              <w:szCs w:val="28"/>
                              <w:lang w:eastAsia="zh-CN"/>
                            </w:rPr>
                            <w:t>1</w:t>
                          </w:r>
                          <w:r>
                            <w:rPr>
                              <w:rFonts w:ascii="Times New Roman" w:hAnsi="Times New Roman" w:eastAsia="宋体" w:cs="Times New Roman"/>
                              <w:sz w:val="28"/>
                              <w:szCs w:val="28"/>
                              <w:lang w:eastAsia="zh-CN"/>
                            </w:rPr>
                            <w:fldChar w:fldCharType="end"/>
                          </w:r>
                          <w:r>
                            <w:rPr>
                              <w:rFonts w:ascii="Times New Roman" w:hAnsi="Times New Roman" w:eastAsia="宋体" w:cs="Times New Roman"/>
                              <w:sz w:val="28"/>
                              <w:szCs w:val="28"/>
                              <w:lang w:val="en-US" w:eastAsia="zh-CN"/>
                            </w:rPr>
                            <w:t xml:space="preserve">  —</w:t>
                          </w:r>
                        </w:p>
                      </w:txbxContent>
                    </wps:txbx>
                    <wps:bodyPr vert="horz" wrap="none" lIns="0" tIns="0" rIns="0" bIns="0" anchor="t" anchorCtr="0" upright="0">
                      <a:spAutoFit/>
                    </wps:bodyPr>
                  </wps:wsp>
                </a:graphicData>
              </a:graphic>
            </wp:anchor>
          </w:drawing>
        </mc:Choice>
        <mc:Fallback>
          <w:pict>
            <v:rect id="文本框 1" o:spid="_x0000_s1026" o:spt="1" style="position:absolute;left:0pt;margin-top:0pt;height:16.3pt;width:64.9pt;mso-position-horizontal:outside;mso-position-horizontal-relative:margin;mso-wrap-style:none;z-index:251659264;mso-width-relative:page;mso-height-relative:page;" filled="f" stroked="f" coordsize="21600,21600" o:gfxdata="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iTQwp1wAAAAQBAAAPAAAAAAAAAAEAIAAAACIAAABkcnMvZG93&#10;bnJldi54bWxQSwECFAAUAAAACACHTuJAm3izLQECAAD0AwAADgAAAAAAAAABACAAAAAmAQAAZHJz&#10;L2Uyb0RvYy54bWxQSwUGAAAAAAYABgBZAQAAmQUAAAAA&#10;">
              <v:fill on="f" focussize="0,0"/>
              <v:stroke on="f" weight="0.5pt" joinstyle="round"/>
              <v:imagedata o:title=""/>
              <o:lock v:ext="edit" aspectratio="f"/>
              <v:textbox inset="0mm,0mm,0mm,0mm" style="mso-fit-shape-to-text:t;">
                <w:txbxContent>
                  <w:p>
                    <w:pPr>
                      <w:pStyle w:val="7"/>
                      <w:rPr>
                        <w:rFonts w:ascii="Times New Roman" w:hAnsi="Times New Roman" w:eastAsia="宋体" w:cs="Times New Roman"/>
                        <w:sz w:val="28"/>
                        <w:szCs w:val="28"/>
                        <w:lang w:val="en-US" w:eastAsia="zh-CN"/>
                      </w:rPr>
                    </w:pPr>
                    <w:r>
                      <w:rPr>
                        <w:rFonts w:ascii="Times New Roman" w:hAnsi="Times New Roman" w:eastAsia="宋体" w:cs="Times New Roman"/>
                        <w:sz w:val="28"/>
                        <w:szCs w:val="28"/>
                        <w:lang w:eastAsia="zh-CN"/>
                      </w:rPr>
                      <w:t>—</w:t>
                    </w:r>
                    <w:r>
                      <w:rPr>
                        <w:rFonts w:ascii="Times New Roman" w:hAnsi="Times New Roman" w:eastAsia="宋体" w:cs="Times New Roman"/>
                        <w:sz w:val="28"/>
                        <w:szCs w:val="28"/>
                        <w:lang w:val="en-US" w:eastAsia="zh-CN"/>
                      </w:rPr>
                      <w:t xml:space="preserve">  </w:t>
                    </w:r>
                    <w:r>
                      <w:rPr>
                        <w:rFonts w:ascii="Times New Roman" w:hAnsi="Times New Roman" w:eastAsia="宋体" w:cs="Times New Roman"/>
                        <w:sz w:val="28"/>
                        <w:szCs w:val="28"/>
                        <w:lang w:eastAsia="zh-CN"/>
                      </w:rPr>
                      <w:fldChar w:fldCharType="begin"/>
                    </w:r>
                    <w:r>
                      <w:rPr>
                        <w:rFonts w:ascii="Times New Roman" w:hAnsi="Times New Roman" w:eastAsia="宋体" w:cs="Times New Roman"/>
                        <w:sz w:val="28"/>
                        <w:szCs w:val="28"/>
                        <w:lang w:eastAsia="zh-CN"/>
                      </w:rPr>
                      <w:instrText xml:space="preserve"> PAGE  \* MERGEFORMAT </w:instrText>
                    </w:r>
                    <w:r>
                      <w:rPr>
                        <w:rFonts w:ascii="Times New Roman" w:hAnsi="Times New Roman" w:eastAsia="宋体" w:cs="Times New Roman"/>
                        <w:sz w:val="28"/>
                        <w:szCs w:val="28"/>
                        <w:lang w:eastAsia="zh-CN"/>
                      </w:rPr>
                      <w:fldChar w:fldCharType="separate"/>
                    </w:r>
                    <w:r>
                      <w:rPr>
                        <w:rFonts w:ascii="Times New Roman" w:hAnsi="Times New Roman" w:eastAsia="宋体" w:cs="Times New Roman"/>
                        <w:sz w:val="28"/>
                        <w:szCs w:val="28"/>
                        <w:lang w:eastAsia="zh-CN"/>
                      </w:rPr>
                      <w:t>1</w:t>
                    </w:r>
                    <w:r>
                      <w:rPr>
                        <w:rFonts w:ascii="Times New Roman" w:hAnsi="Times New Roman" w:eastAsia="宋体" w:cs="Times New Roman"/>
                        <w:sz w:val="28"/>
                        <w:szCs w:val="28"/>
                        <w:lang w:eastAsia="zh-CN"/>
                      </w:rPr>
                      <w:fldChar w:fldCharType="end"/>
                    </w:r>
                    <w:r>
                      <w:rPr>
                        <w:rFonts w:ascii="Times New Roman" w:hAnsi="Times New Roman" w:eastAsia="宋体" w:cs="Times New Roman"/>
                        <w:sz w:val="28"/>
                        <w:szCs w:val="28"/>
                        <w:lang w:val="en-US" w:eastAsia="zh-CN"/>
                      </w:rPr>
                      <w:t xml:space="preserve">  —</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dit="readOnly" w:enforcement="0"/>
  <w:defaultTabStop w:val="420"/>
  <w:drawingGridHorizontalSpacing w:val="105"/>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ulTrailSpace/>
    <w:doNotExpandShiftReturn/>
    <w:adjustLineHeightInTable/>
    <w:useFELayout/>
    <w:doNotUseIndentAsNumberingTabStop/>
    <w:useAltKinsokuLineBreakRules/>
    <w:compatSetting w:name="compatibilityMode" w:uri="http://schemas.microsoft.com/office/word" w:val="15"/>
  </w:compat>
  <w:rsids>
    <w:rsidRoot w:val="00000000"/>
    <w:rsid w:val="3D820A8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spacing w:line="240" w:lineRule="auto"/>
      <w:jc w:val="left"/>
    </w:pPr>
    <w:rPr>
      <w:rFonts w:ascii="宋体" w:hAnsi="Times New Roman" w:eastAsia="宋体" w:cs="Times New Roman"/>
      <w:kern w:val="2"/>
      <w:sz w:val="24"/>
      <w:szCs w:val="21"/>
      <w:lang w:val="en-US" w:eastAsia="zh-CN" w:bidi="ar-SA"/>
    </w:rPr>
  </w:style>
  <w:style w:type="paragraph" w:styleId="3">
    <w:name w:val="heading 1"/>
    <w:next w:val="1"/>
    <w:uiPriority w:val="0"/>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100" w:beforeAutospacing="1" w:after="100" w:afterAutospacing="1" w:line="240" w:lineRule="auto"/>
      <w:ind w:left="0" w:right="0" w:firstLine="0"/>
      <w:contextualSpacing w:val="0"/>
      <w:jc w:val="left"/>
      <w:textAlignment w:val="auto"/>
      <w:outlineLvl w:val="0"/>
    </w:pPr>
    <w:rPr>
      <w:rFonts w:ascii="宋体" w:hAnsi="Times New Roman" w:eastAsia="宋体" w:cs="Times New Roman"/>
      <w:b/>
      <w:snapToGrid/>
      <w:color w:val="auto"/>
      <w:spacing w:val="0"/>
      <w:w w:val="100"/>
      <w:kern w:val="36"/>
      <w:position w:val="0"/>
      <w:sz w:val="48"/>
      <w:szCs w:val="21"/>
      <w:u w:val="none" w:color="auto"/>
      <w:vertAlign w:val="baseline"/>
      <w:lang w:val="en-US" w:eastAsia="zh-CN" w:bidi="ar-SA"/>
    </w:rPr>
  </w:style>
  <w:style w:type="paragraph" w:styleId="4">
    <w:name w:val="heading 2"/>
    <w:basedOn w:val="1"/>
    <w:next w:val="1"/>
    <w:uiPriority w:val="0"/>
    <w:pPr>
      <w:keepNext/>
      <w:keepLines/>
      <w:widowControl w:val="0"/>
      <w:spacing w:before="260" w:after="260" w:line="415" w:lineRule="auto"/>
      <w:outlineLvl w:val="1"/>
    </w:pPr>
    <w:rPr>
      <w:rFonts w:ascii="Luxi Sans" w:hAnsi="Luxi Sans" w:eastAsia="黑体"/>
      <w:b/>
      <w:sz w:val="32"/>
    </w:rPr>
  </w:style>
  <w:style w:type="paragraph" w:styleId="5">
    <w:name w:val="heading 3"/>
    <w:basedOn w:val="1"/>
    <w:next w:val="1"/>
    <w:uiPriority w:val="0"/>
    <w:pPr>
      <w:keepNext/>
      <w:keepLines/>
      <w:widowControl w:val="0"/>
      <w:spacing w:before="260" w:after="260" w:line="415" w:lineRule="auto"/>
      <w:outlineLvl w:val="2"/>
    </w:pPr>
    <w:rPr>
      <w:b/>
      <w:sz w:val="32"/>
    </w:rPr>
  </w:style>
  <w:style w:type="character" w:default="1" w:styleId="11">
    <w:name w:val="Default Paragraph Font"/>
    <w:uiPriority w:val="0"/>
  </w:style>
  <w:style w:type="table" w:default="1" w:styleId="10">
    <w:name w:val="Normal Table"/>
    <w:semiHidden/>
    <w:uiPriority w:val="0"/>
    <w:tblPr>
      <w:tblCellMar>
        <w:top w:w="0" w:type="dxa"/>
        <w:left w:w="108" w:type="dxa"/>
        <w:bottom w:w="0" w:type="dxa"/>
        <w:right w:w="108" w:type="dxa"/>
      </w:tblCellMar>
    </w:tblPr>
  </w:style>
  <w:style w:type="paragraph" w:styleId="2">
    <w:name w:val="Body Text"/>
    <w:basedOn w:val="1"/>
    <w:next w:val="1"/>
    <w:uiPriority w:val="0"/>
    <w:pPr>
      <w:widowControl w:val="0"/>
      <w:spacing w:after="120"/>
      <w:jc w:val="both"/>
    </w:pPr>
    <w:rPr>
      <w:rFonts w:ascii="Calibri" w:hAnsi="Calibri" w:eastAsia="仿宋" w:cs="Times New Roman"/>
      <w:kern w:val="2"/>
      <w:sz w:val="32"/>
      <w:szCs w:val="24"/>
      <w:lang w:val="en-US" w:eastAsia="zh-CN" w:bidi="ar-SA"/>
    </w:rPr>
  </w:style>
  <w:style w:type="paragraph" w:styleId="6">
    <w:name w:val="Plain Text"/>
    <w:next w:val="7"/>
    <w:uiPriority w:val="0"/>
    <w:pPr>
      <w:widowControl w:val="0"/>
      <w:jc w:val="both"/>
    </w:pPr>
    <w:rPr>
      <w:rFonts w:ascii="宋体" w:hAnsi="Times New Roman" w:eastAsia="宋体" w:cs="Courier New"/>
      <w:kern w:val="2"/>
      <w:sz w:val="21"/>
      <w:szCs w:val="21"/>
      <w:lang w:val="en-US" w:eastAsia="zh-CN" w:bidi="ar-SA"/>
    </w:rPr>
  </w:style>
  <w:style w:type="paragraph" w:styleId="7">
    <w:name w:val="footer"/>
    <w:next w:val="6"/>
    <w:uiPriority w:val="0"/>
    <w:pPr>
      <w:widowControl w:val="0"/>
      <w:tabs>
        <w:tab w:val="center" w:pos="4153"/>
        <w:tab w:val="right" w:pos="8306"/>
      </w:tabs>
      <w:snapToGrid w:val="0"/>
      <w:jc w:val="left"/>
    </w:pPr>
    <w:rPr>
      <w:rFonts w:ascii="Calibri" w:hAnsi="Calibri" w:eastAsia="宋体" w:cs="Arial"/>
      <w:kern w:val="2"/>
      <w:sz w:val="18"/>
      <w:szCs w:val="18"/>
      <w:lang w:val="en-US" w:eastAsia="zh-CN" w:bidi="ar-SA"/>
    </w:rPr>
  </w:style>
  <w:style w:type="paragraph" w:styleId="8">
    <w:name w:val="header"/>
    <w:basedOn w:val="1"/>
    <w:uiPriority w:val="0"/>
    <w:pPr>
      <w:pBdr>
        <w:top w:val="none" w:color="auto" w:sz="0" w:space="0"/>
        <w:left w:val="none" w:color="auto" w:sz="0" w:space="0"/>
        <w:bottom w:val="none" w:color="auto" w:sz="0" w:space="0"/>
        <w:right w:val="none" w:color="auto" w:sz="0" w:space="0"/>
      </w:pBdr>
      <w:tabs>
        <w:tab w:val="center" w:pos="4153"/>
        <w:tab w:val="right" w:pos="8306"/>
      </w:tabs>
      <w:snapToGrid w:val="0"/>
      <w:spacing w:line="240" w:lineRule="auto"/>
      <w:jc w:val="both"/>
      <w:outlineLvl w:val="9"/>
    </w:pPr>
    <w:rPr>
      <w:sz w:val="18"/>
    </w:rPr>
  </w:style>
  <w:style w:type="paragraph" w:styleId="9">
    <w:name w:val="Normal (Web)"/>
    <w:next w:val="7"/>
    <w:uiPriority w:val="0"/>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100" w:beforeAutospacing="1" w:after="100" w:afterAutospacing="1" w:line="240" w:lineRule="auto"/>
      <w:ind w:left="0" w:right="0" w:firstLine="0"/>
      <w:contextualSpacing w:val="0"/>
      <w:jc w:val="left"/>
      <w:textAlignment w:val="auto"/>
      <w:outlineLvl w:val="9"/>
    </w:pPr>
    <w:rPr>
      <w:rFonts w:ascii="宋体" w:hAnsi="Times New Roman" w:eastAsia="宋体" w:cs="Times New Roman"/>
      <w:snapToGrid/>
      <w:color w:val="auto"/>
      <w:spacing w:val="0"/>
      <w:w w:val="100"/>
      <w:kern w:val="0"/>
      <w:position w:val="0"/>
      <w:sz w:val="24"/>
      <w:szCs w:val="21"/>
      <w:u w:val="none" w:color="auto"/>
      <w:vertAlign w:val="baseline"/>
      <w:lang w:val="en-US" w:eastAsia="zh-CN" w:bidi="ar-SA"/>
    </w:rPr>
  </w:style>
  <w:style w:type="character" w:styleId="12">
    <w:name w:val="Strong"/>
    <w:uiPriority w:val="0"/>
    <w:rPr>
      <w:b/>
    </w:rPr>
  </w:style>
  <w:style w:type="character" w:styleId="13">
    <w:name w:val="FollowedHyperlink"/>
    <w:basedOn w:val="11"/>
    <w:uiPriority w:val="0"/>
    <w:rPr>
      <w:color w:val="333333"/>
      <w:u w:val="none"/>
    </w:rPr>
  </w:style>
  <w:style w:type="character" w:styleId="14">
    <w:name w:val="Emphasis"/>
    <w:basedOn w:val="11"/>
    <w:uiPriority w:val="0"/>
    <w:rPr>
      <w:vanish/>
    </w:rPr>
  </w:style>
  <w:style w:type="character" w:styleId="15">
    <w:name w:val="HTML Definition"/>
    <w:basedOn w:val="11"/>
    <w:uiPriority w:val="0"/>
    <w:rPr>
      <w:i/>
    </w:rPr>
  </w:style>
  <w:style w:type="character" w:styleId="16">
    <w:name w:val="HTML Acronym"/>
    <w:basedOn w:val="11"/>
    <w:uiPriority w:val="0"/>
  </w:style>
  <w:style w:type="character" w:styleId="17">
    <w:name w:val="Hyperlink"/>
    <w:basedOn w:val="11"/>
    <w:uiPriority w:val="0"/>
    <w:rPr>
      <w:color w:val="333333"/>
      <w:u w:val="none"/>
    </w:rPr>
  </w:style>
  <w:style w:type="character" w:styleId="18">
    <w:name w:val="HTML Code"/>
    <w:basedOn w:val="11"/>
    <w:uiPriority w:val="0"/>
    <w:rPr>
      <w:rFonts w:ascii="monospace" w:hAnsi="monospace" w:eastAsia="monospace" w:cs="monospace"/>
      <w:sz w:val="21"/>
      <w:szCs w:val="21"/>
    </w:rPr>
  </w:style>
  <w:style w:type="character" w:styleId="19">
    <w:name w:val="HTML Keyboard"/>
    <w:basedOn w:val="11"/>
    <w:uiPriority w:val="0"/>
    <w:rPr>
      <w:rFonts w:ascii="monospace" w:hAnsi="monospace" w:eastAsia="monospace" w:cs="monospace"/>
      <w:sz w:val="21"/>
      <w:szCs w:val="21"/>
    </w:rPr>
  </w:style>
  <w:style w:type="character" w:styleId="20">
    <w:name w:val="HTML Sample"/>
    <w:basedOn w:val="11"/>
    <w:uiPriority w:val="0"/>
    <w:rPr>
      <w:rFonts w:ascii="monospace" w:hAnsi="monospace" w:eastAsia="monospace" w:cs="monospace"/>
      <w:sz w:val="21"/>
      <w:szCs w:val="21"/>
    </w:rPr>
  </w:style>
  <w:style w:type="character" w:customStyle="1" w:styleId="21">
    <w:name w:val="interview-names"/>
    <w:basedOn w:val="11"/>
    <w:uiPriority w:val="0"/>
  </w:style>
  <w:style w:type="character" w:customStyle="1" w:styleId="22">
    <w:name w:val="responseno"/>
    <w:basedOn w:val="11"/>
    <w:uiPriority w:val="0"/>
    <w:rPr>
      <w:color w:val="F27E7F"/>
    </w:rPr>
  </w:style>
  <w:style w:type="character" w:customStyle="1" w:styleId="23">
    <w:name w:val="responseno1"/>
    <w:basedOn w:val="11"/>
    <w:uiPriority w:val="0"/>
    <w:rPr>
      <w:color w:val="F27E7F"/>
    </w:rPr>
  </w:style>
  <w:style w:type="character" w:customStyle="1" w:styleId="24">
    <w:name w:val="over6"/>
    <w:basedOn w:val="11"/>
    <w:uiPriority w:val="0"/>
    <w:rPr>
      <w:color w:val="B60000"/>
    </w:rPr>
  </w:style>
  <w:style w:type="character" w:customStyle="1" w:styleId="25">
    <w:name w:val="over7"/>
    <w:basedOn w:val="11"/>
    <w:uiPriority w:val="0"/>
    <w:rPr>
      <w:color w:val="999999"/>
    </w:rPr>
  </w:style>
  <w:style w:type="character" w:customStyle="1" w:styleId="26">
    <w:name w:val="buvis"/>
    <w:basedOn w:val="11"/>
    <w:uiPriority w:val="0"/>
    <w:rPr>
      <w:color w:val="CC0000"/>
    </w:rPr>
  </w:style>
  <w:style w:type="character" w:customStyle="1" w:styleId="27">
    <w:name w:val="buvis1"/>
    <w:basedOn w:val="11"/>
    <w:uiPriority w:val="0"/>
    <w:rPr>
      <w:color w:val="999999"/>
    </w:rPr>
  </w:style>
  <w:style w:type="character" w:customStyle="1" w:styleId="28">
    <w:name w:val="nostart8"/>
    <w:basedOn w:val="11"/>
    <w:uiPriority w:val="0"/>
    <w:rPr>
      <w:color w:val="FF0000"/>
    </w:rPr>
  </w:style>
  <w:style w:type="character" w:customStyle="1" w:styleId="29">
    <w:name w:val="nostart9"/>
    <w:basedOn w:val="11"/>
    <w:uiPriority w:val="0"/>
    <w:rPr>
      <w:color w:val="FF0000"/>
    </w:rPr>
  </w:style>
  <w:style w:type="character" w:customStyle="1" w:styleId="30">
    <w:name w:val="starting5"/>
    <w:basedOn w:val="11"/>
    <w:uiPriority w:val="0"/>
    <w:rPr>
      <w:color w:val="339900"/>
    </w:rPr>
  </w:style>
  <w:style w:type="character" w:customStyle="1" w:styleId="31">
    <w:name w:val="starting6"/>
    <w:basedOn w:val="11"/>
    <w:uiPriority w:val="0"/>
    <w:rPr>
      <w:color w:val="339900"/>
    </w:rPr>
  </w:style>
  <w:style w:type="character" w:customStyle="1" w:styleId="32">
    <w:name w:val="msg-box18"/>
    <w:basedOn w:val="11"/>
    <w:uiPriority w:val="0"/>
  </w:style>
  <w:style w:type="character" w:customStyle="1" w:styleId="33">
    <w:name w:val="c1"/>
    <w:basedOn w:val="11"/>
    <w:uiPriority w:val="0"/>
  </w:style>
  <w:style w:type="character" w:customStyle="1" w:styleId="34">
    <w:name w:val="c11"/>
    <w:basedOn w:val="11"/>
    <w:uiPriority w:val="0"/>
  </w:style>
  <w:style w:type="character" w:customStyle="1" w:styleId="35">
    <w:name w:val="c2"/>
    <w:basedOn w:val="11"/>
    <w:uiPriority w:val="0"/>
  </w:style>
  <w:style w:type="character" w:customStyle="1" w:styleId="36">
    <w:name w:val="c21"/>
    <w:basedOn w:val="11"/>
    <w:uiPriority w:val="0"/>
  </w:style>
  <w:style w:type="character" w:customStyle="1" w:styleId="37">
    <w:name w:val="c3"/>
    <w:basedOn w:val="11"/>
    <w:uiPriority w:val="0"/>
  </w:style>
  <w:style w:type="character" w:customStyle="1" w:styleId="38">
    <w:name w:val="c31"/>
    <w:basedOn w:val="11"/>
    <w:uiPriority w:val="0"/>
  </w:style>
  <w:style w:type="character" w:customStyle="1" w:styleId="39">
    <w:name w:val="red2"/>
    <w:basedOn w:val="11"/>
    <w:uiPriority w:val="0"/>
    <w:rPr>
      <w:color w:val="FF0000"/>
    </w:rPr>
  </w:style>
  <w:style w:type="character" w:customStyle="1" w:styleId="40">
    <w:name w:val="i-form_tit"/>
    <w:basedOn w:val="11"/>
    <w:uiPriority w:val="0"/>
    <w:rPr>
      <w:sz w:val="21"/>
      <w:szCs w:val="21"/>
    </w:rPr>
  </w:style>
  <w:style w:type="character" w:customStyle="1" w:styleId="41">
    <w:name w:val="i-form_tit1"/>
    <w:basedOn w:val="11"/>
    <w:uiPriority w:val="0"/>
  </w:style>
  <w:style w:type="character" w:customStyle="1" w:styleId="42">
    <w:name w:val="i-form_tit2"/>
    <w:basedOn w:val="11"/>
    <w:uiPriority w:val="0"/>
  </w:style>
  <w:style w:type="character" w:customStyle="1" w:styleId="43">
    <w:name w:val="i-form_input"/>
    <w:basedOn w:val="11"/>
    <w:uiPriority w:val="0"/>
  </w:style>
  <w:style w:type="character" w:customStyle="1" w:styleId="44">
    <w:name w:val="bsharetext"/>
    <w:basedOn w:val="11"/>
    <w:uiPriority w:val="0"/>
  </w:style>
  <w:style w:type="paragraph" w:customStyle="1" w:styleId="45">
    <w:name w:val="Default"/>
    <w:next w:val="7"/>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46">
    <w:name w:val="样式1"/>
    <w:uiPriority w:val="0"/>
    <w:pPr>
      <w:widowControl w:val="0"/>
      <w:spacing w:line="600" w:lineRule="exact"/>
      <w:jc w:val="both"/>
    </w:pPr>
    <w:rPr>
      <w:rFonts w:ascii="Times New Roman" w:hAnsi="Times New Roman" w:eastAsia="方正仿宋_GBK" w:cs="Times New Roman"/>
      <w:kern w:val="2"/>
      <w:sz w:val="32"/>
      <w:szCs w:val="3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10</Pages>
  <Words>4246</Words>
  <Characters>4576</Characters>
  <Lines>219</Lines>
  <Paragraphs>44</Paragraphs>
  <TotalTime>565</TotalTime>
  <ScaleCrop>false</ScaleCrop>
  <LinksUpToDate>false</LinksUpToDate>
  <CharactersWithSpaces>4603</CharactersWithSpaces>
  <Application>WPS Office_11.8.2.11716_F1E327BC-269C-435d-A152-05C5408002CA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Administrator</dc:creator>
  <cp:lastModifiedBy>l</cp:lastModifiedBy>
  <cp:lastPrinted>2024-03-04T07:11:00Z</cp:lastPrinted>
  <dcterms:modified xsi:type="dcterms:W3CDTF">2024-04-24T06:34:21Z</dcterms:modified>
  <dc:title>秘密★长期</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ICV">
    <vt:lpwstr>793C9663BEFD4D0896C31255BED34475</vt:lpwstr>
  </property>
</Properties>
</file>