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default" w:ascii="Times New Roman" w:hAnsi="Times New Roman" w:eastAsia="黑体" w:cs="Times New Roman"/>
          <w:color w:val="000000"/>
          <w:sz w:val="72"/>
          <w:szCs w:val="72"/>
        </w:rPr>
      </w:pPr>
      <w:bookmarkStart w:id="0" w:name="_Toc15377193"/>
      <w:bookmarkStart w:id="1" w:name="_Toc15378441"/>
      <w:bookmarkStart w:id="2" w:name="_Toc15377425"/>
      <w:bookmarkStart w:id="3" w:name="_Toc15396475"/>
      <w:bookmarkStart w:id="4" w:name="_Toc15396597"/>
      <w:bookmarkStart w:id="5" w:name="第七部分部门决算分析报告撰写提纲"/>
    </w:p>
    <w:p>
      <w:pPr>
        <w:pStyle w:val="2"/>
        <w:rPr>
          <w:rFonts w:hint="default" w:ascii="Times New Roman" w:hAnsi="Times New Roman" w:eastAsia="黑体" w:cs="Times New Roman"/>
          <w:color w:val="000000"/>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000000"/>
          <w:sz w:val="52"/>
          <w:szCs w:val="52"/>
        </w:rPr>
      </w:pPr>
      <w:r>
        <w:rPr>
          <w:rFonts w:hint="default" w:ascii="Times New Roman" w:hAnsi="Times New Roman" w:eastAsia="黑体" w:cs="Times New Roman"/>
          <w:color w:val="000000"/>
          <w:sz w:val="52"/>
          <w:szCs w:val="52"/>
        </w:rPr>
        <w:t>2019</w:t>
      </w:r>
      <w:r>
        <w:rPr>
          <w:rFonts w:hint="default" w:ascii="Times New Roman" w:hAnsi="Times New Roman" w:eastAsia="方正小标宋简体" w:cs="Times New Roman"/>
          <w:color w:val="000000"/>
          <w:sz w:val="52"/>
          <w:szCs w:val="52"/>
        </w:rPr>
        <w:t>年度</w:t>
      </w:r>
      <w:bookmarkEnd w:id="0"/>
      <w:bookmarkEnd w:id="1"/>
      <w:bookmarkEnd w:id="2"/>
      <w:bookmarkEnd w:id="3"/>
      <w:bookmarkEnd w:id="4"/>
    </w:p>
    <w:p>
      <w:pPr>
        <w:adjustRightInd w:val="0"/>
        <w:snapToGrid w:val="0"/>
        <w:spacing w:line="360" w:lineRule="auto"/>
        <w:jc w:val="center"/>
        <w:outlineLvl w:val="0"/>
        <w:rPr>
          <w:rFonts w:hint="default" w:ascii="Times New Roman" w:hAnsi="Times New Roman" w:eastAsia="方正小标宋简体" w:cs="Times New Roman"/>
          <w:color w:val="000000"/>
          <w:sz w:val="52"/>
          <w:szCs w:val="52"/>
        </w:rPr>
      </w:pPr>
      <w:bookmarkStart w:id="6" w:name="_Toc15377426"/>
      <w:bookmarkStart w:id="7" w:name="_Toc15378442"/>
      <w:bookmarkStart w:id="8" w:name="_Toc15396476"/>
      <w:bookmarkStart w:id="9" w:name="_Toc15377194"/>
      <w:bookmarkStart w:id="10" w:name="_Toc15396598"/>
      <w:r>
        <w:rPr>
          <w:rFonts w:hint="default" w:ascii="Times New Roman" w:hAnsi="Times New Roman" w:eastAsia="方正小标宋简体" w:cs="Times New Roman"/>
          <w:color w:val="000000"/>
          <w:sz w:val="52"/>
          <w:szCs w:val="52"/>
          <w:lang w:eastAsia="zh-CN"/>
        </w:rPr>
        <w:t>中共</w:t>
      </w:r>
      <w:r>
        <w:rPr>
          <w:rFonts w:hint="default" w:ascii="Times New Roman" w:hAnsi="Times New Roman" w:eastAsia="方正小标宋简体" w:cs="Times New Roman"/>
          <w:color w:val="000000"/>
          <w:sz w:val="52"/>
          <w:szCs w:val="52"/>
        </w:rPr>
        <w:t>四川省</w:t>
      </w:r>
      <w:bookmarkStart w:id="11" w:name="_Toc15306268"/>
      <w:r>
        <w:rPr>
          <w:rFonts w:hint="default" w:ascii="Times New Roman" w:hAnsi="Times New Roman" w:eastAsia="方正小标宋简体" w:cs="Times New Roman"/>
          <w:color w:val="000000"/>
          <w:sz w:val="52"/>
          <w:szCs w:val="52"/>
          <w:lang w:eastAsia="zh-CN"/>
        </w:rPr>
        <w:t>巴中市委员会办公室</w:t>
      </w:r>
      <w:r>
        <w:rPr>
          <w:rFonts w:hint="default" w:ascii="Times New Roman" w:hAnsi="Times New Roman" w:eastAsia="方正小标宋简体" w:cs="Times New Roman"/>
          <w:color w:val="000000"/>
          <w:sz w:val="52"/>
          <w:szCs w:val="52"/>
        </w:rPr>
        <w:t>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8"/>
        <w:jc w:val="center"/>
      </w:pPr>
      <w:r>
        <w:rPr>
          <w:rFonts w:hint="eastAsia"/>
        </w:rPr>
        <w:t>公开时间：2020年</w:t>
      </w:r>
      <w:r>
        <w:rPr>
          <w:rFonts w:hint="eastAsia"/>
          <w:lang w:val="en-US" w:eastAsia="zh-CN"/>
        </w:rPr>
        <w:t>10</w:t>
      </w:r>
      <w:r>
        <w:rPr>
          <w:rFonts w:hint="eastAsia"/>
        </w:rPr>
        <w:t>月</w:t>
      </w:r>
      <w:r>
        <w:rPr>
          <w:rFonts w:hint="eastAsia"/>
          <w:lang w:val="en-US" w:eastAsia="zh-CN"/>
        </w:rPr>
        <w:t>9</w:t>
      </w:r>
      <w:r>
        <w:rPr>
          <w:rFonts w:hint="eastAsia"/>
        </w:rPr>
        <w:t>日</w:t>
      </w:r>
    </w:p>
    <w:p/>
    <w:p>
      <w:pPr>
        <w:pStyle w:val="8"/>
        <w:adjustRightInd w:val="0"/>
        <w:snapToGrid w:val="0"/>
        <w:spacing w:before="0" w:line="440" w:lineRule="exact"/>
        <w:jc w:val="left"/>
        <w:rPr>
          <w:rFonts w:hint="eastAsia" w:ascii="黑体" w:hAnsi="黑体" w:eastAsia="仿宋" w:cs="黑体"/>
          <w:sz w:val="24"/>
          <w:szCs w:val="24"/>
          <w:lang w:val="en-US" w:eastAsia="zh-CN"/>
        </w:rPr>
      </w:pPr>
      <w:r>
        <w:rPr>
          <w:rFonts w:hint="eastAsia" w:ascii="黑体" w:hAnsi="黑体" w:eastAsia="黑体" w:cs="黑体"/>
          <w:sz w:val="24"/>
        </w:rPr>
        <w:t>第一部分 部门概况</w:t>
      </w:r>
      <w:r>
        <w:rPr>
          <w:rFonts w:hint="eastAsia" w:ascii="仿宋" w:hAnsi="仿宋" w:eastAsia="仿宋" w:cs="仿宋"/>
          <w:sz w:val="24"/>
        </w:rPr>
        <w:tab/>
      </w:r>
      <w:r>
        <w:rPr>
          <w:rFonts w:hint="eastAsia" w:cs="仿宋"/>
          <w:sz w:val="24"/>
          <w:lang w:val="en-US" w:eastAsia="zh-CN"/>
        </w:rPr>
        <w:t>4</w:t>
      </w:r>
    </w:p>
    <w:p>
      <w:pPr>
        <w:pStyle w:val="9"/>
        <w:adjustRightInd w:val="0"/>
        <w:snapToGrid w:val="0"/>
        <w:spacing w:line="440" w:lineRule="exact"/>
        <w:jc w:val="left"/>
        <w:rPr>
          <w:rFonts w:hint="eastAsia" w:ascii="仿宋" w:hAnsi="仿宋" w:eastAsia="仿宋" w:cs="仿宋"/>
          <w:sz w:val="24"/>
          <w:lang w:val="en-US" w:eastAsia="zh-CN"/>
        </w:rPr>
      </w:pPr>
      <w:r>
        <w:rPr>
          <w:rFonts w:hint="eastAsia" w:ascii="仿宋" w:hAnsi="仿宋" w:eastAsia="仿宋" w:cs="仿宋"/>
          <w:sz w:val="24"/>
        </w:rPr>
        <w:t>一、基本职能及主要工作</w:t>
      </w:r>
      <w:r>
        <w:rPr>
          <w:rFonts w:hint="eastAsia" w:ascii="仿宋" w:hAnsi="仿宋" w:eastAsia="仿宋" w:cs="仿宋"/>
          <w:sz w:val="24"/>
        </w:rPr>
        <w:tab/>
      </w:r>
      <w:r>
        <w:rPr>
          <w:rFonts w:hint="eastAsia" w:ascii="仿宋" w:hAnsi="仿宋" w:eastAsia="仿宋" w:cs="仿宋"/>
          <w:sz w:val="24"/>
          <w:lang w:val="en-US" w:eastAsia="zh-CN"/>
        </w:rPr>
        <w:t>4</w:t>
      </w:r>
    </w:p>
    <w:p>
      <w:pPr>
        <w:pStyle w:val="9"/>
        <w:adjustRightInd w:val="0"/>
        <w:snapToGrid w:val="0"/>
        <w:spacing w:line="440" w:lineRule="exact"/>
        <w:jc w:val="left"/>
        <w:rPr>
          <w:rFonts w:hint="eastAsia" w:ascii="仿宋" w:hAnsi="仿宋" w:eastAsia="仿宋" w:cs="仿宋"/>
          <w:sz w:val="24"/>
          <w:lang w:val="en-US" w:eastAsia="zh-CN"/>
        </w:rPr>
      </w:pPr>
      <w:r>
        <w:rPr>
          <w:rFonts w:hint="eastAsia" w:ascii="仿宋" w:hAnsi="仿宋" w:eastAsia="仿宋" w:cs="仿宋"/>
          <w:sz w:val="24"/>
        </w:rPr>
        <w:t>二、机构设置</w:t>
      </w:r>
      <w:r>
        <w:rPr>
          <w:rFonts w:hint="eastAsia" w:ascii="仿宋" w:hAnsi="仿宋" w:eastAsia="仿宋" w:cs="仿宋"/>
          <w:sz w:val="24"/>
        </w:rPr>
        <w:tab/>
      </w:r>
      <w:r>
        <w:rPr>
          <w:rFonts w:hint="eastAsia" w:ascii="仿宋" w:hAnsi="仿宋" w:eastAsia="仿宋" w:cs="仿宋"/>
          <w:sz w:val="24"/>
          <w:lang w:val="en-US" w:eastAsia="zh-CN"/>
        </w:rPr>
        <w:t>7</w:t>
      </w:r>
    </w:p>
    <w:p>
      <w:pPr>
        <w:pStyle w:val="8"/>
        <w:adjustRightInd w:val="0"/>
        <w:snapToGrid w:val="0"/>
        <w:spacing w:before="0" w:line="440" w:lineRule="exact"/>
        <w:jc w:val="left"/>
        <w:rPr>
          <w:rFonts w:hint="eastAsia" w:ascii="黑体" w:hAnsi="黑体" w:eastAsia="仿宋" w:cs="黑体"/>
          <w:sz w:val="24"/>
          <w:szCs w:val="24"/>
          <w:lang w:val="en-US" w:eastAsia="zh-CN"/>
        </w:rPr>
      </w:pPr>
      <w:r>
        <w:rPr>
          <w:rFonts w:hint="eastAsia" w:ascii="黑体" w:hAnsi="黑体" w:eastAsia="黑体" w:cs="黑体"/>
          <w:sz w:val="24"/>
        </w:rPr>
        <w:t>第二部分度部门决算情况说明</w:t>
      </w:r>
      <w:r>
        <w:rPr>
          <w:rFonts w:hint="eastAsia" w:ascii="仿宋" w:hAnsi="仿宋" w:eastAsia="仿宋" w:cs="仿宋"/>
          <w:sz w:val="24"/>
        </w:rPr>
        <w:tab/>
      </w:r>
      <w:r>
        <w:rPr>
          <w:rFonts w:hint="eastAsia" w:cs="仿宋"/>
          <w:sz w:val="24"/>
          <w:lang w:val="en-US" w:eastAsia="zh-CN"/>
        </w:rPr>
        <w:t>8</w:t>
      </w:r>
    </w:p>
    <w:p>
      <w:pPr>
        <w:pStyle w:val="9"/>
        <w:adjustRightInd w:val="0"/>
        <w:snapToGrid w:val="0"/>
        <w:spacing w:line="440" w:lineRule="exact"/>
        <w:jc w:val="left"/>
        <w:rPr>
          <w:rFonts w:hint="eastAsia" w:ascii="仿宋" w:hAnsi="仿宋" w:eastAsia="仿宋" w:cs="仿宋"/>
          <w:sz w:val="24"/>
          <w:lang w:val="en-US" w:eastAsia="zh-CN"/>
        </w:rPr>
      </w:pPr>
      <w:r>
        <w:rPr>
          <w:rFonts w:hint="eastAsia" w:ascii="仿宋" w:hAnsi="仿宋" w:eastAsia="仿宋" w:cs="仿宋"/>
          <w:sz w:val="24"/>
        </w:rPr>
        <w:t>一、收入支出决算总体情况说明</w:t>
      </w:r>
      <w:r>
        <w:rPr>
          <w:rFonts w:hint="eastAsia" w:ascii="仿宋" w:hAnsi="仿宋" w:eastAsia="仿宋" w:cs="仿宋"/>
          <w:sz w:val="24"/>
        </w:rPr>
        <w:tab/>
      </w:r>
      <w:r>
        <w:rPr>
          <w:rFonts w:hint="eastAsia" w:ascii="仿宋" w:hAnsi="仿宋" w:eastAsia="仿宋" w:cs="仿宋"/>
          <w:sz w:val="24"/>
          <w:lang w:val="en-US" w:eastAsia="zh-CN"/>
        </w:rPr>
        <w:t>8</w:t>
      </w:r>
    </w:p>
    <w:p>
      <w:pPr>
        <w:pStyle w:val="9"/>
        <w:adjustRightInd w:val="0"/>
        <w:snapToGrid w:val="0"/>
        <w:spacing w:line="440" w:lineRule="exact"/>
        <w:jc w:val="left"/>
        <w:rPr>
          <w:rFonts w:hint="eastAsia" w:ascii="仿宋" w:hAnsi="仿宋" w:eastAsia="仿宋" w:cs="仿宋"/>
          <w:sz w:val="24"/>
          <w:lang w:val="en-US" w:eastAsia="zh-CN"/>
        </w:rPr>
      </w:pPr>
      <w:r>
        <w:rPr>
          <w:rFonts w:hint="eastAsia" w:ascii="仿宋" w:hAnsi="仿宋" w:eastAsia="仿宋" w:cs="仿宋"/>
          <w:sz w:val="24"/>
        </w:rPr>
        <w:t>二、收入决算情况说明</w:t>
      </w:r>
      <w:r>
        <w:rPr>
          <w:rFonts w:hint="eastAsia" w:ascii="仿宋" w:hAnsi="仿宋" w:eastAsia="仿宋" w:cs="仿宋"/>
          <w:sz w:val="24"/>
        </w:rPr>
        <w:tab/>
      </w:r>
      <w:r>
        <w:rPr>
          <w:rFonts w:hint="eastAsia" w:ascii="仿宋" w:hAnsi="仿宋" w:eastAsia="仿宋" w:cs="仿宋"/>
          <w:sz w:val="24"/>
          <w:lang w:val="en-US" w:eastAsia="zh-CN"/>
        </w:rPr>
        <w:t>8</w:t>
      </w:r>
    </w:p>
    <w:p>
      <w:pPr>
        <w:pStyle w:val="9"/>
        <w:adjustRightInd w:val="0"/>
        <w:snapToGrid w:val="0"/>
        <w:spacing w:line="440" w:lineRule="exact"/>
        <w:jc w:val="left"/>
        <w:rPr>
          <w:rFonts w:hint="eastAsia" w:ascii="仿宋" w:hAnsi="仿宋" w:eastAsia="仿宋" w:cs="仿宋"/>
          <w:sz w:val="24"/>
          <w:lang w:val="en-US" w:eastAsia="zh-CN"/>
        </w:rPr>
      </w:pPr>
      <w:r>
        <w:rPr>
          <w:rFonts w:hint="eastAsia" w:ascii="仿宋" w:hAnsi="仿宋" w:eastAsia="仿宋" w:cs="仿宋"/>
          <w:sz w:val="24"/>
        </w:rPr>
        <w:t>三、支出决算情况说明</w:t>
      </w:r>
      <w:r>
        <w:rPr>
          <w:rFonts w:hint="eastAsia" w:ascii="仿宋" w:hAnsi="仿宋" w:eastAsia="仿宋" w:cs="仿宋"/>
          <w:sz w:val="24"/>
        </w:rPr>
        <w:tab/>
      </w:r>
      <w:r>
        <w:rPr>
          <w:rFonts w:hint="eastAsia" w:ascii="仿宋" w:hAnsi="仿宋" w:eastAsia="仿宋" w:cs="仿宋"/>
          <w:sz w:val="24"/>
          <w:lang w:val="en-US" w:eastAsia="zh-CN"/>
        </w:rPr>
        <w:t>8</w:t>
      </w:r>
    </w:p>
    <w:p>
      <w:pPr>
        <w:pStyle w:val="9"/>
        <w:adjustRightInd w:val="0"/>
        <w:snapToGrid w:val="0"/>
        <w:spacing w:line="440" w:lineRule="exact"/>
        <w:jc w:val="left"/>
        <w:rPr>
          <w:rFonts w:hint="eastAsia" w:ascii="仿宋" w:hAnsi="仿宋" w:eastAsia="仿宋" w:cs="仿宋"/>
          <w:sz w:val="24"/>
          <w:lang w:val="en-US" w:eastAsia="zh-CN"/>
        </w:rPr>
      </w:pPr>
      <w:r>
        <w:rPr>
          <w:rFonts w:hint="eastAsia" w:ascii="仿宋" w:hAnsi="仿宋" w:eastAsia="仿宋" w:cs="仿宋"/>
          <w:sz w:val="24"/>
        </w:rPr>
        <w:t>四、财政拨款收入支出决算总体情况说明</w:t>
      </w:r>
      <w:r>
        <w:rPr>
          <w:rFonts w:hint="eastAsia" w:ascii="仿宋" w:hAnsi="仿宋" w:eastAsia="仿宋" w:cs="仿宋"/>
          <w:sz w:val="24"/>
        </w:rPr>
        <w:tab/>
      </w:r>
      <w:r>
        <w:rPr>
          <w:rFonts w:hint="eastAsia" w:ascii="仿宋" w:hAnsi="仿宋" w:eastAsia="仿宋" w:cs="仿宋"/>
          <w:sz w:val="24"/>
          <w:lang w:val="en-US" w:eastAsia="zh-CN"/>
        </w:rPr>
        <w:t>9</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五、一般公共预算财政拨款支出决算情况说明</w:t>
      </w:r>
      <w:r>
        <w:rPr>
          <w:rFonts w:hint="eastAsia" w:ascii="仿宋" w:hAnsi="仿宋" w:eastAsia="仿宋" w:cs="仿宋"/>
          <w:sz w:val="24"/>
        </w:rPr>
        <w:tab/>
      </w:r>
      <w:r>
        <w:rPr>
          <w:rFonts w:hint="eastAsia" w:ascii="仿宋" w:hAnsi="仿宋" w:eastAsia="仿宋" w:cs="仿宋"/>
          <w:sz w:val="24"/>
          <w:lang w:val="en-US" w:eastAsia="zh-CN"/>
        </w:rPr>
        <w:t>10</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六、一般公共预算财政拨款基本支出决算情况说明</w:t>
      </w:r>
      <w:r>
        <w:rPr>
          <w:rFonts w:hint="eastAsia" w:ascii="仿宋" w:hAnsi="仿宋" w:eastAsia="仿宋" w:cs="仿宋"/>
          <w:sz w:val="24"/>
        </w:rPr>
        <w:tab/>
      </w:r>
      <w:r>
        <w:rPr>
          <w:rFonts w:hint="eastAsia" w:ascii="仿宋" w:hAnsi="仿宋" w:eastAsia="仿宋" w:cs="仿宋"/>
          <w:sz w:val="24"/>
          <w:lang w:val="en-US" w:eastAsia="zh-CN"/>
        </w:rPr>
        <w:t>11</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七、“三公”经费财政拨款支出决算情况说明</w:t>
      </w:r>
      <w:r>
        <w:rPr>
          <w:rFonts w:hint="eastAsia" w:ascii="仿宋" w:hAnsi="仿宋" w:eastAsia="仿宋" w:cs="仿宋"/>
          <w:sz w:val="24"/>
        </w:rPr>
        <w:tab/>
      </w:r>
      <w:r>
        <w:rPr>
          <w:rFonts w:hint="eastAsia" w:ascii="仿宋" w:hAnsi="仿宋" w:eastAsia="仿宋" w:cs="仿宋"/>
          <w:sz w:val="24"/>
          <w:lang w:val="en-US" w:eastAsia="zh-CN"/>
        </w:rPr>
        <w:t>12</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八、政府性基金预算支出决算情况说明</w:t>
      </w:r>
      <w:r>
        <w:rPr>
          <w:rFonts w:hint="eastAsia" w:ascii="仿宋" w:hAnsi="仿宋" w:eastAsia="仿宋" w:cs="仿宋"/>
          <w:sz w:val="24"/>
        </w:rPr>
        <w:tab/>
      </w:r>
      <w:r>
        <w:rPr>
          <w:rFonts w:hint="eastAsia" w:ascii="仿宋" w:hAnsi="仿宋" w:eastAsia="仿宋" w:cs="仿宋"/>
          <w:sz w:val="24"/>
          <w:lang w:val="en-US" w:eastAsia="zh-CN"/>
        </w:rPr>
        <w:t>13</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九、国有资本经营预算支出决算情况说明</w:t>
      </w:r>
      <w:r>
        <w:rPr>
          <w:rFonts w:hint="eastAsia" w:ascii="仿宋" w:hAnsi="仿宋" w:eastAsia="仿宋" w:cs="仿宋"/>
          <w:sz w:val="24"/>
        </w:rPr>
        <w:tab/>
      </w:r>
      <w:r>
        <w:rPr>
          <w:rFonts w:hint="eastAsia" w:ascii="仿宋" w:hAnsi="仿宋" w:eastAsia="仿宋" w:cs="仿宋"/>
          <w:sz w:val="24"/>
          <w:lang w:val="en-US" w:eastAsia="zh-CN"/>
        </w:rPr>
        <w:t>13</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十、其他重要事项的情况说明</w:t>
      </w:r>
      <w:r>
        <w:rPr>
          <w:rFonts w:hint="eastAsia" w:ascii="仿宋" w:hAnsi="仿宋" w:eastAsia="仿宋" w:cs="仿宋"/>
          <w:sz w:val="24"/>
        </w:rPr>
        <w:tab/>
      </w:r>
      <w:r>
        <w:rPr>
          <w:rFonts w:hint="eastAsia" w:ascii="仿宋" w:hAnsi="仿宋" w:eastAsia="仿宋" w:cs="仿宋"/>
          <w:sz w:val="24"/>
          <w:lang w:val="en-US" w:eastAsia="zh-CN"/>
        </w:rPr>
        <w:t>13</w:t>
      </w:r>
    </w:p>
    <w:p>
      <w:pPr>
        <w:pStyle w:val="8"/>
        <w:adjustRightInd w:val="0"/>
        <w:snapToGrid w:val="0"/>
        <w:spacing w:before="0" w:line="440" w:lineRule="exact"/>
        <w:jc w:val="left"/>
        <w:rPr>
          <w:rFonts w:hint="default" w:ascii="黑体" w:hAnsi="黑体" w:eastAsia="仿宋" w:cs="黑体"/>
          <w:sz w:val="24"/>
          <w:szCs w:val="24"/>
          <w:lang w:val="en-US" w:eastAsia="zh-CN"/>
        </w:rPr>
      </w:pPr>
      <w:r>
        <w:rPr>
          <w:rFonts w:hint="eastAsia" w:ascii="黑体" w:hAnsi="黑体" w:eastAsia="黑体" w:cs="黑体"/>
          <w:sz w:val="24"/>
        </w:rPr>
        <w:t>第三部分 名词解释</w:t>
      </w:r>
      <w:r>
        <w:rPr>
          <w:rFonts w:hint="eastAsia" w:ascii="仿宋" w:hAnsi="仿宋" w:eastAsia="仿宋" w:cs="仿宋"/>
          <w:sz w:val="24"/>
        </w:rPr>
        <w:tab/>
      </w:r>
      <w:r>
        <w:rPr>
          <w:rFonts w:hint="eastAsia" w:cs="仿宋"/>
          <w:sz w:val="24"/>
          <w:lang w:val="en-US" w:eastAsia="zh-CN"/>
        </w:rPr>
        <w:t>15</w:t>
      </w:r>
    </w:p>
    <w:p>
      <w:pPr>
        <w:pStyle w:val="8"/>
        <w:adjustRightInd w:val="0"/>
        <w:snapToGrid w:val="0"/>
        <w:spacing w:before="0" w:line="440" w:lineRule="exact"/>
        <w:jc w:val="left"/>
        <w:rPr>
          <w:rFonts w:hint="default" w:ascii="黑体" w:hAnsi="黑体" w:eastAsia="仿宋" w:cs="黑体"/>
          <w:sz w:val="24"/>
          <w:szCs w:val="24"/>
          <w:lang w:val="en-US" w:eastAsia="zh-CN"/>
        </w:rPr>
      </w:pPr>
      <w:r>
        <w:rPr>
          <w:rFonts w:hint="eastAsia" w:ascii="黑体" w:hAnsi="黑体" w:eastAsia="黑体" w:cs="黑体"/>
          <w:sz w:val="24"/>
        </w:rPr>
        <w:t>第四部分 附件</w:t>
      </w:r>
      <w:r>
        <w:rPr>
          <w:rFonts w:hint="eastAsia" w:ascii="仿宋" w:hAnsi="仿宋" w:eastAsia="仿宋" w:cs="仿宋"/>
          <w:sz w:val="24"/>
        </w:rPr>
        <w:tab/>
      </w:r>
      <w:r>
        <w:rPr>
          <w:rFonts w:hint="eastAsia" w:cs="仿宋"/>
          <w:sz w:val="24"/>
          <w:lang w:val="en-US" w:eastAsia="zh-CN"/>
        </w:rPr>
        <w:t>16</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附件1</w:t>
      </w:r>
      <w:r>
        <w:rPr>
          <w:rFonts w:hint="eastAsia" w:ascii="仿宋" w:hAnsi="仿宋" w:eastAsia="仿宋" w:cs="仿宋"/>
          <w:sz w:val="24"/>
        </w:rPr>
        <w:tab/>
      </w:r>
      <w:r>
        <w:rPr>
          <w:rFonts w:hint="eastAsia" w:ascii="仿宋" w:hAnsi="仿宋" w:eastAsia="仿宋" w:cs="仿宋"/>
          <w:sz w:val="24"/>
          <w:lang w:val="en-US" w:eastAsia="zh-CN"/>
        </w:rPr>
        <w:t>16</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附件2</w:t>
      </w:r>
      <w:r>
        <w:rPr>
          <w:rFonts w:hint="eastAsia" w:ascii="仿宋" w:hAnsi="仿宋" w:eastAsia="仿宋" w:cs="仿宋"/>
          <w:sz w:val="24"/>
        </w:rPr>
        <w:tab/>
      </w:r>
      <w:r>
        <w:rPr>
          <w:rFonts w:hint="eastAsia" w:ascii="仿宋" w:hAnsi="仿宋" w:eastAsia="仿宋" w:cs="仿宋"/>
          <w:sz w:val="24"/>
          <w:lang w:val="en-US" w:eastAsia="zh-CN"/>
        </w:rPr>
        <w:t>20</w:t>
      </w:r>
    </w:p>
    <w:p>
      <w:pPr>
        <w:pStyle w:val="8"/>
        <w:adjustRightInd w:val="0"/>
        <w:snapToGrid w:val="0"/>
        <w:spacing w:before="0" w:line="440" w:lineRule="exact"/>
        <w:jc w:val="left"/>
        <w:rPr>
          <w:rFonts w:hint="default" w:ascii="黑体" w:hAnsi="黑体" w:eastAsia="仿宋" w:cs="黑体"/>
          <w:sz w:val="24"/>
          <w:szCs w:val="24"/>
          <w:lang w:val="en-US" w:eastAsia="zh-CN"/>
        </w:rPr>
      </w:pPr>
      <w:r>
        <w:rPr>
          <w:rFonts w:hint="eastAsia" w:ascii="黑体" w:hAnsi="黑体" w:eastAsia="黑体" w:cs="黑体"/>
          <w:sz w:val="24"/>
        </w:rPr>
        <w:t>第五部分 附表</w:t>
      </w:r>
      <w:r>
        <w:rPr>
          <w:rFonts w:hint="eastAsia" w:ascii="仿宋" w:hAnsi="仿宋" w:eastAsia="仿宋" w:cs="仿宋"/>
          <w:sz w:val="24"/>
        </w:rPr>
        <w:tab/>
      </w:r>
      <w:r>
        <w:rPr>
          <w:rFonts w:hint="eastAsia" w:cs="仿宋"/>
          <w:sz w:val="24"/>
          <w:lang w:val="en-US" w:eastAsia="zh-CN"/>
        </w:rPr>
        <w:t>23</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一、收入支出决算总表</w:t>
      </w:r>
      <w:r>
        <w:rPr>
          <w:rFonts w:hint="eastAsia" w:ascii="仿宋" w:hAnsi="仿宋" w:eastAsia="仿宋" w:cs="仿宋"/>
          <w:sz w:val="24"/>
        </w:rPr>
        <w:tab/>
      </w:r>
      <w:r>
        <w:rPr>
          <w:rFonts w:hint="eastAsia" w:ascii="仿宋" w:hAnsi="仿宋" w:eastAsia="仿宋" w:cs="仿宋"/>
          <w:sz w:val="24"/>
          <w:lang w:val="en-US" w:eastAsia="zh-CN"/>
        </w:rPr>
        <w:t>23</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二、收入决算表</w:t>
      </w:r>
      <w:r>
        <w:rPr>
          <w:rFonts w:hint="eastAsia" w:ascii="仿宋" w:hAnsi="仿宋" w:eastAsia="仿宋" w:cs="仿宋"/>
          <w:sz w:val="24"/>
        </w:rPr>
        <w:tab/>
      </w:r>
      <w:r>
        <w:rPr>
          <w:rFonts w:hint="eastAsia" w:ascii="仿宋" w:hAnsi="仿宋" w:eastAsia="仿宋" w:cs="仿宋"/>
          <w:sz w:val="24"/>
          <w:lang w:val="en-US" w:eastAsia="zh-CN"/>
        </w:rPr>
        <w:t>24</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三、支出决算表</w:t>
      </w:r>
      <w:r>
        <w:rPr>
          <w:rFonts w:hint="eastAsia" w:ascii="仿宋" w:hAnsi="仿宋" w:eastAsia="仿宋" w:cs="仿宋"/>
          <w:sz w:val="24"/>
        </w:rPr>
        <w:tab/>
      </w:r>
      <w:r>
        <w:rPr>
          <w:rFonts w:hint="eastAsia" w:ascii="仿宋" w:hAnsi="仿宋" w:eastAsia="仿宋" w:cs="仿宋"/>
          <w:sz w:val="24"/>
          <w:lang w:val="en-US" w:eastAsia="zh-CN"/>
        </w:rPr>
        <w:t>25</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四、财政拨款收入支出决算总表</w:t>
      </w:r>
      <w:r>
        <w:rPr>
          <w:rFonts w:hint="eastAsia" w:ascii="仿宋" w:hAnsi="仿宋" w:eastAsia="仿宋" w:cs="仿宋"/>
          <w:sz w:val="24"/>
        </w:rPr>
        <w:tab/>
      </w:r>
      <w:r>
        <w:rPr>
          <w:rFonts w:hint="eastAsia" w:ascii="仿宋" w:hAnsi="仿宋" w:eastAsia="仿宋" w:cs="仿宋"/>
          <w:sz w:val="24"/>
          <w:lang w:val="en-US" w:eastAsia="zh-CN"/>
        </w:rPr>
        <w:t>26</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五、财政拨款支出决算明细表</w:t>
      </w:r>
      <w:r>
        <w:rPr>
          <w:rFonts w:hint="eastAsia" w:ascii="仿宋" w:hAnsi="仿宋" w:eastAsia="仿宋" w:cs="仿宋"/>
          <w:sz w:val="24"/>
        </w:rPr>
        <w:tab/>
      </w:r>
      <w:r>
        <w:rPr>
          <w:rFonts w:hint="eastAsia" w:ascii="仿宋" w:hAnsi="仿宋" w:eastAsia="仿宋" w:cs="仿宋"/>
          <w:sz w:val="24"/>
          <w:lang w:val="en-US" w:eastAsia="zh-CN"/>
        </w:rPr>
        <w:t>27</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六、一般公共预算财政拨款支出决算表</w:t>
      </w:r>
      <w:r>
        <w:rPr>
          <w:rFonts w:hint="eastAsia" w:ascii="仿宋" w:hAnsi="仿宋" w:eastAsia="仿宋" w:cs="仿宋"/>
          <w:sz w:val="24"/>
        </w:rPr>
        <w:tab/>
      </w:r>
      <w:r>
        <w:rPr>
          <w:rFonts w:hint="eastAsia" w:ascii="仿宋" w:hAnsi="仿宋" w:eastAsia="仿宋" w:cs="仿宋"/>
          <w:sz w:val="24"/>
          <w:lang w:val="en-US" w:eastAsia="zh-CN"/>
        </w:rPr>
        <w:t>28</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七、一般公共预算财政拨款支出决算明细表</w:t>
      </w:r>
      <w:r>
        <w:rPr>
          <w:rFonts w:hint="eastAsia" w:ascii="仿宋" w:hAnsi="仿宋" w:eastAsia="仿宋" w:cs="仿宋"/>
          <w:sz w:val="24"/>
        </w:rPr>
        <w:tab/>
      </w:r>
      <w:r>
        <w:rPr>
          <w:rFonts w:hint="eastAsia" w:ascii="仿宋" w:hAnsi="仿宋" w:eastAsia="仿宋" w:cs="仿宋"/>
          <w:sz w:val="24"/>
          <w:lang w:val="en-US" w:eastAsia="zh-CN"/>
        </w:rPr>
        <w:t>29</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八、一般公共预算财政拨款基本支出决算表</w:t>
      </w:r>
      <w:r>
        <w:rPr>
          <w:rFonts w:hint="eastAsia" w:ascii="仿宋" w:hAnsi="仿宋" w:eastAsia="仿宋" w:cs="仿宋"/>
          <w:sz w:val="24"/>
        </w:rPr>
        <w:tab/>
      </w:r>
      <w:r>
        <w:rPr>
          <w:rFonts w:hint="eastAsia" w:ascii="仿宋" w:hAnsi="仿宋" w:eastAsia="仿宋" w:cs="仿宋"/>
          <w:sz w:val="24"/>
          <w:lang w:val="en-US" w:eastAsia="zh-CN"/>
        </w:rPr>
        <w:t>30</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九、一般公共预算财政拨款项目支出决算表</w:t>
      </w:r>
      <w:r>
        <w:rPr>
          <w:rFonts w:hint="eastAsia" w:ascii="仿宋" w:hAnsi="仿宋" w:eastAsia="仿宋" w:cs="仿宋"/>
          <w:sz w:val="24"/>
        </w:rPr>
        <w:tab/>
      </w:r>
      <w:r>
        <w:rPr>
          <w:rFonts w:hint="eastAsia" w:ascii="仿宋" w:hAnsi="仿宋" w:eastAsia="仿宋" w:cs="仿宋"/>
          <w:sz w:val="24"/>
          <w:lang w:val="en-US" w:eastAsia="zh-CN"/>
        </w:rPr>
        <w:t>31</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十、一般公共预算财政拨款“三公”经费支出决算表</w:t>
      </w:r>
      <w:r>
        <w:rPr>
          <w:rFonts w:hint="eastAsia" w:ascii="仿宋" w:hAnsi="仿宋" w:eastAsia="仿宋" w:cs="仿宋"/>
          <w:sz w:val="24"/>
        </w:rPr>
        <w:tab/>
      </w:r>
      <w:r>
        <w:rPr>
          <w:rFonts w:hint="eastAsia" w:ascii="仿宋" w:hAnsi="仿宋" w:eastAsia="仿宋" w:cs="仿宋"/>
          <w:sz w:val="24"/>
          <w:lang w:val="en-US" w:eastAsia="zh-CN"/>
        </w:rPr>
        <w:t>32</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十一、政府性基金预算财政拨款收入支出决算表</w:t>
      </w:r>
      <w:r>
        <w:rPr>
          <w:rFonts w:hint="eastAsia" w:ascii="仿宋" w:hAnsi="仿宋" w:eastAsia="仿宋" w:cs="仿宋"/>
          <w:sz w:val="24"/>
        </w:rPr>
        <w:tab/>
      </w:r>
      <w:r>
        <w:rPr>
          <w:rFonts w:hint="eastAsia" w:ascii="仿宋" w:hAnsi="仿宋" w:eastAsia="仿宋" w:cs="仿宋"/>
          <w:sz w:val="24"/>
          <w:lang w:val="en-US" w:eastAsia="zh-CN"/>
        </w:rPr>
        <w:t>33</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十二、政府性基金预算财政拨款“三公”经费支出决算表</w:t>
      </w:r>
      <w:r>
        <w:rPr>
          <w:rFonts w:hint="eastAsia" w:ascii="仿宋" w:hAnsi="仿宋" w:eastAsia="仿宋" w:cs="仿宋"/>
          <w:sz w:val="24"/>
        </w:rPr>
        <w:tab/>
      </w:r>
      <w:r>
        <w:rPr>
          <w:rFonts w:hint="eastAsia" w:ascii="仿宋" w:hAnsi="仿宋" w:eastAsia="仿宋" w:cs="仿宋"/>
          <w:sz w:val="24"/>
          <w:lang w:val="en-US" w:eastAsia="zh-CN"/>
        </w:rPr>
        <w:t>34</w:t>
      </w:r>
    </w:p>
    <w:p>
      <w:pPr>
        <w:pStyle w:val="9"/>
        <w:adjustRightInd w:val="0"/>
        <w:snapToGrid w:val="0"/>
        <w:spacing w:line="440" w:lineRule="exact"/>
        <w:jc w:val="left"/>
        <w:rPr>
          <w:rFonts w:hint="default" w:ascii="仿宋" w:hAnsi="仿宋" w:eastAsia="仿宋" w:cs="仿宋"/>
          <w:sz w:val="24"/>
          <w:lang w:val="en-US" w:eastAsia="zh-CN"/>
        </w:rPr>
      </w:pPr>
      <w:r>
        <w:rPr>
          <w:rFonts w:hint="eastAsia" w:ascii="仿宋" w:hAnsi="仿宋" w:eastAsia="仿宋" w:cs="仿宋"/>
          <w:sz w:val="24"/>
        </w:rPr>
        <w:t>十三、国有资本经营预算支出决算表</w:t>
      </w:r>
      <w:r>
        <w:rPr>
          <w:rFonts w:hint="eastAsia" w:ascii="仿宋" w:hAnsi="仿宋" w:eastAsia="仿宋" w:cs="仿宋"/>
          <w:sz w:val="24"/>
        </w:rPr>
        <w:tab/>
      </w:r>
      <w:r>
        <w:rPr>
          <w:rFonts w:hint="eastAsia" w:ascii="仿宋" w:hAnsi="仿宋" w:eastAsia="仿宋" w:cs="仿宋"/>
          <w:sz w:val="24"/>
          <w:lang w:val="en-US" w:eastAsia="zh-CN"/>
        </w:rPr>
        <w:t>35</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pageBreakBefore w:val="0"/>
        <w:kinsoku/>
        <w:wordWrap/>
        <w:overflowPunct/>
        <w:autoSpaceDE/>
        <w:autoSpaceDN/>
        <w:bidi w:val="0"/>
        <w:spacing w:line="540" w:lineRule="exact"/>
        <w:jc w:val="center"/>
        <w:textAlignment w:val="auto"/>
        <w:rPr>
          <w:rStyle w:val="21"/>
          <w:rFonts w:ascii="黑体" w:hAnsi="黑体" w:eastAsia="黑体"/>
          <w:b/>
          <w:bCs w:val="0"/>
        </w:rPr>
      </w:pPr>
      <w:r>
        <w:rPr>
          <w:rFonts w:hint="eastAsia" w:ascii="黑体" w:hAnsi="黑体" w:eastAsia="黑体"/>
          <w:b w:val="0"/>
        </w:rPr>
        <w:t xml:space="preserve">第一部分 </w:t>
      </w:r>
      <w:r>
        <w:rPr>
          <w:rStyle w:val="21"/>
          <w:rFonts w:hint="eastAsia" w:ascii="黑体" w:hAnsi="黑体" w:eastAsia="黑体"/>
          <w:b w:val="0"/>
          <w:bCs w:val="0"/>
        </w:rPr>
        <w:t>部门概况</w:t>
      </w:r>
      <w:bookmarkEnd w:id="12"/>
      <w:bookmarkEnd w:id="13"/>
    </w:p>
    <w:p>
      <w:pPr>
        <w:pageBreakBefore w:val="0"/>
        <w:widowControl/>
        <w:kinsoku/>
        <w:wordWrap/>
        <w:overflowPunct/>
        <w:autoSpaceDE/>
        <w:autoSpaceDN/>
        <w:bidi w:val="0"/>
        <w:spacing w:line="540" w:lineRule="exact"/>
        <w:jc w:val="left"/>
        <w:textAlignment w:val="auto"/>
        <w:rPr>
          <w:rFonts w:ascii="黑体" w:eastAsia="黑体"/>
          <w:color w:val="000000"/>
          <w:sz w:val="32"/>
          <w:szCs w:val="32"/>
        </w:rPr>
      </w:pPr>
    </w:p>
    <w:p>
      <w:pPr>
        <w:pStyle w:val="4"/>
        <w:pageBreakBefore w:val="0"/>
        <w:kinsoku/>
        <w:wordWrap/>
        <w:overflowPunct/>
        <w:autoSpaceDE/>
        <w:autoSpaceDN/>
        <w:bidi w:val="0"/>
        <w:spacing w:line="500" w:lineRule="exact"/>
        <w:ind w:firstLine="640" w:firstLineChars="200"/>
        <w:textAlignment w:val="auto"/>
        <w:rPr>
          <w:rStyle w:val="22"/>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2"/>
          <w:rFonts w:hint="eastAsia" w:ascii="黑体" w:hAnsi="黑体" w:eastAsia="黑体"/>
          <w:b w:val="0"/>
          <w:bCs w:val="0"/>
        </w:rPr>
        <w:t>本职能及主要工作</w:t>
      </w:r>
      <w:bookmarkEnd w:id="14"/>
      <w:bookmarkEnd w:id="15"/>
    </w:p>
    <w:p>
      <w:pPr>
        <w:pStyle w:val="2"/>
        <w:pageBreakBefore w:val="0"/>
        <w:kinsoku/>
        <w:wordWrap/>
        <w:overflowPunct/>
        <w:autoSpaceDE/>
        <w:autoSpaceDN/>
        <w:bidi w:val="0"/>
        <w:adjustRightInd w:val="0"/>
        <w:snapToGrid w:val="0"/>
        <w:spacing w:before="93" w:line="500" w:lineRule="exact"/>
        <w:ind w:firstLine="672" w:firstLineChars="210"/>
        <w:textAlignment w:val="auto"/>
        <w:outlineLvl w:val="2"/>
        <w:rPr>
          <w:rFonts w:hint="eastAsia" w:ascii="华文楷体" w:hAnsi="华文楷体" w:eastAsia="华文楷体" w:cs="华文楷体"/>
          <w:bCs/>
          <w:color w:val="000000"/>
          <w:sz w:val="32"/>
          <w:szCs w:val="32"/>
        </w:rPr>
      </w:pPr>
      <w:bookmarkStart w:id="16" w:name="_Toc15378445"/>
      <w:bookmarkStart w:id="17" w:name="_Toc15377198"/>
      <w:r>
        <w:rPr>
          <w:rFonts w:hint="eastAsia" w:ascii="华文楷体" w:hAnsi="华文楷体" w:eastAsia="华文楷体" w:cs="华文楷体"/>
          <w:bCs/>
          <w:color w:val="000000"/>
          <w:sz w:val="32"/>
          <w:szCs w:val="32"/>
        </w:rPr>
        <w:t>（一）主要职能</w:t>
      </w:r>
      <w:bookmarkEnd w:id="16"/>
      <w:bookmarkEnd w:id="17"/>
      <w:bookmarkStart w:id="18" w:name="_Toc15377199"/>
      <w:bookmarkStart w:id="19" w:name="_Toc15378446"/>
    </w:p>
    <w:p>
      <w:pPr>
        <w:pStyle w:val="2"/>
        <w:pageBreakBefore w:val="0"/>
        <w:kinsoku/>
        <w:wordWrap/>
        <w:overflowPunct/>
        <w:autoSpaceDE/>
        <w:autoSpaceDN/>
        <w:bidi w:val="0"/>
        <w:adjustRightInd w:val="0"/>
        <w:snapToGrid w:val="0"/>
        <w:spacing w:before="93" w:line="500" w:lineRule="exact"/>
        <w:ind w:firstLine="672" w:firstLineChars="210"/>
        <w:textAlignment w:val="auto"/>
        <w:outlineLvl w:val="2"/>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在市委领导下，统筹协调、处理市委日常事务。</w:t>
      </w:r>
    </w:p>
    <w:p>
      <w:pPr>
        <w:keepNext w:val="0"/>
        <w:keepLines w:val="0"/>
        <w:pageBreakBefore w:val="0"/>
        <w:kinsoku/>
        <w:wordWrap/>
        <w:overflowPunct/>
        <w:topLinePunct/>
        <w:autoSpaceDE/>
        <w:autoSpaceDN/>
        <w:bidi w:val="0"/>
        <w:adjustRightIn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负责市委文件的起草、审核、印发工作；负责市委领导讲话、报告等文稿的起草、审核、印发工作。   </w:t>
      </w:r>
    </w:p>
    <w:p>
      <w:pPr>
        <w:keepNext w:val="0"/>
        <w:keepLines w:val="0"/>
        <w:pageBreakBefore w:val="0"/>
        <w:kinsoku/>
        <w:wordWrap/>
        <w:overflowPunct/>
        <w:topLinePunct/>
        <w:autoSpaceDE/>
        <w:autoSpaceDN/>
        <w:bidi w:val="0"/>
        <w:adjustRightIn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负责市党代会，市委全体会议、常委会会议、专题会议和部分市委工作会议、全市性重大会议的组织协调工作。</w:t>
      </w:r>
    </w:p>
    <w:p>
      <w:pPr>
        <w:keepNext w:val="0"/>
        <w:keepLines w:val="0"/>
        <w:pageBreakBefore w:val="0"/>
        <w:kinsoku/>
        <w:wordWrap/>
        <w:overflowPunct/>
        <w:topLinePunct/>
        <w:autoSpaceDE/>
        <w:autoSpaceDN/>
        <w:bidi w:val="0"/>
        <w:adjustRightIn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负责市委重大活动和市委领导参加有关活动的组织协调和后勤服务。</w:t>
      </w:r>
    </w:p>
    <w:p>
      <w:pPr>
        <w:keepNext w:val="0"/>
        <w:keepLines w:val="0"/>
        <w:pageBreakBefore w:val="0"/>
        <w:kinsoku/>
        <w:wordWrap/>
        <w:overflowPunct/>
        <w:topLinePunct/>
        <w:autoSpaceDE/>
        <w:autoSpaceDN/>
        <w:bidi w:val="0"/>
        <w:adjustRightIn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负责围绕中央、省委、市委重大决策部署开展调查研究，提供决策参考。</w:t>
      </w:r>
    </w:p>
    <w:p>
      <w:pPr>
        <w:keepNext w:val="0"/>
        <w:keepLines w:val="0"/>
        <w:pageBreakBefore w:val="0"/>
        <w:kinsoku/>
        <w:wordWrap/>
        <w:overflowPunct/>
        <w:topLinePunct/>
        <w:autoSpaceDE/>
        <w:autoSpaceDN/>
        <w:bidi w:val="0"/>
        <w:adjustRightIn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负责协调推动市委决策部署和市委领导批示、交办事项等的督促落实。</w:t>
      </w:r>
    </w:p>
    <w:p>
      <w:pPr>
        <w:keepNext w:val="0"/>
        <w:keepLines w:val="0"/>
        <w:pageBreakBefore w:val="0"/>
        <w:kinsoku/>
        <w:wordWrap/>
        <w:overflowPunct/>
        <w:topLinePunct/>
        <w:autoSpaceDE/>
        <w:autoSpaceDN/>
        <w:bidi w:val="0"/>
        <w:adjustRightIn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负责编印、报送党务信息、工作信息和突发信息等工作。</w:t>
      </w:r>
    </w:p>
    <w:p>
      <w:pPr>
        <w:keepNext w:val="0"/>
        <w:keepLines w:val="0"/>
        <w:pageBreakBefore w:val="0"/>
        <w:kinsoku/>
        <w:wordWrap/>
        <w:overflowPunct/>
        <w:topLinePunct/>
        <w:autoSpaceDE/>
        <w:autoSpaceDN/>
        <w:bidi w:val="0"/>
        <w:adjustRightIn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负责全市外事和港澳事务工作，承担市委外事委员会办公室日常工作。</w:t>
      </w:r>
    </w:p>
    <w:p>
      <w:pPr>
        <w:keepNext w:val="0"/>
        <w:keepLines w:val="0"/>
        <w:pageBreakBefore w:val="0"/>
        <w:widowControl/>
        <w:kinsoku/>
        <w:wordWrap/>
        <w:overflowPunct/>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负责全市国家安全事务工作，承担市委国家安全委员会办公室日常工作。</w:t>
      </w:r>
    </w:p>
    <w:p>
      <w:pPr>
        <w:keepNext w:val="0"/>
        <w:keepLines w:val="0"/>
        <w:pageBreakBefore w:val="0"/>
        <w:widowControl/>
        <w:kinsoku/>
        <w:wordWrap/>
        <w:overflowPunct/>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负责全市档案工作业务指导、法规宣传、执法检查等档案行政管理工作。</w:t>
      </w:r>
    </w:p>
    <w:p>
      <w:pPr>
        <w:keepNext w:val="0"/>
        <w:keepLines w:val="0"/>
        <w:pageBreakBefore w:val="0"/>
        <w:widowControl/>
        <w:kinsoku/>
        <w:wordWrap/>
        <w:overflowPunct/>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负责全市党政网（电子政务内网）和专用通信网络的规划、建设、管理和运营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"https://baike.so.com/doc/257070-272132.html"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维护</w:t>
      </w:r>
      <w:r>
        <w:rPr>
          <w:rFonts w:hint="eastAsia" w:ascii="仿宋" w:hAnsi="仿宋" w:eastAsia="仿宋" w:cs="仿宋"/>
          <w:sz w:val="32"/>
          <w:szCs w:val="32"/>
        </w:rPr>
        <w:fldChar w:fldCharType="end"/>
      </w:r>
      <w:r>
        <w:rPr>
          <w:rFonts w:hint="eastAsia" w:ascii="仿宋" w:hAnsi="仿宋" w:eastAsia="仿宋" w:cs="仿宋"/>
          <w:sz w:val="32"/>
          <w:szCs w:val="32"/>
        </w:rPr>
        <w:t>及高清视频会议的服务工作。</w:t>
      </w:r>
    </w:p>
    <w:p>
      <w:pPr>
        <w:keepNext w:val="0"/>
        <w:keepLines w:val="0"/>
        <w:pageBreakBefore w:val="0"/>
        <w:widowControl/>
        <w:kinsoku/>
        <w:wordWrap/>
        <w:overflowPunct/>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负责市委党务公开和全市党务公开工作的业务指导和监督检查。</w:t>
      </w:r>
    </w:p>
    <w:p>
      <w:pPr>
        <w:keepNext w:val="0"/>
        <w:keepLines w:val="0"/>
        <w:pageBreakBefore w:val="0"/>
        <w:widowControl/>
        <w:kinsoku/>
        <w:wordWrap/>
        <w:overflowPunct/>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负责市委值班值守和印章使用、管理；配合市公安局做好市政大楼、周转房的安全保卫工作。</w:t>
      </w:r>
    </w:p>
    <w:p>
      <w:pPr>
        <w:keepNext w:val="0"/>
        <w:keepLines w:val="0"/>
        <w:pageBreakBefore w:val="0"/>
        <w:widowControl/>
        <w:kinsoku/>
        <w:wordWrap/>
        <w:overflowPunct/>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归口管理市目标绩效管理办公室、市委保密机要局。</w:t>
      </w:r>
    </w:p>
    <w:p>
      <w:pPr>
        <w:pStyle w:val="2"/>
        <w:pageBreakBefore w:val="0"/>
        <w:kinsoku/>
        <w:wordWrap/>
        <w:overflowPunct/>
        <w:autoSpaceDE/>
        <w:autoSpaceDN/>
        <w:bidi w:val="0"/>
        <w:adjustRightInd w:val="0"/>
        <w:snapToGrid w:val="0"/>
        <w:spacing w:before="93" w:line="500" w:lineRule="exact"/>
        <w:ind w:firstLine="672" w:firstLineChars="210"/>
        <w:textAlignment w:val="auto"/>
        <w:outlineLvl w:val="2"/>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完成市委交办的其他任务。</w:t>
      </w:r>
    </w:p>
    <w:p>
      <w:pPr>
        <w:pStyle w:val="2"/>
        <w:pageBreakBefore w:val="0"/>
        <w:kinsoku/>
        <w:wordWrap/>
        <w:overflowPunct/>
        <w:autoSpaceDE/>
        <w:autoSpaceDN/>
        <w:bidi w:val="0"/>
        <w:adjustRightInd w:val="0"/>
        <w:snapToGrid w:val="0"/>
        <w:spacing w:before="93" w:line="500" w:lineRule="exact"/>
        <w:ind w:firstLine="672" w:firstLineChars="210"/>
        <w:textAlignment w:val="auto"/>
        <w:outlineLvl w:val="2"/>
        <w:rPr>
          <w:rFonts w:hint="eastAsia" w:ascii="华文楷体" w:hAnsi="华文楷体" w:eastAsia="华文楷体" w:cs="华文楷体"/>
          <w:b/>
          <w:color w:val="000000"/>
          <w:sz w:val="32"/>
          <w:szCs w:val="32"/>
        </w:rPr>
      </w:pPr>
      <w:r>
        <w:rPr>
          <w:rFonts w:hint="eastAsia" w:ascii="华文楷体" w:hAnsi="华文楷体" w:eastAsia="华文楷体" w:cs="华文楷体"/>
          <w:bCs/>
          <w:color w:val="000000"/>
          <w:sz w:val="32"/>
          <w:szCs w:val="32"/>
        </w:rPr>
        <w:t>（二）2019年重点工作完成情况。</w:t>
      </w:r>
      <w:bookmarkEnd w:id="18"/>
      <w:bookmarkEnd w:id="19"/>
    </w:p>
    <w:p>
      <w:pPr>
        <w:pStyle w:val="2"/>
        <w:pageBreakBefore w:val="0"/>
        <w:kinsoku/>
        <w:wordWrap/>
        <w:overflowPunct/>
        <w:autoSpaceDE/>
        <w:autoSpaceDN/>
        <w:bidi w:val="0"/>
        <w:spacing w:before="93" w:line="500" w:lineRule="exact"/>
        <w:ind w:firstLine="640" w:firstLineChars="200"/>
        <w:textAlignment w:val="auto"/>
        <w:rPr>
          <w:rFonts w:hAnsi="宋体"/>
          <w:bCs/>
          <w:color w:val="000000"/>
          <w:sz w:val="32"/>
          <w:szCs w:val="32"/>
        </w:rPr>
      </w:pPr>
      <w:r>
        <w:rPr>
          <w:rFonts w:hint="eastAsia" w:hAnsi="宋体"/>
          <w:bCs/>
          <w:color w:val="000000"/>
          <w:sz w:val="32"/>
          <w:szCs w:val="32"/>
        </w:rPr>
        <w:t>1、着力建设政治机关，始终做到政治坚定、绝对忠诚。一是扎实开展</w:t>
      </w:r>
      <w:r>
        <w:rPr>
          <w:rFonts w:hint="eastAsia" w:hAnsi="宋体"/>
          <w:bCs/>
          <w:color w:val="000000"/>
          <w:sz w:val="32"/>
          <w:szCs w:val="32"/>
          <w:lang w:eastAsia="zh-CN"/>
        </w:rPr>
        <w:t>“不忘初心、牢记使命”主题教育</w:t>
      </w:r>
      <w:r>
        <w:rPr>
          <w:rFonts w:hint="eastAsia" w:hAnsi="宋体"/>
          <w:bCs/>
          <w:color w:val="000000"/>
          <w:sz w:val="32"/>
          <w:szCs w:val="32"/>
        </w:rPr>
        <w:t>。全力承担市委主题教育工作，牵头起草市委开展主题教育“8+8+2”专项整治中的4各专项整治方案，督促推动相关责任单位做好整改落实，同时编印了本单位工作失误案例、《</w:t>
      </w:r>
      <w:r>
        <w:rPr>
          <w:rFonts w:hint="eastAsia" w:hAnsi="宋体"/>
          <w:bCs/>
          <w:color w:val="000000"/>
          <w:sz w:val="32"/>
          <w:szCs w:val="32"/>
          <w:lang w:eastAsia="zh-CN"/>
        </w:rPr>
        <w:t>中共巴中市委办公室</w:t>
      </w:r>
      <w:r>
        <w:rPr>
          <w:rFonts w:hint="eastAsia" w:hAnsi="宋体"/>
          <w:bCs/>
          <w:color w:val="000000"/>
          <w:sz w:val="32"/>
          <w:szCs w:val="32"/>
        </w:rPr>
        <w:t>工作制度汇编》。二是牵头开展中央、省委巡视反馈意见整改。认真履行市委落实省委巡视反馈意见整改工作领导小组办公室职责，牵头制定市委整改方案，建立完善制度机制70余项，实行周报告、月通报制度，强力督促15个牵头单位、55个责任单位整改落实8个方面的48个面上问题、82个具体问题，得到省委巡视办充分肯定。三是严格执行重大事项请示报告制度。严肃政治纪律、政治贵局，逗硬落实市委关于请销假、应急值班值班、规范性文件报备等有关规定。四是持续加强机关政治建设。以机构改革为契机，优化设置科室16个，整合外办、友协、档案局职能，新设置专用通信中心，理顺市目标绩效办、保机局归口管理机制。</w:t>
      </w:r>
    </w:p>
    <w:p>
      <w:pPr>
        <w:pageBreakBefore w:val="0"/>
        <w:kinsoku/>
        <w:wordWrap/>
        <w:overflowPunct/>
        <w:autoSpaceDE/>
        <w:autoSpaceDN/>
        <w:bidi w:val="0"/>
        <w:spacing w:line="500" w:lineRule="exact"/>
        <w:ind w:firstLine="640" w:firstLineChars="200"/>
        <w:textAlignment w:val="auto"/>
        <w:rPr>
          <w:rFonts w:ascii="仿宋_GB2312" w:hAnsi="宋体" w:eastAsia="仿宋_GB2312"/>
          <w:bCs/>
          <w:color w:val="000000"/>
          <w:sz w:val="32"/>
          <w:szCs w:val="32"/>
        </w:rPr>
      </w:pPr>
      <w:r>
        <w:rPr>
          <w:rFonts w:hint="eastAsia" w:ascii="仿宋_GB2312" w:hAnsi="宋体" w:eastAsia="仿宋_GB2312"/>
          <w:bCs/>
          <w:color w:val="000000"/>
          <w:sz w:val="32"/>
          <w:szCs w:val="32"/>
        </w:rPr>
        <w:t>2、着力建设学习机关，始终做到勤学笃行、学用相长。一是带头学习贯彻市委决策部署。坚持率先示范，先学一步、深学一层，争做学习贯彻落实市委决策部署的表率。二是带头开展市委精神宣传宣讲。市委秘书长率先为</w:t>
      </w:r>
      <w:r>
        <w:rPr>
          <w:rFonts w:hint="eastAsia" w:ascii="仿宋_GB2312" w:hAnsi="宋体" w:eastAsia="仿宋_GB2312"/>
          <w:bCs/>
          <w:color w:val="000000"/>
          <w:sz w:val="32"/>
          <w:szCs w:val="32"/>
          <w:lang w:eastAsia="zh-CN"/>
        </w:rPr>
        <w:t>市委办公室</w:t>
      </w:r>
      <w:r>
        <w:rPr>
          <w:rFonts w:hint="eastAsia" w:ascii="仿宋_GB2312" w:hAnsi="宋体" w:eastAsia="仿宋_GB2312"/>
          <w:bCs/>
          <w:color w:val="000000"/>
          <w:sz w:val="32"/>
          <w:szCs w:val="32"/>
        </w:rPr>
        <w:t>干部作专题党课辅导，</w:t>
      </w:r>
      <w:r>
        <w:rPr>
          <w:rFonts w:hint="eastAsia" w:ascii="仿宋_GB2312" w:hAnsi="宋体" w:eastAsia="仿宋_GB2312"/>
          <w:bCs/>
          <w:color w:val="000000"/>
          <w:sz w:val="32"/>
          <w:szCs w:val="32"/>
          <w:lang w:eastAsia="zh-CN"/>
        </w:rPr>
        <w:t>市委办公室</w:t>
      </w:r>
      <w:r>
        <w:rPr>
          <w:rFonts w:hint="eastAsia" w:ascii="仿宋_GB2312" w:hAnsi="宋体" w:eastAsia="仿宋_GB2312"/>
          <w:bCs/>
          <w:color w:val="000000"/>
          <w:sz w:val="32"/>
          <w:szCs w:val="32"/>
        </w:rPr>
        <w:t xml:space="preserve">班子成员分批次带队到区县开展市委决策部署和政策形势宣讲，邀请专家领域现场授课，真正把市委重要会议精神和重大决策部署学深悟透、入脑入心。  </w:t>
      </w:r>
    </w:p>
    <w:p>
      <w:pPr>
        <w:pageBreakBefore w:val="0"/>
        <w:kinsoku/>
        <w:wordWrap/>
        <w:overflowPunct/>
        <w:autoSpaceDE/>
        <w:autoSpaceDN/>
        <w:bidi w:val="0"/>
        <w:spacing w:line="500" w:lineRule="exact"/>
        <w:ind w:firstLine="640" w:firstLineChars="200"/>
        <w:textAlignment w:val="auto"/>
        <w:rPr>
          <w:rFonts w:ascii="仿宋_GB2312" w:hAnsi="宋体" w:eastAsia="仿宋_GB2312"/>
          <w:bCs/>
          <w:color w:val="000000"/>
          <w:sz w:val="32"/>
          <w:szCs w:val="32"/>
        </w:rPr>
      </w:pPr>
      <w:r>
        <w:rPr>
          <w:rFonts w:hint="eastAsia" w:ascii="仿宋_GB2312" w:hAnsi="宋体" w:eastAsia="仿宋_GB2312"/>
          <w:bCs/>
          <w:color w:val="000000"/>
          <w:sz w:val="32"/>
          <w:szCs w:val="32"/>
        </w:rPr>
        <w:t>3、着力建设执行机关，始终做到忠诚担当、</w:t>
      </w:r>
      <w:bookmarkStart w:id="53" w:name="_GoBack"/>
      <w:bookmarkEnd w:id="53"/>
      <w:r>
        <w:rPr>
          <w:rFonts w:hint="eastAsia" w:ascii="仿宋_GB2312" w:hAnsi="宋体" w:eastAsia="仿宋_GB2312"/>
          <w:bCs/>
          <w:color w:val="000000"/>
          <w:sz w:val="32"/>
          <w:szCs w:val="32"/>
          <w:lang w:eastAsia="zh-CN"/>
        </w:rPr>
        <w:t>善作善成</w:t>
      </w:r>
      <w:r>
        <w:rPr>
          <w:rFonts w:hint="eastAsia" w:ascii="仿宋_GB2312" w:hAnsi="宋体" w:eastAsia="仿宋_GB2312"/>
          <w:bCs/>
          <w:color w:val="000000"/>
          <w:sz w:val="32"/>
          <w:szCs w:val="32"/>
        </w:rPr>
        <w:t>。扎实履行抓落实基本职能，坚决推动市委决策部署落地生根。一是全面分解落实重大决策部署工作责任。对市委召开的重大会议、举行的重大活动、下发的重要文件，第一时间传达学习、安排落实，特别是对市委重要会议议定事项和市委主要领导批示交办事项，均逐一制定“任务表”和“责任图”，采取定事、定人、定责、定时限、定标准“五定”方式落实责任。二是全力做好市委主要领导交办事项。规范市委主要领导批交办的事项的办理流程，实行周督办、月汇总，做到件件有回音、事事有结果。三是全力完成省市下达的目标任务。圆满完成省下达市州的文件报备、应急值班、信息报送等各项目标任务，高标准完成省委巡视反馈意见整改的目标考核。</w:t>
      </w:r>
    </w:p>
    <w:p>
      <w:pPr>
        <w:pageBreakBefore w:val="0"/>
        <w:kinsoku/>
        <w:wordWrap/>
        <w:overflowPunct/>
        <w:autoSpaceDE/>
        <w:autoSpaceDN/>
        <w:bidi w:val="0"/>
        <w:spacing w:line="500" w:lineRule="exact"/>
        <w:ind w:firstLine="640" w:firstLineChars="200"/>
        <w:textAlignment w:val="auto"/>
        <w:rPr>
          <w:color w:val="000000"/>
        </w:rPr>
      </w:pPr>
      <w:r>
        <w:rPr>
          <w:rFonts w:hint="eastAsia" w:ascii="仿宋_GB2312" w:hAnsi="宋体" w:eastAsia="仿宋_GB2312"/>
          <w:bCs/>
          <w:color w:val="000000"/>
          <w:sz w:val="32"/>
          <w:szCs w:val="32"/>
        </w:rPr>
        <w:t>4、着力建设协调机关，始终做到服务中心、顺畅高效。充分发挥协调上下、联系左右、疏通内外的运转中枢作用，努力形成全市各方围绕市委中心工作“一盘棋”格局。一是强化市四大家秘书长联席会议制度、强化办公室牵头协调工作机制、强化办公室内部统筹协作机制。实行全年发文、会议、重大活动计划制、每月会商制。每月底召开市委秘书长、办公室主任会议，通报本月重点工作完成情况及下月工作计划，定期研究“三重一大”事项。</w:t>
      </w:r>
    </w:p>
    <w:p>
      <w:pPr>
        <w:pageBreakBefore w:val="0"/>
        <w:kinsoku/>
        <w:wordWrap/>
        <w:overflowPunct/>
        <w:autoSpaceDE/>
        <w:autoSpaceDN/>
        <w:bidi w:val="0"/>
        <w:spacing w:line="500" w:lineRule="exact"/>
        <w:ind w:firstLine="640" w:firstLineChars="200"/>
        <w:textAlignment w:val="auto"/>
        <w:rPr>
          <w:rFonts w:ascii="仿宋_GB2312" w:hAnsi="宋体" w:eastAsia="仿宋_GB2312"/>
          <w:bCs/>
          <w:color w:val="000000"/>
          <w:sz w:val="32"/>
          <w:szCs w:val="32"/>
        </w:rPr>
      </w:pPr>
      <w:r>
        <w:rPr>
          <w:rFonts w:hint="eastAsia" w:ascii="仿宋_GB2312" w:hAnsi="宋体" w:eastAsia="仿宋_GB2312"/>
          <w:bCs/>
          <w:color w:val="000000"/>
          <w:sz w:val="32"/>
          <w:szCs w:val="32"/>
        </w:rPr>
        <w:t>5、着力建设督查机关，始终做到动真碰硬、敢于亮剑。紧贴市委中心抓督查，持续在市委关切、群众关注的领域发力。一是优化</w:t>
      </w:r>
      <w:r>
        <w:rPr>
          <w:rFonts w:hint="eastAsia" w:ascii="仿宋_GB2312" w:hAnsi="宋体" w:eastAsia="仿宋_GB2312"/>
          <w:bCs/>
          <w:color w:val="000000"/>
          <w:sz w:val="32"/>
          <w:szCs w:val="32"/>
          <w:lang w:eastAsia="zh-CN"/>
        </w:rPr>
        <w:t>中共巴中市委办公室</w:t>
      </w:r>
      <w:r>
        <w:rPr>
          <w:rFonts w:hint="eastAsia" w:ascii="仿宋_GB2312" w:hAnsi="宋体" w:eastAsia="仿宋_GB2312"/>
          <w:bCs/>
          <w:color w:val="000000"/>
          <w:sz w:val="32"/>
          <w:szCs w:val="32"/>
        </w:rPr>
        <w:t>督查落实职能。针对机改后目标督查现状，与市目标督查部门无缝衔接，做到各负其责、协同互补。二是强化调研督查和执法检查。组织市纪委、审计等部门定期开展执行</w:t>
      </w:r>
      <w:r>
        <w:rPr>
          <w:rFonts w:hint="eastAsia" w:ascii="仿宋_GB2312" w:hAnsi="宋体" w:eastAsia="仿宋_GB2312"/>
          <w:bCs/>
          <w:color w:val="000000"/>
          <w:sz w:val="32"/>
          <w:szCs w:val="32"/>
          <w:lang w:eastAsia="zh-CN"/>
        </w:rPr>
        <w:t>中央八项规定</w:t>
      </w:r>
      <w:r>
        <w:rPr>
          <w:rFonts w:hint="eastAsia" w:ascii="仿宋_GB2312" w:hAnsi="宋体" w:eastAsia="仿宋_GB2312"/>
          <w:bCs/>
          <w:color w:val="000000"/>
          <w:sz w:val="32"/>
          <w:szCs w:val="32"/>
        </w:rPr>
        <w:t>精神、力戒形式主义和党务公开、保密等工作综合调研督查，发现并整改各类问题48个。全面开展档案执法检查，对26个单位开展档案工作规范化指导，对12个市级部门、15个市级重点项目进行了档案执法监督检查，对40余各部门开展了应急值班抽查检查。三是强化责任追究督办，坚决纠正政令不畅、敷衍塞责、执行不力行为。</w:t>
      </w:r>
    </w:p>
    <w:p>
      <w:pPr>
        <w:pageBreakBefore w:val="0"/>
        <w:kinsoku/>
        <w:wordWrap/>
        <w:overflowPunct/>
        <w:topLinePunct w:val="0"/>
        <w:autoSpaceDE/>
        <w:autoSpaceDN/>
        <w:bidi w:val="0"/>
        <w:snapToGrid w:val="0"/>
        <w:spacing w:line="500" w:lineRule="exact"/>
        <w:ind w:firstLine="640" w:firstLineChars="200"/>
        <w:textAlignment w:val="auto"/>
        <w:rPr>
          <w:rFonts w:hint="eastAsia" w:ascii="仿宋" w:hAnsi="仿宋" w:eastAsia="仿宋"/>
          <w:bCs/>
          <w:color w:val="000000"/>
          <w:sz w:val="32"/>
          <w:szCs w:val="32"/>
        </w:rPr>
      </w:pPr>
      <w:r>
        <w:rPr>
          <w:rFonts w:hint="eastAsia" w:ascii="仿宋_GB2312" w:hAnsi="宋体" w:eastAsia="仿宋_GB2312"/>
          <w:bCs/>
          <w:color w:val="000000"/>
          <w:sz w:val="32"/>
          <w:szCs w:val="32"/>
        </w:rPr>
        <w:t>6、着力建设服务机关，始终做到运转规范、保障有力。一是强化重要文稿服务，努力“以文辅政”，全年起草重要会议文稿近300篇、各类致辞及工作汇报180余篇，在《人民日报》等国家级刊物发表署名文章5篇，深入基层开展调查研究，撰写调研报告12篇。二是强化突发事件应急处置。严格落实24小时专人值班值守制度和汛期及特殊时期“零报告”制度。三是强化文电运转和党委信息工作。进一步精文减会，运转处理文电7300余件次，市委发文和全市性会议数量同比缩减30%。四是强化后勤保障服务。坚持以制度管人管事，健全各方面规章制度42项，全面启用OA系统，建立公务车台账、固定资产台账，实行定期财务审查，服务质量不断提升。</w:t>
      </w:r>
    </w:p>
    <w:p>
      <w:pPr>
        <w:pStyle w:val="4"/>
        <w:pageBreakBefore w:val="0"/>
        <w:kinsoku/>
        <w:wordWrap/>
        <w:overflowPunct/>
        <w:topLinePunct w:val="0"/>
        <w:autoSpaceDE/>
        <w:autoSpaceDN/>
        <w:bidi w:val="0"/>
        <w:spacing w:line="500" w:lineRule="exact"/>
        <w:ind w:firstLine="640" w:firstLineChars="200"/>
        <w:textAlignment w:val="auto"/>
        <w:rPr>
          <w:rStyle w:val="22"/>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2"/>
          <w:rFonts w:hint="eastAsia" w:ascii="黑体" w:hAnsi="黑体" w:eastAsia="黑体"/>
          <w:b w:val="0"/>
          <w:bCs w:val="0"/>
        </w:rPr>
        <w:t>构设置</w:t>
      </w:r>
      <w:bookmarkEnd w:id="20"/>
      <w:bookmarkEnd w:id="21"/>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中共巴中市委办公室</w:t>
      </w:r>
      <w:r>
        <w:rPr>
          <w:rFonts w:hint="eastAsia" w:ascii="仿宋" w:hAnsi="仿宋" w:eastAsia="仿宋"/>
          <w:sz w:val="32"/>
          <w:szCs w:val="32"/>
        </w:rPr>
        <w:t>下属二级单位</w:t>
      </w:r>
      <w:r>
        <w:rPr>
          <w:rFonts w:hint="eastAsia" w:ascii="仿宋" w:hAnsi="仿宋" w:eastAsia="仿宋"/>
          <w:sz w:val="32"/>
          <w:szCs w:val="32"/>
          <w:lang w:val="en-US" w:eastAsia="zh-CN"/>
        </w:rPr>
        <w:t>7</w:t>
      </w:r>
      <w:r>
        <w:rPr>
          <w:rFonts w:hint="eastAsia" w:ascii="仿宋" w:hAnsi="仿宋" w:eastAsia="仿宋"/>
          <w:sz w:val="32"/>
          <w:szCs w:val="32"/>
        </w:rPr>
        <w:t>个，其中行政单位</w:t>
      </w:r>
      <w:r>
        <w:rPr>
          <w:rFonts w:hint="eastAsia" w:ascii="仿宋" w:hAnsi="仿宋" w:eastAsia="仿宋"/>
          <w:sz w:val="32"/>
          <w:szCs w:val="32"/>
          <w:lang w:val="en-US" w:eastAsia="zh-CN"/>
        </w:rPr>
        <w:t>4</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1</w:t>
      </w:r>
      <w:r>
        <w:rPr>
          <w:rFonts w:hint="eastAsia" w:ascii="仿宋" w:hAnsi="仿宋" w:eastAsia="仿宋"/>
          <w:sz w:val="32"/>
          <w:szCs w:val="32"/>
        </w:rPr>
        <w:t>个，其他事业单位</w:t>
      </w:r>
      <w:r>
        <w:rPr>
          <w:rFonts w:hint="eastAsia" w:ascii="仿宋" w:hAnsi="仿宋" w:eastAsia="仿宋"/>
          <w:sz w:val="32"/>
          <w:szCs w:val="32"/>
          <w:lang w:val="en-US" w:eastAsia="zh-CN"/>
        </w:rPr>
        <w:t>2</w:t>
      </w:r>
      <w:r>
        <w:rPr>
          <w:rFonts w:hint="eastAsia" w:ascii="仿宋" w:hAnsi="仿宋" w:eastAsia="仿宋"/>
          <w:sz w:val="32"/>
          <w:szCs w:val="32"/>
        </w:rPr>
        <w:t>个。</w:t>
      </w:r>
    </w:p>
    <w:p>
      <w:pPr>
        <w:pStyle w:val="2"/>
        <w:keepNext w:val="0"/>
        <w:keepLines w:val="0"/>
        <w:pageBreakBefore w:val="0"/>
        <w:widowControl w:val="0"/>
        <w:kinsoku/>
        <w:wordWrap/>
        <w:overflowPunct/>
        <w:topLinePunct w:val="0"/>
        <w:autoSpaceDE/>
        <w:autoSpaceDN/>
        <w:bidi w:val="0"/>
        <w:adjustRightInd w:val="0"/>
        <w:snapToGrid w:val="0"/>
        <w:spacing w:before="93" w:line="500" w:lineRule="exact"/>
        <w:ind w:firstLine="672" w:firstLineChars="210"/>
        <w:textAlignment w:val="auto"/>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sz w:val="32"/>
          <w:szCs w:val="32"/>
          <w:lang w:eastAsia="zh-CN"/>
        </w:rPr>
        <w:t>中共巴中市委办公室</w:t>
      </w:r>
      <w:r>
        <w:rPr>
          <w:rFonts w:hint="eastAsia" w:ascii="仿宋" w:hAnsi="仿宋" w:eastAsia="仿宋"/>
          <w:color w:val="000000"/>
          <w:sz w:val="32"/>
          <w:szCs w:val="32"/>
        </w:rPr>
        <w:t>2019年度部门决算编制范围的二级预算单位包括：</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93" w:line="500" w:lineRule="exact"/>
        <w:ind w:left="672" w:leftChars="0"/>
        <w:textAlignment w:val="auto"/>
        <w:outlineLvl w:val="2"/>
        <w:rPr>
          <w:rFonts w:ascii="仿宋" w:hAnsi="仿宋" w:eastAsia="仿宋"/>
          <w:color w:val="000000"/>
          <w:sz w:val="32"/>
          <w:szCs w:val="32"/>
        </w:rPr>
      </w:pPr>
      <w:bookmarkStart w:id="22" w:name="_Toc15378449"/>
      <w:bookmarkStart w:id="23" w:name="_Toc15377202"/>
      <w:bookmarkStart w:id="24" w:name="_Toc15377433"/>
      <w:bookmarkStart w:id="25" w:name="_Toc15306276"/>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中共巴中市委办公室机关</w:t>
      </w:r>
      <w:bookmarkEnd w:id="22"/>
      <w:bookmarkEnd w:id="23"/>
      <w:bookmarkEnd w:id="24"/>
      <w:bookmarkEnd w:id="25"/>
      <w:bookmarkStart w:id="26" w:name="_Toc15306277"/>
      <w:bookmarkStart w:id="27" w:name="_Toc15377203"/>
      <w:bookmarkStart w:id="28" w:name="_Toc15377434"/>
      <w:bookmarkStart w:id="29" w:name="_Toc15378450"/>
      <w:r>
        <w:rPr>
          <w:rFonts w:hint="eastAsia" w:ascii="仿宋" w:hAnsi="仿宋" w:eastAsia="仿宋"/>
          <w:color w:val="000000"/>
          <w:sz w:val="32"/>
          <w:szCs w:val="32"/>
          <w:lang w:eastAsia="zh-CN"/>
        </w:rPr>
        <w:t>（本级）</w:t>
      </w:r>
    </w:p>
    <w:bookmarkEnd w:id="26"/>
    <w:bookmarkEnd w:id="27"/>
    <w:bookmarkEnd w:id="28"/>
    <w:bookmarkEnd w:id="29"/>
    <w:p>
      <w:pPr>
        <w:pStyle w:val="2"/>
        <w:keepNext w:val="0"/>
        <w:keepLines w:val="0"/>
        <w:pageBreakBefore w:val="0"/>
        <w:widowControl w:val="0"/>
        <w:kinsoku/>
        <w:wordWrap/>
        <w:overflowPunct/>
        <w:topLinePunct w:val="0"/>
        <w:autoSpaceDE/>
        <w:autoSpaceDN/>
        <w:bidi w:val="0"/>
        <w:adjustRightInd w:val="0"/>
        <w:snapToGrid w:val="0"/>
        <w:spacing w:before="93" w:line="5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lang w:eastAsia="zh-CN"/>
        </w:rPr>
        <w:t>中共巴中市委常委办公室</w:t>
      </w:r>
    </w:p>
    <w:p>
      <w:pPr>
        <w:pStyle w:val="2"/>
        <w:keepNext w:val="0"/>
        <w:keepLines w:val="0"/>
        <w:pageBreakBefore w:val="0"/>
        <w:widowControl w:val="0"/>
        <w:kinsoku/>
        <w:wordWrap/>
        <w:overflowPunct/>
        <w:topLinePunct w:val="0"/>
        <w:autoSpaceDE/>
        <w:autoSpaceDN/>
        <w:bidi w:val="0"/>
        <w:adjustRightInd w:val="0"/>
        <w:snapToGrid w:val="0"/>
        <w:spacing w:before="93" w:line="5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lang w:eastAsia="zh-CN"/>
        </w:rPr>
        <w:t>中共巴中市委综合室</w:t>
      </w:r>
    </w:p>
    <w:p>
      <w:pPr>
        <w:pStyle w:val="2"/>
        <w:keepNext w:val="0"/>
        <w:keepLines w:val="0"/>
        <w:pageBreakBefore w:val="0"/>
        <w:widowControl w:val="0"/>
        <w:kinsoku/>
        <w:wordWrap/>
        <w:overflowPunct/>
        <w:topLinePunct w:val="0"/>
        <w:autoSpaceDE/>
        <w:autoSpaceDN/>
        <w:bidi w:val="0"/>
        <w:adjustRightInd w:val="0"/>
        <w:snapToGrid w:val="0"/>
        <w:spacing w:before="93" w:line="5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lang w:eastAsia="zh-CN"/>
        </w:rPr>
        <w:t>中共巴中市委信息室</w:t>
      </w:r>
    </w:p>
    <w:p>
      <w:pPr>
        <w:pStyle w:val="2"/>
        <w:keepNext w:val="0"/>
        <w:keepLines w:val="0"/>
        <w:pageBreakBefore w:val="0"/>
        <w:widowControl w:val="0"/>
        <w:kinsoku/>
        <w:wordWrap/>
        <w:overflowPunct/>
        <w:topLinePunct w:val="0"/>
        <w:autoSpaceDE/>
        <w:autoSpaceDN/>
        <w:bidi w:val="0"/>
        <w:adjustRightInd w:val="0"/>
        <w:snapToGrid w:val="0"/>
        <w:spacing w:before="93" w:line="5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lang w:eastAsia="zh-CN"/>
        </w:rPr>
        <w:t>巴中市机关保卫科</w:t>
      </w:r>
    </w:p>
    <w:p>
      <w:pPr>
        <w:pStyle w:val="2"/>
        <w:keepNext w:val="0"/>
        <w:keepLines w:val="0"/>
        <w:pageBreakBefore w:val="0"/>
        <w:widowControl w:val="0"/>
        <w:kinsoku/>
        <w:wordWrap/>
        <w:overflowPunct/>
        <w:topLinePunct w:val="0"/>
        <w:autoSpaceDE/>
        <w:autoSpaceDN/>
        <w:bidi w:val="0"/>
        <w:adjustRightInd w:val="0"/>
        <w:snapToGrid w:val="0"/>
        <w:spacing w:before="93" w:line="5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6、</w:t>
      </w:r>
      <w:r>
        <w:rPr>
          <w:rFonts w:hint="eastAsia" w:ascii="仿宋" w:hAnsi="仿宋" w:eastAsia="仿宋"/>
          <w:color w:val="000000"/>
          <w:sz w:val="32"/>
          <w:szCs w:val="32"/>
          <w:lang w:eastAsia="zh-CN"/>
        </w:rPr>
        <w:t>中共巴中市委党政网管理中心</w:t>
      </w:r>
    </w:p>
    <w:p>
      <w:pPr>
        <w:pStyle w:val="2"/>
        <w:keepNext w:val="0"/>
        <w:keepLines w:val="0"/>
        <w:pageBreakBefore w:val="0"/>
        <w:widowControl w:val="0"/>
        <w:kinsoku/>
        <w:wordWrap/>
        <w:overflowPunct/>
        <w:topLinePunct w:val="0"/>
        <w:autoSpaceDE/>
        <w:autoSpaceDN/>
        <w:bidi w:val="0"/>
        <w:adjustRightInd w:val="0"/>
        <w:snapToGrid w:val="0"/>
        <w:spacing w:before="93" w:line="500" w:lineRule="exact"/>
        <w:ind w:firstLine="640" w:firstLineChars="200"/>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本年度下属其他事业单位暂未单独预算。</w:t>
      </w:r>
    </w:p>
    <w:p>
      <w:pPr>
        <w:pageBreakBefore w:val="0"/>
        <w:widowControl/>
        <w:kinsoku/>
        <w:wordWrap/>
        <w:overflowPunct/>
        <w:topLinePunct w:val="0"/>
        <w:autoSpaceDE/>
        <w:autoSpaceDN/>
        <w:bidi w:val="0"/>
        <w:spacing w:line="520" w:lineRule="exact"/>
        <w:jc w:val="left"/>
        <w:textAlignment w:val="auto"/>
        <w:rPr>
          <w:rFonts w:ascii="仿宋" w:hAnsi="仿宋" w:eastAsia="仿宋"/>
          <w:color w:val="000000"/>
          <w:kern w:val="0"/>
          <w:sz w:val="32"/>
          <w:szCs w:val="32"/>
        </w:rPr>
      </w:pPr>
      <w:r>
        <w:rPr>
          <w:rFonts w:hint="eastAsia" w:ascii="仿宋" w:hAnsi="仿宋" w:eastAsia="仿宋"/>
          <w:color w:val="000000"/>
          <w:sz w:val="32"/>
          <w:szCs w:val="32"/>
          <w:lang w:val="en-US" w:eastAsia="zh-CN"/>
        </w:rPr>
        <w:t xml:space="preserve">  </w:t>
      </w:r>
      <w:r>
        <w:rPr>
          <w:rFonts w:ascii="仿宋" w:hAnsi="仿宋" w:eastAsia="仿宋"/>
          <w:color w:val="000000"/>
          <w:sz w:val="32"/>
          <w:szCs w:val="32"/>
        </w:rPr>
        <w:br w:type="page"/>
      </w:r>
    </w:p>
    <w:p>
      <w:pPr>
        <w:pStyle w:val="3"/>
        <w:ind w:right="440"/>
        <w:jc w:val="center"/>
        <w:rPr>
          <w:rStyle w:val="21"/>
          <w:rFonts w:ascii="黑体" w:hAnsi="黑体" w:eastAsia="黑体"/>
          <w:b w:val="0"/>
          <w:bCs w:val="0"/>
        </w:rPr>
      </w:pPr>
      <w:bookmarkStart w:id="30" w:name="_Toc15396602"/>
      <w:bookmarkStart w:id="31"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1"/>
          <w:rFonts w:hint="eastAsia" w:ascii="黑体" w:hAnsi="黑体" w:eastAsia="黑体"/>
          <w:b w:val="0"/>
          <w:bCs w:val="0"/>
        </w:rPr>
        <w:t>2019年度部门决算情况说明</w:t>
      </w:r>
      <w:bookmarkEnd w:id="30"/>
      <w:bookmarkEnd w:id="31"/>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textAlignment w:val="auto"/>
        <w:outlineLvl w:val="1"/>
        <w:rPr>
          <w:rStyle w:val="22"/>
          <w:rFonts w:ascii="黑体" w:hAnsi="黑体" w:eastAsia="黑体"/>
          <w:b w:val="0"/>
        </w:rPr>
      </w:pPr>
      <w:r>
        <w:rPr>
          <w:rFonts w:hint="eastAsia" w:ascii="黑体" w:hAnsi="黑体" w:eastAsia="黑体"/>
          <w:color w:val="000000" w:themeColor="text1"/>
          <w:sz w:val="32"/>
          <w:szCs w:val="32"/>
          <w:lang w:eastAsia="zh-CN"/>
        </w:rPr>
        <w:t>一</w:t>
      </w:r>
      <w:r>
        <w:rPr>
          <w:rFonts w:hint="eastAsia" w:ascii="黑体" w:hAnsi="黑体" w:eastAsia="黑体"/>
          <w:color w:val="000000" w:themeColor="text1"/>
          <w:sz w:val="32"/>
          <w:szCs w:val="32"/>
        </w:rPr>
        <w:t>、</w:t>
      </w:r>
      <w:bookmarkStart w:id="32" w:name="_Toc15377205"/>
      <w:bookmarkStart w:id="33" w:name="_Toc15396603"/>
      <w:r>
        <w:rPr>
          <w:rFonts w:hint="eastAsia" w:ascii="黑体" w:hAnsi="黑体" w:eastAsia="黑体"/>
          <w:color w:val="000000"/>
          <w:sz w:val="32"/>
          <w:szCs w:val="32"/>
        </w:rPr>
        <w:t>收</w:t>
      </w:r>
      <w:r>
        <w:rPr>
          <w:rStyle w:val="22"/>
          <w:rFonts w:hint="eastAsia" w:ascii="黑体" w:hAnsi="黑体" w:eastAsia="黑体"/>
          <w:b w:val="0"/>
        </w:rPr>
        <w:t>入支出决算总体情况说明</w:t>
      </w:r>
      <w:bookmarkEnd w:id="32"/>
      <w:bookmarkEnd w:id="33"/>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bCs/>
          <w:color w:val="000000" w:themeColor="text1"/>
          <w:sz w:val="32"/>
          <w:szCs w:val="32"/>
        </w:rPr>
      </w:pPr>
      <w:r>
        <w:rPr>
          <w:rFonts w:hint="eastAsia" w:ascii="华文仿宋" w:hAnsi="华文仿宋" w:eastAsia="华文仿宋"/>
          <w:bCs/>
          <w:color w:val="000000" w:themeColor="text1"/>
          <w:sz w:val="32"/>
          <w:szCs w:val="32"/>
          <w:lang w:eastAsia="zh-CN"/>
        </w:rPr>
        <w:t>中共巴中市委办公室</w:t>
      </w:r>
      <w:r>
        <w:rPr>
          <w:rFonts w:hint="eastAsia" w:ascii="华文仿宋" w:hAnsi="华文仿宋" w:eastAsia="华文仿宋"/>
          <w:bCs/>
          <w:color w:val="000000" w:themeColor="text1"/>
          <w:sz w:val="32"/>
          <w:szCs w:val="32"/>
        </w:rPr>
        <w:t>2019年度收支总决算3690.76万元。与2018年相比，财政拨款收入增加763.71万元，增长26.09%；支出增加420.45万元， 增加15.64%；决算总计增加763.71万元，增长26.09%。主要原因为追加相关资金，保障正常运转。</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eastAsia="zh-CN"/>
        </w:rPr>
      </w:pPr>
      <w:r>
        <w:rPr>
          <w:rFonts w:hint="eastAsia" w:ascii="黑体" w:hAnsi="黑体" w:eastAsia="黑体" w:cs="黑体"/>
          <w:b w:val="0"/>
          <w:bCs w:val="0"/>
          <w:color w:val="000000" w:themeColor="text1"/>
          <w:sz w:val="32"/>
          <w:szCs w:val="32"/>
        </w:rPr>
        <w:drawing>
          <wp:anchor distT="0" distB="0" distL="114300" distR="114300" simplePos="0" relativeHeight="251659264" behindDoc="0" locked="0" layoutInCell="1" allowOverlap="1">
            <wp:simplePos x="0" y="0"/>
            <wp:positionH relativeFrom="column">
              <wp:posOffset>1090930</wp:posOffset>
            </wp:positionH>
            <wp:positionV relativeFrom="paragraph">
              <wp:posOffset>269240</wp:posOffset>
            </wp:positionV>
            <wp:extent cx="3803650" cy="2526665"/>
            <wp:effectExtent l="4445" t="4445" r="20955" b="21590"/>
            <wp:wrapTopAndBottom/>
            <wp:docPr id="26" name="对象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eastAsia="zh-CN"/>
        </w:rPr>
      </w:pPr>
      <w:r>
        <w:rPr>
          <w:rFonts w:hint="eastAsia" w:ascii="华文楷体" w:hAnsi="华文楷体" w:eastAsia="华文楷体" w:cs="华文楷体"/>
          <w:color w:val="000000" w:themeColor="text1"/>
          <w:sz w:val="22"/>
          <w:szCs w:val="22"/>
        </w:rPr>
        <w:t>（图1：收、支决算总计变动情况图）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sz w:val="32"/>
          <w:szCs w:val="32"/>
          <w:lang w:eastAsia="zh-CN"/>
        </w:rPr>
      </w:pPr>
      <w:r>
        <w:rPr>
          <w:rFonts w:hint="eastAsia" w:ascii="黑体" w:hAnsi="黑体" w:eastAsia="黑体" w:cs="黑体"/>
          <w:b w:val="0"/>
          <w:bCs w:val="0"/>
          <w:color w:val="000000" w:themeColor="text1"/>
          <w:sz w:val="32"/>
          <w:szCs w:val="32"/>
          <w:lang w:eastAsia="zh-CN"/>
        </w:rPr>
        <w:t>二、</w:t>
      </w:r>
      <w:r>
        <w:rPr>
          <w:rFonts w:hint="eastAsia" w:ascii="黑体" w:hAnsi="黑体" w:eastAsia="黑体" w:cs="黑体"/>
          <w:b w:val="0"/>
          <w:bCs w:val="0"/>
          <w:color w:val="000000" w:themeColor="text1"/>
          <w:sz w:val="32"/>
          <w:szCs w:val="32"/>
        </w:rPr>
        <w:t>收入</w:t>
      </w:r>
      <w:r>
        <w:rPr>
          <w:rFonts w:hint="eastAsia" w:ascii="黑体" w:hAnsi="黑体" w:eastAsia="黑体" w:cs="黑体"/>
          <w:b w:val="0"/>
          <w:bCs w:val="0"/>
          <w:color w:val="000000" w:themeColor="text1"/>
          <w:sz w:val="32"/>
          <w:szCs w:val="32"/>
          <w:lang w:eastAsia="zh-CN"/>
        </w:rPr>
        <w:t>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bCs/>
          <w:color w:val="000000" w:themeColor="text1"/>
          <w:sz w:val="32"/>
          <w:szCs w:val="32"/>
        </w:rPr>
      </w:pPr>
      <w:r>
        <w:rPr>
          <w:rFonts w:hint="eastAsia" w:ascii="华文仿宋" w:hAnsi="华文仿宋" w:eastAsia="华文仿宋"/>
          <w:bCs/>
          <w:color w:val="000000" w:themeColor="text1"/>
          <w:sz w:val="32"/>
          <w:szCs w:val="32"/>
          <w:lang w:eastAsia="zh-CN"/>
        </w:rPr>
        <w:t>中共巴中市委办公室</w:t>
      </w:r>
      <w:r>
        <w:rPr>
          <w:rFonts w:hint="eastAsia" w:ascii="华文仿宋" w:hAnsi="华文仿宋" w:eastAsia="华文仿宋"/>
          <w:bCs/>
          <w:color w:val="000000" w:themeColor="text1"/>
          <w:sz w:val="32"/>
          <w:szCs w:val="32"/>
        </w:rPr>
        <w:t>2019年</w:t>
      </w:r>
      <w:r>
        <w:rPr>
          <w:rFonts w:hint="eastAsia" w:ascii="华文仿宋" w:hAnsi="华文仿宋" w:eastAsia="华文仿宋"/>
          <w:bCs/>
          <w:color w:val="000000" w:themeColor="text1"/>
          <w:sz w:val="32"/>
          <w:szCs w:val="32"/>
          <w:lang w:eastAsia="zh-CN"/>
        </w:rPr>
        <w:t>收入总计</w:t>
      </w:r>
      <w:r>
        <w:rPr>
          <w:rFonts w:hint="eastAsia" w:ascii="华文仿宋" w:hAnsi="华文仿宋" w:eastAsia="华文仿宋"/>
          <w:bCs/>
          <w:color w:val="000000" w:themeColor="text1"/>
          <w:sz w:val="32"/>
          <w:szCs w:val="32"/>
          <w:lang w:val="en-US" w:eastAsia="zh-CN"/>
        </w:rPr>
        <w:t>3690.76</w:t>
      </w:r>
      <w:r>
        <w:rPr>
          <w:rFonts w:hint="eastAsia" w:ascii="华文仿宋" w:hAnsi="华文仿宋" w:eastAsia="华文仿宋"/>
          <w:bCs/>
          <w:color w:val="000000" w:themeColor="text1"/>
          <w:sz w:val="32"/>
          <w:szCs w:val="32"/>
        </w:rPr>
        <w:t>万元，</w:t>
      </w:r>
      <w:r>
        <w:rPr>
          <w:rFonts w:hint="eastAsia" w:ascii="华文仿宋" w:hAnsi="华文仿宋" w:eastAsia="华文仿宋"/>
          <w:bCs/>
          <w:color w:val="000000" w:themeColor="text1"/>
          <w:sz w:val="32"/>
          <w:szCs w:val="32"/>
          <w:lang w:eastAsia="zh-CN"/>
        </w:rPr>
        <w:t>其中：</w:t>
      </w:r>
      <w:r>
        <w:rPr>
          <w:rFonts w:hint="eastAsia" w:ascii="华文仿宋" w:hAnsi="华文仿宋" w:eastAsia="华文仿宋"/>
          <w:bCs/>
          <w:color w:val="000000" w:themeColor="text1"/>
          <w:sz w:val="32"/>
          <w:szCs w:val="32"/>
        </w:rPr>
        <w:t>一般公共预算财政拨款</w:t>
      </w:r>
      <w:r>
        <w:rPr>
          <w:rFonts w:hint="eastAsia" w:ascii="华文仿宋" w:hAnsi="华文仿宋" w:eastAsia="华文仿宋"/>
          <w:bCs/>
          <w:color w:val="000000" w:themeColor="text1"/>
          <w:sz w:val="32"/>
          <w:szCs w:val="32"/>
          <w:lang w:eastAsia="zh-CN"/>
        </w:rPr>
        <w:t>收入</w:t>
      </w:r>
      <w:r>
        <w:rPr>
          <w:rFonts w:hint="eastAsia" w:ascii="华文仿宋" w:hAnsi="华文仿宋" w:eastAsia="华文仿宋"/>
          <w:bCs/>
          <w:color w:val="000000" w:themeColor="text1"/>
          <w:sz w:val="32"/>
          <w:szCs w:val="32"/>
          <w:lang w:val="en-US" w:eastAsia="zh-CN"/>
        </w:rPr>
        <w:t>2333.77</w:t>
      </w:r>
      <w:r>
        <w:rPr>
          <w:rFonts w:hint="eastAsia" w:ascii="华文仿宋" w:hAnsi="华文仿宋" w:eastAsia="华文仿宋"/>
          <w:bCs/>
          <w:color w:val="000000" w:themeColor="text1"/>
          <w:sz w:val="32"/>
          <w:szCs w:val="32"/>
        </w:rPr>
        <w:t>万元，占</w:t>
      </w:r>
      <w:r>
        <w:rPr>
          <w:rFonts w:hint="eastAsia" w:ascii="华文仿宋" w:hAnsi="华文仿宋" w:eastAsia="华文仿宋"/>
          <w:bCs/>
          <w:color w:val="000000" w:themeColor="text1"/>
          <w:sz w:val="32"/>
          <w:szCs w:val="32"/>
          <w:lang w:val="en-US" w:eastAsia="zh-CN"/>
        </w:rPr>
        <w:t>63.23</w:t>
      </w:r>
      <w:r>
        <w:rPr>
          <w:rFonts w:hint="eastAsia" w:ascii="华文仿宋" w:hAnsi="华文仿宋" w:eastAsia="华文仿宋"/>
          <w:bCs/>
          <w:color w:val="000000" w:themeColor="text1"/>
          <w:sz w:val="32"/>
          <w:szCs w:val="32"/>
        </w:rPr>
        <w:t>%</w:t>
      </w:r>
      <w:r>
        <w:rPr>
          <w:rFonts w:hint="eastAsia" w:ascii="华文仿宋" w:hAnsi="华文仿宋" w:eastAsia="华文仿宋"/>
          <w:bCs/>
          <w:color w:val="000000" w:themeColor="text1"/>
          <w:sz w:val="32"/>
          <w:szCs w:val="32"/>
          <w:lang w:eastAsia="zh-CN"/>
        </w:rPr>
        <w:t>；年初结转结余费用</w:t>
      </w:r>
      <w:r>
        <w:rPr>
          <w:rFonts w:hint="eastAsia" w:ascii="华文仿宋" w:hAnsi="华文仿宋" w:eastAsia="华文仿宋"/>
          <w:bCs/>
          <w:color w:val="000000" w:themeColor="text1"/>
          <w:sz w:val="32"/>
          <w:szCs w:val="32"/>
          <w:lang w:val="en-US" w:eastAsia="zh-CN"/>
        </w:rPr>
        <w:t>1356.99万元，占36.77%</w:t>
      </w:r>
      <w:r>
        <w:rPr>
          <w:rFonts w:hint="eastAsia" w:ascii="华文仿宋" w:hAnsi="华文仿宋" w:eastAsia="华文仿宋"/>
          <w:bCs/>
          <w:color w:val="000000" w:themeColor="text1"/>
          <w:sz w:val="32"/>
          <w:szCs w:val="32"/>
        </w:rPr>
        <w:t>。</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华文仿宋" w:hAnsi="华文仿宋" w:eastAsia="华文仿宋"/>
          <w:bCs/>
          <w:color w:val="0000FF"/>
          <w:sz w:val="32"/>
          <w:szCs w:val="32"/>
        </w:rPr>
      </w:pPr>
      <w:r>
        <w:rPr>
          <w:rFonts w:hint="eastAsia" w:ascii="华文仿宋" w:hAnsi="华文仿宋" w:eastAsia="华文仿宋"/>
          <w:bCs/>
          <w:color w:val="0000FF"/>
          <w:sz w:val="32"/>
          <w:szCs w:val="32"/>
          <w:lang w:val="en-US" w:eastAsia="zh-CN"/>
        </w:rPr>
        <w:t xml:space="preserve">  </w:t>
      </w:r>
      <w:r>
        <w:rPr>
          <w:rFonts w:hint="eastAsia" w:ascii="黑体" w:hAnsi="黑体" w:eastAsia="黑体" w:cs="黑体"/>
          <w:b w:val="0"/>
          <w:bCs w:val="0"/>
          <w:color w:val="000000" w:themeColor="text1"/>
          <w:kern w:val="2"/>
          <w:sz w:val="32"/>
          <w:szCs w:val="32"/>
          <w:lang w:val="en-US" w:eastAsia="zh-CN" w:bidi="ar-SA"/>
        </w:rPr>
        <w:t xml:space="preserve">  三、支出决算情况说明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eastAsia="华文仿宋"/>
          <w:color w:val="0000FF"/>
          <w:sz w:val="32"/>
          <w:szCs w:val="32"/>
        </w:rPr>
      </w:pPr>
      <w:r>
        <w:rPr>
          <w:rFonts w:hint="eastAsia" w:ascii="华文仿宋" w:hAnsi="华文仿宋" w:eastAsia="华文仿宋"/>
          <w:bCs/>
          <w:color w:val="000000" w:themeColor="text1"/>
          <w:sz w:val="32"/>
          <w:szCs w:val="32"/>
          <w:lang w:eastAsia="zh-CN"/>
        </w:rPr>
        <w:t>中共巴中市委办公室</w:t>
      </w:r>
      <w:r>
        <w:rPr>
          <w:rFonts w:hint="eastAsia" w:ascii="华文仿宋" w:hAnsi="华文仿宋" w:eastAsia="华文仿宋"/>
          <w:bCs/>
          <w:color w:val="000000" w:themeColor="text1"/>
          <w:sz w:val="32"/>
          <w:szCs w:val="32"/>
        </w:rPr>
        <w:t>2019年支出3107.06万元，主要用于以下方面:一般公共服务支出2881.73万元，占92.75%；教育支出3.71万元，占0.12%；社会保障和就业支出97.62万元，占3.15%；医疗卫生支出56.24万元，占1.81%；住房保障支出67.77万元，占2.18%。</w:t>
      </w:r>
    </w:p>
    <w:p>
      <w:pPr>
        <w:pStyle w:val="2"/>
        <w:spacing w:before="93"/>
        <w:jc w:val="center"/>
        <w:rPr>
          <w:rFonts w:ascii="黑体" w:eastAsia="黑体"/>
          <w:color w:val="0000FF"/>
          <w:sz w:val="32"/>
          <w:szCs w:val="32"/>
        </w:rPr>
      </w:pPr>
      <w:r>
        <w:rPr>
          <w:rFonts w:hAnsi="仿宋"/>
          <w:color w:val="0000FF"/>
          <w:sz w:val="32"/>
          <w:szCs w:val="32"/>
        </w:rPr>
        <w:drawing>
          <wp:inline distT="0" distB="0" distL="0" distR="0">
            <wp:extent cx="5343525" cy="2762250"/>
            <wp:effectExtent l="0" t="0" r="0" b="0"/>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480" w:lineRule="exact"/>
        <w:jc w:val="center"/>
        <w:rPr>
          <w:rFonts w:ascii="仿宋_GB2312" w:hAnsi="仿宋" w:eastAsia="仿宋_GB2312"/>
          <w:color w:val="000000" w:themeColor="text1"/>
          <w:sz w:val="24"/>
        </w:rPr>
      </w:pPr>
      <w:r>
        <w:rPr>
          <w:rFonts w:hint="eastAsia" w:ascii="仿宋_GB2312" w:hAnsi="仿宋" w:eastAsia="仿宋_GB2312"/>
          <w:color w:val="000000" w:themeColor="text1"/>
          <w:sz w:val="24"/>
        </w:rPr>
        <w:t>（2019年支出情况饼状图）</w:t>
      </w:r>
    </w:p>
    <w:p>
      <w:pPr>
        <w:snapToGrid w:val="0"/>
        <w:spacing w:line="480" w:lineRule="exact"/>
        <w:ind w:firstLine="643" w:firstLineChars="200"/>
        <w:rPr>
          <w:rFonts w:ascii="仿宋_GB2312" w:hAnsi="仿宋" w:eastAsia="仿宋_GB2312"/>
          <w:b/>
          <w:color w:val="0000FF"/>
          <w:sz w:val="32"/>
          <w:szCs w:val="32"/>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textAlignment w:val="auto"/>
        <w:outlineLvl w:val="1"/>
        <w:rPr>
          <w:rStyle w:val="22"/>
          <w:rFonts w:ascii="黑体" w:hAnsi="黑体" w:eastAsia="黑体"/>
          <w:b w:val="0"/>
        </w:rPr>
      </w:pPr>
      <w:r>
        <w:rPr>
          <w:rFonts w:hint="eastAsia" w:ascii="黑体" w:hAnsi="黑体" w:eastAsia="黑体"/>
          <w:color w:val="000000" w:themeColor="text1"/>
          <w:sz w:val="32"/>
          <w:szCs w:val="32"/>
          <w:lang w:eastAsia="zh-CN"/>
        </w:rPr>
        <w:t>四</w:t>
      </w:r>
      <w:r>
        <w:rPr>
          <w:rFonts w:hint="eastAsia" w:ascii="黑体" w:hAnsi="黑体" w:eastAsia="黑体"/>
          <w:color w:val="000000" w:themeColor="text1"/>
          <w:sz w:val="32"/>
          <w:szCs w:val="32"/>
        </w:rPr>
        <w:t>、</w:t>
      </w:r>
      <w:r>
        <w:rPr>
          <w:rFonts w:hint="eastAsia" w:ascii="黑体" w:hAnsi="黑体" w:eastAsia="黑体"/>
          <w:color w:val="000000" w:themeColor="text1"/>
          <w:sz w:val="32"/>
          <w:szCs w:val="32"/>
          <w:lang w:eastAsia="zh-CN"/>
        </w:rPr>
        <w:t>财政拨款</w:t>
      </w:r>
      <w:r>
        <w:rPr>
          <w:rFonts w:hint="eastAsia" w:ascii="黑体" w:hAnsi="黑体" w:eastAsia="黑体"/>
          <w:color w:val="000000"/>
          <w:sz w:val="32"/>
          <w:szCs w:val="32"/>
        </w:rPr>
        <w:t>收</w:t>
      </w:r>
      <w:r>
        <w:rPr>
          <w:rStyle w:val="22"/>
          <w:rFonts w:hint="eastAsia" w:ascii="黑体" w:hAnsi="黑体" w:eastAsia="黑体"/>
          <w:b w:val="0"/>
        </w:rPr>
        <w:t>入支出决算总体情况说明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华文仿宋" w:hAnsi="华文仿宋" w:eastAsia="华文仿宋"/>
          <w:bCs/>
          <w:color w:val="000000" w:themeColor="text1"/>
          <w:sz w:val="32"/>
          <w:szCs w:val="32"/>
        </w:rPr>
      </w:pPr>
      <w:r>
        <w:rPr>
          <w:rFonts w:hint="eastAsia" w:ascii="华文仿宋" w:hAnsi="华文仿宋" w:eastAsia="华文仿宋"/>
          <w:bCs/>
          <w:color w:val="000000" w:themeColor="text1"/>
          <w:sz w:val="32"/>
          <w:szCs w:val="32"/>
          <w:lang w:eastAsia="zh-CN"/>
        </w:rPr>
        <w:t>中共巴中市委办公室</w:t>
      </w:r>
      <w:r>
        <w:rPr>
          <w:rFonts w:hint="eastAsia" w:ascii="华文仿宋" w:hAnsi="华文仿宋" w:eastAsia="华文仿宋"/>
          <w:bCs/>
          <w:color w:val="000000" w:themeColor="text1"/>
          <w:sz w:val="32"/>
          <w:szCs w:val="32"/>
        </w:rPr>
        <w:t>2019年度财政拨款收支总决算3690.76万元。与2018年相比，财政拨款收入增加763.71万元，增长26.09%；支出增加420.45万元， 增</w:t>
      </w:r>
      <w:r>
        <w:rPr>
          <w:rFonts w:hint="eastAsia" w:ascii="华文仿宋" w:hAnsi="华文仿宋" w:eastAsia="华文仿宋"/>
          <w:bCs/>
          <w:color w:val="000000" w:themeColor="text1"/>
          <w:sz w:val="32"/>
          <w:szCs w:val="32"/>
          <w:lang w:eastAsia="zh-CN"/>
        </w:rPr>
        <w:t>长</w:t>
      </w:r>
      <w:r>
        <w:rPr>
          <w:rFonts w:hint="eastAsia" w:ascii="华文仿宋" w:hAnsi="华文仿宋" w:eastAsia="华文仿宋"/>
          <w:bCs/>
          <w:color w:val="000000" w:themeColor="text1"/>
          <w:sz w:val="32"/>
          <w:szCs w:val="32"/>
        </w:rPr>
        <w:t>15.64%；决算总计增加763.71万元，增长26.09%。主要原因为追加相关资金，保障正常运转。</w:t>
      </w:r>
    </w:p>
    <w:p>
      <w:pPr>
        <w:pStyle w:val="2"/>
        <w:rPr>
          <w:rFonts w:hint="eastAsia"/>
        </w:rPr>
      </w:pPr>
    </w:p>
    <w:p>
      <w:pPr>
        <w:pStyle w:val="2"/>
        <w:jc w:val="center"/>
        <w:rPr>
          <w:rFonts w:hint="eastAsia" w:ascii="华文仿宋" w:hAnsi="华文仿宋" w:eastAsia="华文仿宋"/>
          <w:bCs/>
          <w:color w:val="000000" w:themeColor="text1"/>
          <w:sz w:val="32"/>
          <w:szCs w:val="32"/>
        </w:rPr>
      </w:pPr>
      <w:r>
        <w:rPr>
          <w:rFonts w:hint="eastAsia" w:ascii="华文仿宋" w:hAnsi="华文仿宋" w:eastAsia="华文仿宋"/>
          <w:bCs/>
          <w:color w:val="000000" w:themeColor="text1"/>
          <w:sz w:val="32"/>
          <w:szCs w:val="32"/>
          <w:lang w:eastAsia="zh-CN"/>
        </w:rPr>
        <w:drawing>
          <wp:inline distT="0" distB="0" distL="114300" distR="114300">
            <wp:extent cx="4051300" cy="2486660"/>
            <wp:effectExtent l="4445" t="4445" r="20955" b="234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eastAsia="zh-CN"/>
        </w:rPr>
      </w:pPr>
      <w:r>
        <w:rPr>
          <w:rFonts w:hint="eastAsia" w:ascii="华文楷体" w:hAnsi="华文楷体" w:eastAsia="华文楷体" w:cs="华文楷体"/>
          <w:color w:val="000000" w:themeColor="text1"/>
          <w:sz w:val="22"/>
          <w:szCs w:val="22"/>
        </w:rPr>
        <w:t>（图</w:t>
      </w:r>
      <w:r>
        <w:rPr>
          <w:rFonts w:hint="eastAsia" w:ascii="华文楷体" w:hAnsi="华文楷体" w:eastAsia="华文楷体" w:cs="华文楷体"/>
          <w:color w:val="000000" w:themeColor="text1"/>
          <w:sz w:val="22"/>
          <w:szCs w:val="22"/>
          <w:lang w:val="en-US" w:eastAsia="zh-CN"/>
        </w:rPr>
        <w:t>3</w:t>
      </w:r>
      <w:r>
        <w:rPr>
          <w:rFonts w:hint="eastAsia" w:ascii="华文楷体" w:hAnsi="华文楷体" w:eastAsia="华文楷体" w:cs="华文楷体"/>
          <w:color w:val="000000" w:themeColor="text1"/>
          <w:sz w:val="22"/>
          <w:szCs w:val="22"/>
        </w:rPr>
        <w:t>：</w:t>
      </w:r>
      <w:r>
        <w:rPr>
          <w:rFonts w:hint="eastAsia" w:ascii="华文楷体" w:hAnsi="华文楷体" w:eastAsia="华文楷体" w:cs="华文楷体"/>
          <w:color w:val="000000" w:themeColor="text1"/>
          <w:sz w:val="22"/>
          <w:szCs w:val="22"/>
          <w:lang w:eastAsia="zh-CN"/>
        </w:rPr>
        <w:t>财政拨款</w:t>
      </w:r>
      <w:r>
        <w:rPr>
          <w:rFonts w:hint="eastAsia" w:ascii="华文楷体" w:hAnsi="华文楷体" w:eastAsia="华文楷体" w:cs="华文楷体"/>
          <w:color w:val="000000" w:themeColor="text1"/>
          <w:sz w:val="22"/>
          <w:szCs w:val="22"/>
        </w:rPr>
        <w:t>收、支决算总计变动情况图）</w:t>
      </w:r>
    </w:p>
    <w:p>
      <w:pPr>
        <w:pStyle w:val="2"/>
        <w:rPr>
          <w:rFonts w:hint="eastAsia" w:ascii="华文仿宋" w:hAnsi="华文仿宋" w:eastAsia="华文仿宋"/>
          <w:bCs/>
          <w:color w:val="000000" w:themeColor="text1"/>
          <w:sz w:val="32"/>
          <w:szCs w:val="32"/>
        </w:rPr>
      </w:pP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1"/>
        <w:rPr>
          <w:rStyle w:val="22"/>
          <w:rFonts w:ascii="黑体" w:hAnsi="黑体" w:eastAsia="黑体"/>
          <w:b w:val="0"/>
        </w:rPr>
      </w:pPr>
      <w:bookmarkStart w:id="34" w:name="_Toc15396607"/>
      <w:bookmarkStart w:id="35"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2"/>
          <w:rFonts w:hint="eastAsia" w:ascii="黑体" w:hAnsi="黑体" w:eastAsia="黑体"/>
          <w:b w:val="0"/>
        </w:rPr>
        <w:t>般公共预算财政拨款支出决算情况说明</w:t>
      </w:r>
      <w:bookmarkEnd w:id="34"/>
      <w:bookmarkEnd w:id="35"/>
    </w:p>
    <w:p>
      <w:pPr>
        <w:keepNext w:val="0"/>
        <w:keepLines w:val="0"/>
        <w:pageBreakBefore w:val="0"/>
        <w:widowControl w:val="0"/>
        <w:kinsoku/>
        <w:wordWrap/>
        <w:overflowPunct/>
        <w:topLinePunct w:val="0"/>
        <w:autoSpaceDE/>
        <w:autoSpaceDN/>
        <w:bidi w:val="0"/>
        <w:adjustRightInd/>
        <w:spacing w:line="520" w:lineRule="exact"/>
        <w:ind w:firstLine="643" w:firstLineChars="200"/>
        <w:textAlignment w:val="auto"/>
        <w:outlineLvl w:val="2"/>
        <w:rPr>
          <w:rFonts w:hint="eastAsia" w:ascii="仿宋" w:hAnsi="仿宋" w:eastAsia="仿宋"/>
          <w:b/>
          <w:color w:val="000000"/>
          <w:sz w:val="32"/>
          <w:szCs w:val="32"/>
        </w:rPr>
      </w:pPr>
      <w:bookmarkStart w:id="36" w:name="_Toc15377210"/>
      <w:r>
        <w:rPr>
          <w:rFonts w:hint="eastAsia" w:ascii="仿宋" w:hAnsi="仿宋" w:eastAsia="仿宋"/>
          <w:b/>
          <w:color w:val="000000"/>
          <w:sz w:val="32"/>
          <w:szCs w:val="32"/>
        </w:rPr>
        <w:t>（一）一般公共预算财政拨款支出决算总体情况</w:t>
      </w:r>
      <w:bookmarkEnd w:id="36"/>
    </w:p>
    <w:p>
      <w:pPr>
        <w:pStyle w:val="2"/>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华文仿宋" w:hAnsi="华文仿宋" w:eastAsia="华文仿宋"/>
          <w:bCs/>
          <w:color w:val="000000" w:themeColor="text1"/>
          <w:sz w:val="32"/>
          <w:szCs w:val="32"/>
          <w:lang w:eastAsia="zh-CN"/>
        </w:rPr>
      </w:pPr>
      <w:r>
        <w:rPr>
          <w:rFonts w:hint="eastAsia" w:ascii="华文仿宋" w:hAnsi="华文仿宋" w:eastAsia="华文仿宋"/>
          <w:bCs/>
          <w:color w:val="000000" w:themeColor="text1"/>
          <w:sz w:val="32"/>
          <w:szCs w:val="32"/>
          <w:lang w:eastAsia="zh-CN"/>
        </w:rPr>
        <w:t>中共巴中市委办公室</w:t>
      </w:r>
      <w:r>
        <w:rPr>
          <w:rFonts w:hint="eastAsia" w:ascii="华文仿宋" w:hAnsi="华文仿宋" w:eastAsia="华文仿宋"/>
          <w:bCs/>
          <w:color w:val="000000" w:themeColor="text1"/>
          <w:sz w:val="32"/>
          <w:szCs w:val="32"/>
        </w:rPr>
        <w:t>2019年</w:t>
      </w:r>
      <w:r>
        <w:rPr>
          <w:rFonts w:hint="eastAsia" w:ascii="华文仿宋" w:hAnsi="华文仿宋" w:eastAsia="华文仿宋"/>
          <w:bCs/>
          <w:color w:val="000000" w:themeColor="text1"/>
          <w:sz w:val="32"/>
          <w:szCs w:val="32"/>
          <w:lang w:eastAsia="zh-CN"/>
        </w:rPr>
        <w:t>一般公共预算财政拨款支出3107.06万元，占支出合计的</w:t>
      </w:r>
      <w:r>
        <w:rPr>
          <w:rFonts w:hint="eastAsia" w:ascii="华文仿宋" w:hAnsi="华文仿宋" w:eastAsia="华文仿宋"/>
          <w:bCs/>
          <w:color w:val="000000" w:themeColor="text1"/>
          <w:sz w:val="32"/>
          <w:szCs w:val="32"/>
          <w:lang w:val="en-US" w:eastAsia="zh-CN"/>
        </w:rPr>
        <w:t>100%。与2018年</w:t>
      </w:r>
      <w:r>
        <w:rPr>
          <w:rFonts w:hint="eastAsia" w:ascii="华文仿宋" w:hAnsi="华文仿宋" w:eastAsia="华文仿宋"/>
          <w:bCs/>
          <w:color w:val="000000" w:themeColor="text1"/>
          <w:sz w:val="32"/>
          <w:szCs w:val="32"/>
          <w:lang w:eastAsia="zh-CN"/>
        </w:rPr>
        <w:t>支出相比，增加420.45万元，</w:t>
      </w:r>
      <w:r>
        <w:rPr>
          <w:rFonts w:hint="eastAsia" w:ascii="华文仿宋" w:hAnsi="华文仿宋" w:eastAsia="华文仿宋"/>
          <w:bCs/>
          <w:color w:val="000000" w:themeColor="text1"/>
          <w:sz w:val="32"/>
          <w:szCs w:val="32"/>
        </w:rPr>
        <w:t>增</w:t>
      </w:r>
      <w:r>
        <w:rPr>
          <w:rFonts w:hint="eastAsia" w:ascii="华文仿宋" w:hAnsi="华文仿宋" w:eastAsia="华文仿宋"/>
          <w:bCs/>
          <w:color w:val="000000" w:themeColor="text1"/>
          <w:sz w:val="32"/>
          <w:szCs w:val="32"/>
          <w:lang w:eastAsia="zh-CN"/>
        </w:rPr>
        <w:t>长</w:t>
      </w:r>
      <w:r>
        <w:rPr>
          <w:rFonts w:hint="eastAsia" w:ascii="华文仿宋" w:hAnsi="华文仿宋" w:eastAsia="华文仿宋"/>
          <w:bCs/>
          <w:color w:val="000000" w:themeColor="text1"/>
          <w:sz w:val="32"/>
          <w:szCs w:val="32"/>
        </w:rPr>
        <w:t>15.64%</w:t>
      </w:r>
      <w:r>
        <w:rPr>
          <w:rFonts w:hint="eastAsia" w:ascii="华文仿宋" w:hAnsi="华文仿宋" w:eastAsia="华文仿宋"/>
          <w:bCs/>
          <w:color w:val="000000" w:themeColor="text1"/>
          <w:sz w:val="32"/>
          <w:szCs w:val="32"/>
          <w:lang w:eastAsia="zh-CN"/>
        </w:rPr>
        <w:t>。主要原因是机构改革，合并相关单位，职能增加。</w:t>
      </w:r>
    </w:p>
    <w:p>
      <w:pPr>
        <w:pStyle w:val="2"/>
        <w:keepNext w:val="0"/>
        <w:keepLines w:val="0"/>
        <w:pageBreakBefore w:val="0"/>
        <w:widowControl w:val="0"/>
        <w:kinsoku/>
        <w:wordWrap/>
        <w:overflowPunct/>
        <w:topLinePunct w:val="0"/>
        <w:autoSpaceDE/>
        <w:autoSpaceDN/>
        <w:bidi w:val="0"/>
        <w:adjustRightInd/>
        <w:spacing w:line="520" w:lineRule="exact"/>
        <w:ind w:firstLine="643" w:firstLineChars="200"/>
        <w:jc w:val="left"/>
        <w:textAlignment w:val="auto"/>
        <w:rPr>
          <w:rFonts w:hint="eastAsia" w:ascii="仿宋" w:hAnsi="仿宋" w:eastAsia="仿宋"/>
          <w:b/>
          <w:color w:val="000000"/>
          <w:sz w:val="32"/>
          <w:szCs w:val="32"/>
        </w:rPr>
      </w:pPr>
      <w:bookmarkStart w:id="37" w:name="_Toc15377211"/>
      <w:r>
        <w:rPr>
          <w:rFonts w:hint="eastAsia" w:ascii="仿宋" w:hAnsi="仿宋" w:eastAsia="仿宋"/>
          <w:b/>
          <w:color w:val="000000"/>
          <w:sz w:val="32"/>
          <w:szCs w:val="32"/>
        </w:rPr>
        <w:t>（二）一般公共预算财政拨款支出决算结构情况</w:t>
      </w:r>
      <w:bookmarkEnd w:id="37"/>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黑体" w:eastAsia="华文仿宋"/>
          <w:color w:val="0000FF"/>
          <w:sz w:val="32"/>
          <w:szCs w:val="32"/>
        </w:rPr>
      </w:pPr>
      <w:r>
        <w:rPr>
          <w:rFonts w:hint="eastAsia" w:ascii="华文仿宋" w:hAnsi="华文仿宋" w:eastAsia="华文仿宋"/>
          <w:bCs/>
          <w:color w:val="000000" w:themeColor="text1"/>
          <w:sz w:val="32"/>
          <w:szCs w:val="32"/>
          <w:lang w:eastAsia="zh-CN"/>
        </w:rPr>
        <w:t>中共巴中市委办公室</w:t>
      </w:r>
      <w:r>
        <w:rPr>
          <w:rFonts w:hint="eastAsia" w:ascii="华文仿宋" w:hAnsi="华文仿宋" w:eastAsia="华文仿宋"/>
          <w:bCs/>
          <w:color w:val="000000" w:themeColor="text1"/>
          <w:sz w:val="32"/>
          <w:szCs w:val="32"/>
        </w:rPr>
        <w:t>2019年支出3107.06万元，主要用于以下方面:一般公共服务支出2881.73万元，占92.75%；教育支出3.71万元，占0.12%；社会保障和就业支出97.62万元，占3.15%；医疗卫生支出56.24万元，占1.81%；住房保障支出67.77万元，占2.18%。</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jc w:val="both"/>
        <w:textAlignment w:val="auto"/>
        <w:rPr>
          <w:rFonts w:hint="eastAsia" w:ascii="仿宋_GB2312" w:hAnsi="仿宋" w:eastAsia="仿宋_GB2312"/>
          <w:b/>
          <w:color w:val="0000FF"/>
          <w:sz w:val="32"/>
          <w:szCs w:val="32"/>
        </w:rPr>
      </w:pPr>
    </w:p>
    <w:p>
      <w:pPr>
        <w:pStyle w:val="2"/>
        <w:rPr>
          <w:rFonts w:hint="eastAsia" w:ascii="仿宋_GB2312" w:hAnsi="仿宋" w:eastAsia="仿宋_GB2312"/>
          <w:b/>
          <w:color w:val="0000FF"/>
          <w:sz w:val="32"/>
          <w:szCs w:val="32"/>
        </w:rPr>
      </w:pPr>
      <w:r>
        <w:rPr>
          <w:rFonts w:hAnsi="仿宋"/>
          <w:color w:val="0000FF"/>
          <w:sz w:val="32"/>
          <w:szCs w:val="32"/>
        </w:rPr>
        <w:drawing>
          <wp:inline distT="0" distB="0" distL="0" distR="0">
            <wp:extent cx="5343525" cy="2762250"/>
            <wp:effectExtent l="0" t="0" r="0" b="0"/>
            <wp:docPr id="3"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480" w:lineRule="exact"/>
        <w:jc w:val="center"/>
        <w:rPr>
          <w:rFonts w:hint="eastAsia" w:ascii="仿宋_GB2312" w:hAnsi="仿宋" w:eastAsia="仿宋_GB2312"/>
          <w:b/>
          <w:color w:val="0000FF"/>
          <w:sz w:val="32"/>
          <w:szCs w:val="32"/>
        </w:rPr>
      </w:pPr>
      <w:r>
        <w:rPr>
          <w:rFonts w:hint="eastAsia" w:ascii="仿宋_GB2312" w:hAnsi="仿宋" w:eastAsia="仿宋_GB2312"/>
          <w:color w:val="000000" w:themeColor="text1"/>
          <w:sz w:val="24"/>
        </w:rPr>
        <w:t>（2019年</w:t>
      </w:r>
      <w:r>
        <w:rPr>
          <w:rFonts w:hint="eastAsia" w:ascii="仿宋_GB2312" w:hAnsi="仿宋" w:eastAsia="仿宋_GB2312"/>
          <w:color w:val="000000" w:themeColor="text1"/>
          <w:sz w:val="24"/>
          <w:lang w:eastAsia="zh-CN"/>
        </w:rPr>
        <w:t>一般公共预算财政拨款</w:t>
      </w:r>
      <w:r>
        <w:rPr>
          <w:rFonts w:hint="eastAsia" w:ascii="仿宋_GB2312" w:hAnsi="仿宋" w:eastAsia="仿宋_GB2312"/>
          <w:color w:val="000000" w:themeColor="text1"/>
          <w:sz w:val="24"/>
        </w:rPr>
        <w:t>支出情况饼状图）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outlineLvl w:val="2"/>
        <w:rPr>
          <w:rFonts w:hint="eastAsia" w:ascii="仿宋" w:hAnsi="仿宋" w:eastAsia="仿宋"/>
          <w:b/>
          <w:color w:val="000000"/>
          <w:sz w:val="32"/>
          <w:szCs w:val="32"/>
        </w:rPr>
      </w:pPr>
      <w:bookmarkStart w:id="38" w:name="_Toc15377212"/>
      <w:r>
        <w:rPr>
          <w:rFonts w:hint="eastAsia" w:ascii="仿宋" w:hAnsi="仿宋" w:eastAsia="仿宋"/>
          <w:b/>
          <w:color w:val="000000"/>
          <w:sz w:val="32"/>
          <w:szCs w:val="32"/>
        </w:rPr>
        <w:t>一般公共预算财政拨款支出决算具体情况</w:t>
      </w:r>
      <w:bookmarkEnd w:id="38"/>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2"/>
        <w:rPr>
          <w:rFonts w:hint="eastAsia" w:ascii="仿宋" w:hAnsi="仿宋" w:eastAsia="仿宋" w:cs="Times New Roman"/>
          <w:b/>
          <w:color w:val="000000"/>
          <w:kern w:val="2"/>
          <w:sz w:val="32"/>
          <w:szCs w:val="32"/>
          <w:lang w:val="en-US" w:eastAsia="zh-CN" w:bidi="ar-SA"/>
        </w:rPr>
      </w:pPr>
      <w:bookmarkStart w:id="39" w:name="_Toc15377444"/>
      <w:bookmarkStart w:id="40" w:name="_Toc15377213"/>
      <w:bookmarkStart w:id="41" w:name="_Toc15378460"/>
      <w:r>
        <w:rPr>
          <w:rFonts w:hint="eastAsia" w:ascii="仿宋" w:hAnsi="仿宋" w:eastAsia="仿宋" w:cs="Times New Roman"/>
          <w:b/>
          <w:color w:val="000000"/>
          <w:kern w:val="2"/>
          <w:sz w:val="32"/>
          <w:szCs w:val="32"/>
          <w:lang w:val="en-US" w:eastAsia="zh-CN" w:bidi="ar-SA"/>
        </w:rPr>
        <w:t>2019年般公共预算支出决算数为3107.06万元，完成预84.18%。其中主要：</w:t>
      </w:r>
      <w:bookmarkEnd w:id="39"/>
      <w:bookmarkEnd w:id="40"/>
      <w:bookmarkEnd w:id="41"/>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b/>
          <w:color w:val="000000"/>
          <w:sz w:val="32"/>
          <w:szCs w:val="32"/>
          <w:lang w:val="en-US" w:eastAsia="zh-CN"/>
        </w:rPr>
      </w:pPr>
      <w:r>
        <w:rPr>
          <w:rStyle w:val="13"/>
          <w:rFonts w:hint="eastAsia" w:ascii="仿宋" w:hAnsi="仿宋" w:eastAsia="仿宋"/>
          <w:bCs/>
          <w:color w:val="000000"/>
          <w:sz w:val="32"/>
          <w:szCs w:val="32"/>
          <w:lang w:val="en-US" w:eastAsia="zh-CN"/>
        </w:rPr>
        <w:t>1.</w:t>
      </w:r>
      <w:r>
        <w:rPr>
          <w:rStyle w:val="13"/>
          <w:rFonts w:hint="eastAsia" w:ascii="仿宋" w:hAnsi="仿宋" w:eastAsia="仿宋"/>
          <w:bCs/>
          <w:color w:val="000000"/>
          <w:sz w:val="32"/>
          <w:szCs w:val="32"/>
        </w:rPr>
        <w:t>一般公共服务</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2881.73</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 xml:space="preserve">89.20 </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（含上年度结转资金）</w:t>
      </w:r>
      <w:r>
        <w:rPr>
          <w:rStyle w:val="13"/>
          <w:rFonts w:hint="eastAsia" w:ascii="仿宋" w:hAnsi="仿宋" w:eastAsia="仿宋"/>
          <w:b w:val="0"/>
          <w:bCs/>
          <w:color w:val="000000"/>
          <w:sz w:val="32"/>
          <w:szCs w:val="32"/>
        </w:rPr>
        <w:t>，决算数</w:t>
      </w:r>
      <w:r>
        <w:rPr>
          <w:rStyle w:val="13"/>
          <w:rFonts w:hint="eastAsia" w:ascii="仿宋" w:hAnsi="仿宋" w:eastAsia="仿宋"/>
          <w:b w:val="0"/>
          <w:bCs/>
          <w:color w:val="000000"/>
          <w:sz w:val="32"/>
          <w:szCs w:val="32"/>
          <w:lang w:eastAsia="zh-CN"/>
        </w:rPr>
        <w:t>小</w:t>
      </w:r>
      <w:r>
        <w:rPr>
          <w:rStyle w:val="13"/>
          <w:rFonts w:hint="eastAsia" w:ascii="仿宋" w:hAnsi="仿宋" w:eastAsia="仿宋"/>
          <w:b w:val="0"/>
          <w:bCs/>
          <w:color w:val="000000"/>
          <w:sz w:val="32"/>
          <w:szCs w:val="32"/>
        </w:rPr>
        <w:t>于预算数的主要原因是</w:t>
      </w:r>
      <w:r>
        <w:rPr>
          <w:rStyle w:val="13"/>
          <w:rFonts w:hint="eastAsia" w:ascii="仿宋" w:hAnsi="仿宋" w:eastAsia="仿宋"/>
          <w:b w:val="0"/>
          <w:bCs/>
          <w:color w:val="000000"/>
          <w:sz w:val="32"/>
          <w:szCs w:val="32"/>
          <w:lang w:eastAsia="zh-CN"/>
        </w:rPr>
        <w:t>部分项目资金需按照合同进度分年度支付；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2.</w:t>
      </w:r>
      <w:r>
        <w:rPr>
          <w:rStyle w:val="13"/>
          <w:rFonts w:hint="eastAsia" w:ascii="仿宋" w:hAnsi="仿宋" w:eastAsia="仿宋"/>
          <w:bCs/>
          <w:color w:val="000000"/>
          <w:sz w:val="32"/>
          <w:szCs w:val="32"/>
        </w:rPr>
        <w:t>教育（类）</w:t>
      </w:r>
      <w:r>
        <w:rPr>
          <w:rStyle w:val="13"/>
          <w:rFonts w:hint="eastAsia" w:ascii="仿宋" w:hAnsi="仿宋" w:eastAsia="仿宋"/>
          <w:bCs/>
          <w:color w:val="000000"/>
          <w:sz w:val="32"/>
          <w:szCs w:val="32"/>
          <w:lang w:eastAsia="zh-CN"/>
        </w:rPr>
        <w:t>进修及培训</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培训支出</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3.71</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74.2</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color w:val="000000"/>
          <w:sz w:val="32"/>
          <w:szCs w:val="32"/>
          <w:lang w:eastAsia="zh-CN"/>
        </w:rPr>
      </w:pPr>
      <w:r>
        <w:rPr>
          <w:rStyle w:val="13"/>
          <w:rFonts w:hint="eastAsia" w:ascii="仿宋" w:hAnsi="仿宋" w:eastAsia="仿宋"/>
          <w:bCs/>
          <w:color w:val="000000"/>
          <w:sz w:val="32"/>
          <w:szCs w:val="32"/>
          <w:lang w:val="en-US" w:eastAsia="zh-CN"/>
        </w:rPr>
        <w:t>3</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社会保障和就业（类）</w:t>
      </w:r>
      <w:r>
        <w:rPr>
          <w:rStyle w:val="13"/>
          <w:rFonts w:hint="eastAsia" w:ascii="仿宋" w:hAnsi="仿宋" w:eastAsia="仿宋"/>
          <w:bCs/>
          <w:color w:val="000000"/>
          <w:sz w:val="32"/>
          <w:szCs w:val="32"/>
          <w:lang w:eastAsia="zh-CN"/>
        </w:rPr>
        <w:t>行政事业单位离退休</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机关事业单位养老保险</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97.34</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，决算数等于预算数的主要原因是</w:t>
      </w:r>
      <w:r>
        <w:rPr>
          <w:rStyle w:val="13"/>
          <w:rFonts w:hint="eastAsia" w:ascii="仿宋" w:hAnsi="仿宋" w:eastAsia="仿宋"/>
          <w:b w:val="0"/>
          <w:bCs/>
          <w:color w:val="000000"/>
          <w:sz w:val="32"/>
          <w:szCs w:val="32"/>
          <w:lang w:eastAsia="zh-CN"/>
        </w:rPr>
        <w:t>合理预算、及时支付</w:t>
      </w:r>
      <w:r>
        <w:rPr>
          <w:rStyle w:val="13"/>
          <w:rFonts w:hint="eastAsia"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其他行政单位离退休支出（项）：</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2.7</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，决算数等于预算数的主要原因是</w:t>
      </w:r>
      <w:r>
        <w:rPr>
          <w:rStyle w:val="13"/>
          <w:rFonts w:hint="eastAsia" w:ascii="仿宋" w:hAnsi="仿宋" w:eastAsia="仿宋"/>
          <w:b w:val="0"/>
          <w:bCs/>
          <w:color w:val="000000"/>
          <w:sz w:val="32"/>
          <w:szCs w:val="32"/>
          <w:lang w:eastAsia="zh-CN"/>
        </w:rPr>
        <w:t>合理预算、及时支付</w:t>
      </w:r>
      <w:r>
        <w:rPr>
          <w:rStyle w:val="13"/>
          <w:rFonts w:hint="eastAsia" w:ascii="仿宋" w:hAnsi="仿宋" w:eastAsia="仿宋"/>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4</w:t>
      </w:r>
      <w:r>
        <w:rPr>
          <w:rStyle w:val="13"/>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eastAsia="zh-CN"/>
        </w:rPr>
        <w:t>行政事业单位医疗</w:t>
      </w:r>
      <w:r>
        <w:rPr>
          <w:rStyle w:val="13"/>
          <w:rFonts w:hint="eastAsia" w:ascii="仿宋" w:hAnsi="仿宋" w:eastAsia="仿宋"/>
          <w:bCs/>
          <w:color w:val="000000"/>
          <w:sz w:val="32"/>
          <w:szCs w:val="32"/>
        </w:rPr>
        <w:t>（款）</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56.24</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，决算数等于预算数的主要原因是</w:t>
      </w:r>
      <w:r>
        <w:rPr>
          <w:rStyle w:val="13"/>
          <w:rFonts w:hint="eastAsia" w:ascii="仿宋" w:hAnsi="仿宋" w:eastAsia="仿宋"/>
          <w:b w:val="0"/>
          <w:bCs/>
          <w:color w:val="000000"/>
          <w:sz w:val="32"/>
          <w:szCs w:val="32"/>
          <w:lang w:eastAsia="zh-CN"/>
        </w:rPr>
        <w:t>合理预算、及时支付</w:t>
      </w:r>
      <w:r>
        <w:rPr>
          <w:rStyle w:val="13"/>
          <w:rFonts w:hint="eastAsia" w:ascii="仿宋" w:hAnsi="仿宋" w:eastAsia="仿宋"/>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 w:hAnsi="仿宋" w:eastAsia="仿宋"/>
          <w:b/>
          <w:color w:val="000000"/>
          <w:sz w:val="32"/>
          <w:szCs w:val="32"/>
        </w:rPr>
      </w:pPr>
      <w:r>
        <w:rPr>
          <w:rStyle w:val="13"/>
          <w:rFonts w:hint="eastAsia" w:ascii="仿宋" w:hAnsi="仿宋" w:eastAsia="仿宋"/>
          <w:bCs/>
          <w:color w:val="000000"/>
          <w:sz w:val="32"/>
          <w:szCs w:val="32"/>
          <w:lang w:val="en-US" w:eastAsia="zh-CN"/>
        </w:rPr>
        <w:t>5</w:t>
      </w:r>
      <w:r>
        <w:rPr>
          <w:rStyle w:val="13"/>
          <w:rFonts w:ascii="仿宋" w:hAnsi="仿宋" w:eastAsia="仿宋"/>
          <w:bCs/>
          <w:color w:val="000000"/>
          <w:sz w:val="32"/>
          <w:szCs w:val="32"/>
        </w:rPr>
        <w:t>.</w:t>
      </w:r>
      <w:r>
        <w:rPr>
          <w:rFonts w:hint="eastAsia" w:ascii="仿宋" w:hAnsi="仿宋" w:eastAsia="仿宋"/>
          <w:b/>
          <w:bCs/>
          <w:color w:val="000000" w:themeColor="text1"/>
          <w:sz w:val="32"/>
          <w:szCs w:val="32"/>
          <w:lang w:eastAsia="zh-CN"/>
        </w:rPr>
        <w:t>住房保障</w:t>
      </w:r>
      <w:r>
        <w:rPr>
          <w:rStyle w:val="13"/>
          <w:rFonts w:hint="eastAsia" w:ascii="仿宋" w:hAnsi="仿宋" w:eastAsia="仿宋"/>
          <w:bCs/>
          <w:color w:val="000000"/>
          <w:sz w:val="32"/>
          <w:szCs w:val="32"/>
        </w:rPr>
        <w:t>（类）</w:t>
      </w:r>
      <w:r>
        <w:rPr>
          <w:rStyle w:val="13"/>
          <w:rFonts w:hint="eastAsia" w:ascii="仿宋" w:hAnsi="仿宋" w:eastAsia="仿宋"/>
          <w:bCs/>
          <w:color w:val="000000"/>
          <w:sz w:val="32"/>
          <w:szCs w:val="32"/>
          <w:lang w:eastAsia="zh-CN"/>
        </w:rPr>
        <w:t>住房改革</w:t>
      </w:r>
      <w:r>
        <w:rPr>
          <w:rStyle w:val="13"/>
          <w:rFonts w:hint="eastAsia" w:ascii="仿宋" w:hAnsi="仿宋" w:eastAsia="仿宋"/>
          <w:bCs/>
          <w:color w:val="000000"/>
          <w:sz w:val="32"/>
          <w:szCs w:val="32"/>
        </w:rPr>
        <w:t>（款）</w:t>
      </w:r>
      <w:r>
        <w:rPr>
          <w:rStyle w:val="13"/>
          <w:rFonts w:hint="eastAsia" w:ascii="仿宋" w:hAnsi="仿宋" w:eastAsia="仿宋"/>
          <w:bCs/>
          <w:color w:val="000000"/>
          <w:sz w:val="32"/>
          <w:szCs w:val="32"/>
          <w:lang w:eastAsia="zh-CN"/>
        </w:rPr>
        <w:t>住房公积金（项）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67.77</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，决算数等于预算数的主要原因是</w:t>
      </w:r>
      <w:r>
        <w:rPr>
          <w:rStyle w:val="13"/>
          <w:rFonts w:hint="eastAsia" w:ascii="仿宋" w:hAnsi="仿宋" w:eastAsia="仿宋"/>
          <w:b w:val="0"/>
          <w:bCs/>
          <w:color w:val="000000"/>
          <w:sz w:val="32"/>
          <w:szCs w:val="32"/>
          <w:lang w:eastAsia="zh-CN"/>
        </w:rPr>
        <w:t>合理预算、及时支付</w:t>
      </w:r>
      <w:r>
        <w:rPr>
          <w:rStyle w:val="13"/>
          <w:rFonts w:hint="eastAsia" w:ascii="仿宋" w:hAnsi="仿宋" w:eastAsia="仿宋"/>
          <w:b w:val="0"/>
          <w:bCs/>
          <w:color w:val="000000"/>
          <w:sz w:val="32"/>
          <w:szCs w:val="32"/>
        </w:rPr>
        <w:t>。</w:t>
      </w:r>
    </w:p>
    <w:p>
      <w:pPr>
        <w:keepNext w:val="0"/>
        <w:keepLines w:val="0"/>
        <w:pageBreakBefore w:val="0"/>
        <w:widowControl w:val="0"/>
        <w:tabs>
          <w:tab w:val="right" w:pos="8306"/>
        </w:tabs>
        <w:kinsoku/>
        <w:wordWrap/>
        <w:overflowPunct/>
        <w:topLinePunct w:val="0"/>
        <w:autoSpaceDE/>
        <w:autoSpaceDN/>
        <w:bidi w:val="0"/>
        <w:adjustRightInd/>
        <w:snapToGrid/>
        <w:spacing w:line="540" w:lineRule="exact"/>
        <w:ind w:firstLine="640"/>
        <w:textAlignment w:val="auto"/>
        <w:outlineLvl w:val="1"/>
        <w:rPr>
          <w:rStyle w:val="22"/>
        </w:rPr>
      </w:pPr>
      <w:bookmarkStart w:id="42" w:name="_Toc15377214"/>
      <w:bookmarkStart w:id="43"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2"/>
          <w:rFonts w:hint="eastAsia" w:ascii="黑体" w:hAnsi="黑体" w:eastAsia="黑体"/>
          <w:b w:val="0"/>
        </w:rPr>
        <w:t>般公共预算财政拨款基本支出决算情况说明</w:t>
      </w:r>
      <w:bookmarkEnd w:id="42"/>
      <w:bookmarkEnd w:id="43"/>
      <w:r>
        <w:rPr>
          <w:rStyle w:val="22"/>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中共巴中市委办公室</w:t>
      </w:r>
      <w:r>
        <w:rPr>
          <w:rFonts w:hint="eastAsia" w:ascii="仿宋" w:hAnsi="仿宋" w:eastAsia="仿宋" w:cs="仿宋"/>
          <w:color w:val="000000" w:themeColor="text1"/>
          <w:sz w:val="32"/>
          <w:szCs w:val="32"/>
        </w:rPr>
        <w:t>2019年一般公共预算财政拨款基本支出1519.08万元，其中：人员经费1218.18万元，主要包括：基本工资、津贴补贴、奖金、机关事业单位基本养老保险缴费、职业年金缴费、其他社会保障缴费、其他工资福利支出、离休费、退休费、抚恤金、生活补助、医疗费、奖励金、住房公积金、其他对个人和家庭的补助支出。</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日常公用经费300.90万元，主要包括：办公费、印刷费、邮电费、差旅费、维修（护）费、租赁费、会议费、培训费、劳务费、工会经费、福利费、其他交通费、公务用车运行维护费、其他交通费用、其他商品和服务支出。</w:t>
      </w:r>
      <w:bookmarkStart w:id="44" w:name="_Toc15396609"/>
      <w:bookmarkStart w:id="45" w:name="_Toc15377215"/>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Style w:val="22"/>
          <w:rFonts w:ascii="黑体" w:hAnsi="黑体" w:eastAsia="黑体"/>
          <w:b w:val="0"/>
        </w:rPr>
      </w:pPr>
      <w:r>
        <w:rPr>
          <w:rFonts w:hint="eastAsia" w:ascii="黑体" w:eastAsia="黑体"/>
          <w:color w:val="000000"/>
          <w:sz w:val="32"/>
          <w:szCs w:val="32"/>
        </w:rPr>
        <w:t>七、</w:t>
      </w:r>
      <w:r>
        <w:rPr>
          <w:rStyle w:val="22"/>
          <w:rFonts w:hint="eastAsia" w:ascii="黑体" w:hAnsi="黑体" w:eastAsia="黑体"/>
        </w:rPr>
        <w:t>“</w:t>
      </w:r>
      <w:r>
        <w:rPr>
          <w:rStyle w:val="22"/>
          <w:rFonts w:hint="eastAsia" w:ascii="黑体" w:hAnsi="黑体" w:eastAsia="黑体"/>
          <w:b w:val="0"/>
        </w:rPr>
        <w:t>三公”经费财政拨款支出决算情况说明</w:t>
      </w:r>
      <w:bookmarkEnd w:id="44"/>
      <w:bookmarkEnd w:id="45"/>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outlineLvl w:val="2"/>
        <w:rPr>
          <w:rFonts w:ascii="仿宋" w:hAnsi="仿宋" w:eastAsia="仿宋"/>
          <w:b/>
          <w:color w:val="000000"/>
          <w:sz w:val="32"/>
          <w:szCs w:val="32"/>
        </w:rPr>
      </w:pPr>
      <w:bookmarkStart w:id="46" w:name="_Toc15377216"/>
      <w:r>
        <w:rPr>
          <w:rFonts w:hint="eastAsia" w:ascii="仿宋" w:hAnsi="仿宋" w:eastAsia="仿宋"/>
          <w:b/>
          <w:color w:val="000000"/>
          <w:sz w:val="32"/>
          <w:szCs w:val="32"/>
        </w:rPr>
        <w:t>（一）“三公”经费财政拨款支出决算总体情况说明</w:t>
      </w:r>
      <w:bookmarkEnd w:id="46"/>
    </w:p>
    <w:p>
      <w:pPr>
        <w:keepNext w:val="0"/>
        <w:keepLines w:val="0"/>
        <w:pageBreakBefore w:val="0"/>
        <w:widowControl w:val="0"/>
        <w:kinsoku/>
        <w:wordWrap/>
        <w:overflowPunct/>
        <w:topLinePunct w:val="0"/>
        <w:autoSpaceDE/>
        <w:autoSpaceDN/>
        <w:bidi w:val="0"/>
        <w:adjustRightInd/>
        <w:snapToGrid/>
        <w:spacing w:line="520" w:lineRule="exact"/>
        <w:ind w:firstLine="645"/>
        <w:jc w:val="left"/>
        <w:textAlignment w:val="auto"/>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中共巴中市委办公室</w:t>
      </w:r>
      <w:r>
        <w:rPr>
          <w:rFonts w:hint="eastAsia" w:ascii="仿宋" w:hAnsi="仿宋" w:eastAsia="仿宋" w:cs="仿宋"/>
          <w:color w:val="000000" w:themeColor="text1"/>
          <w:sz w:val="32"/>
          <w:szCs w:val="32"/>
        </w:rPr>
        <w:t>2019年度“三公”经费财政拨款支出决算为80.37万元，完成预算87.81%，2019年度“三公”经费支出决算数小于预算数的主要原因是合理控制开支。</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outlineLvl w:val="2"/>
        <w:rPr>
          <w:rFonts w:hint="eastAsia" w:ascii="仿宋" w:hAnsi="仿宋" w:eastAsia="仿宋"/>
          <w:b/>
          <w:color w:val="000000"/>
          <w:sz w:val="32"/>
          <w:szCs w:val="32"/>
        </w:rPr>
      </w:pPr>
      <w:r>
        <w:rPr>
          <w:rFonts w:hint="eastAsia" w:ascii="仿宋" w:hAnsi="仿宋" w:eastAsia="仿宋"/>
          <w:b/>
          <w:color w:val="000000"/>
          <w:sz w:val="32"/>
          <w:szCs w:val="32"/>
        </w:rPr>
        <w:t>（</w:t>
      </w:r>
      <w:r>
        <w:rPr>
          <w:rFonts w:hint="eastAsia" w:ascii="仿宋" w:hAnsi="仿宋" w:eastAsia="仿宋"/>
          <w:b/>
          <w:color w:val="000000"/>
          <w:sz w:val="32"/>
          <w:szCs w:val="32"/>
          <w:lang w:eastAsia="zh-CN"/>
        </w:rPr>
        <w:t>二</w:t>
      </w:r>
      <w:r>
        <w:rPr>
          <w:rFonts w:hint="eastAsia" w:ascii="仿宋" w:hAnsi="仿宋" w:eastAsia="仿宋"/>
          <w:b/>
          <w:color w:val="000000"/>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20" w:lineRule="exact"/>
        <w:ind w:firstLine="645"/>
        <w:jc w:val="left"/>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rPr>
        <w:t>2019年度“三公”经费财政拨款支出决算中，因公出国（境）费支出决算7.45万元，占“三公”经费的9.28%；公务用车购置及运行维护费支出决算68.99万元，占“三公”经费的85.84%；公务接待费支出决算3.92万元，占“三公”经费的4.88%。</w:t>
      </w:r>
      <w:r>
        <w:rPr>
          <w:rFonts w:hint="eastAsia" w:ascii="仿宋" w:hAnsi="仿宋" w:eastAsia="仿宋" w:cs="仿宋"/>
          <w:color w:val="000000" w:themeColor="text1"/>
          <w:sz w:val="32"/>
          <w:szCs w:val="32"/>
          <w:lang w:eastAsia="zh-CN"/>
        </w:rPr>
        <w:t>具体情况如下：</w:t>
      </w:r>
    </w:p>
    <w:p>
      <w:pPr>
        <w:pStyle w:val="2"/>
        <w:jc w:val="center"/>
        <w:rPr>
          <w:rFonts w:hint="eastAsia"/>
          <w:lang w:eastAsia="zh-CN"/>
        </w:rPr>
      </w:pPr>
      <w:r>
        <w:rPr>
          <w:rFonts w:hint="eastAsia"/>
          <w:lang w:eastAsia="zh-CN"/>
        </w:rPr>
        <w:drawing>
          <wp:inline distT="0" distB="0" distL="114300" distR="114300">
            <wp:extent cx="3375025" cy="2704465"/>
            <wp:effectExtent l="4445" t="5080" r="11430"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jc w:val="center"/>
        <w:rPr>
          <w:rFonts w:hint="eastAsia" w:ascii="仿宋" w:hAnsi="仿宋" w:eastAsia="仿宋"/>
          <w:color w:val="000000"/>
          <w:sz w:val="24"/>
          <w:szCs w:val="24"/>
        </w:rPr>
      </w:pPr>
      <w:r>
        <w:rPr>
          <w:rFonts w:hint="eastAsia" w:ascii="仿宋" w:hAnsi="仿宋" w:eastAsia="仿宋"/>
          <w:color w:val="000000"/>
          <w:sz w:val="24"/>
          <w:szCs w:val="24"/>
        </w:rPr>
        <w:t>（“三公”经费财政拨款支出结构</w:t>
      </w:r>
      <w:r>
        <w:rPr>
          <w:rFonts w:hint="eastAsia" w:ascii="仿宋" w:hAnsi="仿宋" w:eastAsia="仿宋"/>
          <w:color w:val="000000"/>
          <w:sz w:val="24"/>
          <w:szCs w:val="24"/>
          <w:lang w:eastAsia="zh-CN"/>
        </w:rPr>
        <w:t>饼状图</w:t>
      </w:r>
      <w:r>
        <w:rPr>
          <w:rFonts w:hint="eastAsia" w:ascii="仿宋" w:hAnsi="仿宋" w:eastAsia="仿宋"/>
          <w:color w:val="000000"/>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1"/>
        <w:jc w:val="left"/>
        <w:textAlignment w:val="auto"/>
        <w:rPr>
          <w:rFonts w:hint="eastAsia"/>
          <w:lang w:eastAsia="zh-CN"/>
        </w:rPr>
      </w:pPr>
      <w:r>
        <w:rPr>
          <w:rFonts w:hint="eastAsia" w:ascii="仿宋_GB2312" w:eastAsia="仿宋_GB2312"/>
          <w:b/>
          <w:color w:val="000000"/>
          <w:sz w:val="32"/>
          <w:szCs w:val="32"/>
        </w:rPr>
        <w:t>因</w:t>
      </w:r>
      <w:r>
        <w:rPr>
          <w:rFonts w:hint="eastAsia" w:ascii="仿宋_GB2312" w:eastAsia="仿宋_GB2312"/>
          <w:b/>
          <w:color w:val="000000" w:themeColor="text1"/>
          <w:sz w:val="32"/>
          <w:szCs w:val="32"/>
        </w:rPr>
        <w:t>公出国（境）经费支出</w:t>
      </w:r>
      <w:r>
        <w:rPr>
          <w:rFonts w:hint="eastAsia" w:ascii="仿宋_GB2312" w:eastAsia="仿宋_GB2312"/>
          <w:color w:val="000000" w:themeColor="text1"/>
          <w:sz w:val="32"/>
          <w:szCs w:val="32"/>
          <w:lang w:val="en-US" w:eastAsia="zh-CN"/>
        </w:rPr>
        <w:t>7.45</w:t>
      </w:r>
      <w:r>
        <w:rPr>
          <w:rFonts w:hint="eastAsia" w:ascii="仿宋_GB2312" w:eastAsia="仿宋_GB2312"/>
          <w:color w:val="000000" w:themeColor="text1"/>
          <w:sz w:val="32"/>
          <w:szCs w:val="32"/>
        </w:rPr>
        <w:t>万元，</w:t>
      </w:r>
      <w:r>
        <w:rPr>
          <w:rStyle w:val="13"/>
          <w:rFonts w:hint="eastAsia" w:ascii="仿宋" w:hAnsi="仿宋" w:eastAsia="仿宋"/>
          <w:b w:val="0"/>
          <w:bCs/>
          <w:color w:val="000000" w:themeColor="text1"/>
          <w:sz w:val="32"/>
          <w:szCs w:val="32"/>
        </w:rPr>
        <w:t>完成预算</w:t>
      </w:r>
      <w:r>
        <w:rPr>
          <w:rStyle w:val="13"/>
          <w:rFonts w:hint="eastAsia" w:ascii="仿宋" w:hAnsi="仿宋" w:eastAsia="仿宋"/>
          <w:b w:val="0"/>
          <w:bCs/>
          <w:color w:val="000000" w:themeColor="text1"/>
          <w:sz w:val="32"/>
          <w:szCs w:val="32"/>
          <w:lang w:val="en-US" w:eastAsia="zh-CN"/>
        </w:rPr>
        <w:t>100</w:t>
      </w:r>
      <w:r>
        <w:rPr>
          <w:rStyle w:val="13"/>
          <w:rFonts w:ascii="仿宋" w:hAnsi="仿宋" w:eastAsia="仿宋"/>
          <w:b w:val="0"/>
          <w:bCs/>
          <w:color w:val="000000" w:themeColor="text1"/>
          <w:sz w:val="32"/>
          <w:szCs w:val="32"/>
        </w:rPr>
        <w:t>%</w:t>
      </w:r>
      <w:r>
        <w:rPr>
          <w:rStyle w:val="13"/>
          <w:rFonts w:hint="eastAsia" w:ascii="仿宋" w:hAnsi="仿宋" w:eastAsia="仿宋"/>
          <w:b w:val="0"/>
          <w:bCs/>
          <w:color w:val="000000" w:themeColor="text1"/>
          <w:sz w:val="32"/>
          <w:szCs w:val="32"/>
        </w:rPr>
        <w:t>。</w:t>
      </w:r>
      <w:r>
        <w:rPr>
          <w:rFonts w:hint="eastAsia" w:ascii="仿宋" w:hAnsi="仿宋" w:eastAsia="仿宋" w:cs="仿宋"/>
          <w:color w:val="000000" w:themeColor="text1"/>
          <w:sz w:val="32"/>
          <w:szCs w:val="32"/>
        </w:rPr>
        <w:t>全年安排因公出国（境）团组2次，出国（境）4人。开支内容包括：一省港澳办统一组织赴香港参访学习，二出访巴西、智利、阿根廷开展经贸交流活动。</w:t>
      </w:r>
      <w:r>
        <w:rPr>
          <w:rFonts w:hint="eastAsia" w:ascii="仿宋_GB2312" w:eastAsia="仿宋_GB2312"/>
          <w:color w:val="000000" w:themeColor="text1"/>
          <w:sz w:val="32"/>
          <w:szCs w:val="32"/>
        </w:rPr>
        <w:t>因公出国（境）支出决算比</w:t>
      </w:r>
      <w:r>
        <w:rPr>
          <w:rFonts w:ascii="仿宋_GB2312" w:eastAsia="仿宋_GB2312"/>
          <w:color w:val="000000" w:themeColor="text1"/>
          <w:sz w:val="32"/>
          <w:szCs w:val="32"/>
        </w:rPr>
        <w:t>201</w:t>
      </w:r>
      <w:r>
        <w:rPr>
          <w:rFonts w:hint="eastAsia" w:ascii="仿宋_GB2312" w:eastAsia="仿宋_GB2312"/>
          <w:color w:val="000000" w:themeColor="text1"/>
          <w:sz w:val="32"/>
          <w:szCs w:val="32"/>
        </w:rPr>
        <w:t>8年</w:t>
      </w:r>
      <w:r>
        <w:rPr>
          <w:rFonts w:hint="eastAsia" w:ascii="仿宋_GB2312" w:eastAsia="仿宋_GB2312"/>
          <w:color w:val="000000" w:themeColor="text1"/>
          <w:sz w:val="32"/>
          <w:szCs w:val="32"/>
          <w:lang w:eastAsia="zh-CN"/>
        </w:rPr>
        <w:t>增加</w:t>
      </w:r>
      <w:r>
        <w:rPr>
          <w:rFonts w:hint="eastAsia" w:ascii="仿宋_GB2312" w:eastAsia="仿宋_GB2312"/>
          <w:color w:val="000000" w:themeColor="text1"/>
          <w:sz w:val="32"/>
          <w:szCs w:val="32"/>
          <w:lang w:val="en-US" w:eastAsia="zh-CN"/>
        </w:rPr>
        <w:t>4.04万元，</w:t>
      </w:r>
      <w:r>
        <w:rPr>
          <w:rFonts w:hint="eastAsia" w:ascii="仿宋_GB2312" w:eastAsia="仿宋_GB2312"/>
          <w:color w:val="000000" w:themeColor="text1"/>
          <w:sz w:val="32"/>
          <w:szCs w:val="32"/>
        </w:rPr>
        <w:t>增长</w:t>
      </w:r>
      <w:r>
        <w:rPr>
          <w:rFonts w:hint="eastAsia" w:ascii="仿宋_GB2312" w:eastAsia="仿宋_GB2312"/>
          <w:color w:val="000000" w:themeColor="text1"/>
          <w:sz w:val="32"/>
          <w:szCs w:val="32"/>
          <w:lang w:val="en-US" w:eastAsia="zh-CN"/>
        </w:rPr>
        <w:t>118</w:t>
      </w:r>
      <w:r>
        <w:rPr>
          <w:rFonts w:ascii="仿宋_GB2312" w:eastAsia="仿宋_GB2312"/>
          <w:color w:val="000000" w:themeColor="text1"/>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机构改革，新增外事和港澳工作职能职责。</w:t>
      </w:r>
    </w:p>
    <w:p>
      <w:pPr>
        <w:pStyle w:val="2"/>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color w:val="000000" w:themeColor="text1"/>
          <w:sz w:val="32"/>
          <w:szCs w:val="32"/>
        </w:rPr>
      </w:pPr>
      <w:r>
        <w:rPr>
          <w:rFonts w:hint="eastAsia" w:cs="Times New Roman"/>
          <w:b/>
          <w:color w:val="000000" w:themeColor="text1"/>
          <w:kern w:val="2"/>
          <w:sz w:val="32"/>
          <w:szCs w:val="32"/>
          <w:lang w:val="en-US" w:eastAsia="zh-CN" w:bidi="ar-SA"/>
        </w:rPr>
        <w:t>2.</w:t>
      </w:r>
      <w:r>
        <w:rPr>
          <w:rFonts w:hint="eastAsia" w:ascii="仿宋_GB2312" w:hAnsi="Times New Roman" w:eastAsia="仿宋_GB2312" w:cs="Times New Roman"/>
          <w:b/>
          <w:color w:val="000000" w:themeColor="text1"/>
          <w:kern w:val="2"/>
          <w:sz w:val="32"/>
          <w:szCs w:val="32"/>
          <w:lang w:val="en-US" w:eastAsia="zh-CN" w:bidi="ar-SA"/>
        </w:rPr>
        <w:t>2019年公务用车购置及运行维护费</w:t>
      </w:r>
      <w:r>
        <w:rPr>
          <w:rFonts w:hint="eastAsia" w:cs="Times New Roman"/>
          <w:b/>
          <w:color w:val="000000" w:themeColor="text1"/>
          <w:kern w:val="2"/>
          <w:sz w:val="32"/>
          <w:szCs w:val="32"/>
          <w:lang w:val="en-US" w:eastAsia="zh-CN" w:bidi="ar-SA"/>
        </w:rPr>
        <w:t>支出</w:t>
      </w:r>
      <w:r>
        <w:rPr>
          <w:rFonts w:hint="eastAsia" w:ascii="仿宋_GB2312" w:hAnsi="Times New Roman" w:eastAsia="仿宋_GB2312" w:cs="Times New Roman"/>
          <w:b w:val="0"/>
          <w:bCs/>
          <w:color w:val="000000" w:themeColor="text1"/>
          <w:kern w:val="2"/>
          <w:sz w:val="32"/>
          <w:szCs w:val="32"/>
          <w:lang w:val="en-US" w:eastAsia="zh-CN" w:bidi="ar-SA"/>
        </w:rPr>
        <w:t>68.99万元</w:t>
      </w:r>
      <w:r>
        <w:rPr>
          <w:rFonts w:hint="eastAsia" w:ascii="仿宋" w:hAnsi="仿宋" w:eastAsia="仿宋" w:cs="仿宋"/>
          <w:color w:val="000000" w:themeColor="text1"/>
          <w:sz w:val="32"/>
          <w:szCs w:val="32"/>
        </w:rPr>
        <w:t>,</w:t>
      </w:r>
      <w:r>
        <w:rPr>
          <w:rStyle w:val="13"/>
          <w:rFonts w:hint="eastAsia" w:ascii="仿宋" w:hAnsi="仿宋" w:eastAsia="仿宋"/>
          <w:b w:val="0"/>
          <w:bCs/>
          <w:color w:val="000000" w:themeColor="text1"/>
          <w:sz w:val="32"/>
          <w:szCs w:val="32"/>
        </w:rPr>
        <w:t>完成预算</w:t>
      </w:r>
      <w:r>
        <w:rPr>
          <w:rStyle w:val="13"/>
          <w:rFonts w:hint="eastAsia" w:ascii="仿宋" w:hAnsi="仿宋" w:eastAsia="仿宋"/>
          <w:b w:val="0"/>
          <w:bCs/>
          <w:color w:val="000000" w:themeColor="text1"/>
          <w:sz w:val="32"/>
          <w:szCs w:val="32"/>
          <w:lang w:val="en-US" w:eastAsia="zh-CN"/>
        </w:rPr>
        <w:t>99.99</w:t>
      </w:r>
      <w:r>
        <w:rPr>
          <w:rStyle w:val="13"/>
          <w:rFonts w:ascii="仿宋" w:hAnsi="仿宋" w:eastAsia="仿宋"/>
          <w:b w:val="0"/>
          <w:bCs/>
          <w:color w:val="000000" w:themeColor="text1"/>
          <w:sz w:val="32"/>
          <w:szCs w:val="32"/>
        </w:rPr>
        <w:t>%</w:t>
      </w:r>
      <w:r>
        <w:rPr>
          <w:rStyle w:val="13"/>
          <w:rFonts w:hint="eastAsia" w:ascii="仿宋" w:hAnsi="仿宋" w:eastAsia="仿宋"/>
          <w:b w:val="0"/>
          <w:bCs/>
          <w:color w:val="000000" w:themeColor="text1"/>
          <w:sz w:val="32"/>
          <w:szCs w:val="32"/>
        </w:rPr>
        <w:t>。</w:t>
      </w:r>
      <w:r>
        <w:rPr>
          <w:rFonts w:hint="eastAsia" w:ascii="仿宋" w:hAnsi="仿宋" w:eastAsia="仿宋" w:cs="仿宋"/>
          <w:color w:val="000000" w:themeColor="text1"/>
          <w:sz w:val="32"/>
          <w:szCs w:val="32"/>
        </w:rPr>
        <w:t>其中：截至2019年12月底，单位共有在编公务用车9辆，其中：轿车9辆。公务用车运行维护费支出68.99万元。主要用于市内外督查、下乡、调研、应急使用等车改保留车辆等所需的公务用车燃料费、维修费、过路过桥费、保险费等支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color w:val="000000" w:themeColor="text1"/>
          <w:sz w:val="32"/>
          <w:szCs w:val="32"/>
        </w:rPr>
      </w:pPr>
      <w:r>
        <w:rPr>
          <w:rFonts w:hint="eastAsia" w:ascii="仿宋" w:hAnsi="仿宋" w:eastAsia="仿宋" w:cs="仿宋"/>
          <w:b/>
          <w:bCs/>
          <w:color w:val="000000" w:themeColor="text1"/>
          <w:sz w:val="32"/>
          <w:szCs w:val="32"/>
          <w:lang w:val="en-US" w:eastAsia="zh-CN"/>
        </w:rPr>
        <w:t>3.</w:t>
      </w:r>
      <w:r>
        <w:rPr>
          <w:rFonts w:hint="eastAsia" w:ascii="仿宋" w:hAnsi="仿宋" w:eastAsia="仿宋" w:cs="仿宋"/>
          <w:b/>
          <w:bCs/>
          <w:color w:val="000000" w:themeColor="text1"/>
          <w:sz w:val="32"/>
          <w:szCs w:val="32"/>
        </w:rPr>
        <w:t>公务接待费支出</w:t>
      </w:r>
      <w:r>
        <w:rPr>
          <w:rFonts w:hint="eastAsia" w:ascii="仿宋" w:hAnsi="仿宋" w:eastAsia="仿宋" w:cs="仿宋"/>
          <w:color w:val="000000" w:themeColor="text1"/>
          <w:sz w:val="32"/>
          <w:szCs w:val="32"/>
        </w:rPr>
        <w:t>决算3.92万元，</w:t>
      </w:r>
      <w:r>
        <w:rPr>
          <w:rStyle w:val="13"/>
          <w:rFonts w:hint="eastAsia" w:ascii="仿宋" w:hAnsi="仿宋" w:eastAsia="仿宋"/>
          <w:b w:val="0"/>
          <w:bCs/>
          <w:color w:val="000000" w:themeColor="text1"/>
          <w:sz w:val="32"/>
          <w:szCs w:val="32"/>
        </w:rPr>
        <w:t>完成预算</w:t>
      </w:r>
      <w:r>
        <w:rPr>
          <w:rStyle w:val="13"/>
          <w:rFonts w:hint="eastAsia" w:ascii="仿宋" w:hAnsi="仿宋" w:eastAsia="仿宋"/>
          <w:b w:val="0"/>
          <w:bCs/>
          <w:color w:val="000000" w:themeColor="text1"/>
          <w:sz w:val="32"/>
          <w:szCs w:val="32"/>
          <w:lang w:val="en-US" w:eastAsia="zh-CN"/>
        </w:rPr>
        <w:t>39.2</w:t>
      </w:r>
      <w:r>
        <w:rPr>
          <w:rStyle w:val="13"/>
          <w:rFonts w:ascii="仿宋" w:hAnsi="仿宋" w:eastAsia="仿宋"/>
          <w:b w:val="0"/>
          <w:bCs/>
          <w:color w:val="000000" w:themeColor="text1"/>
          <w:sz w:val="32"/>
          <w:szCs w:val="32"/>
        </w:rPr>
        <w:t>%</w:t>
      </w:r>
      <w:r>
        <w:rPr>
          <w:rStyle w:val="13"/>
          <w:rFonts w:hint="eastAsia" w:ascii="仿宋" w:hAnsi="仿宋" w:eastAsia="仿宋"/>
          <w:b w:val="0"/>
          <w:bCs/>
          <w:color w:val="000000" w:themeColor="text1"/>
          <w:sz w:val="32"/>
          <w:szCs w:val="32"/>
        </w:rPr>
        <w:t>。</w:t>
      </w:r>
      <w:r>
        <w:rPr>
          <w:rFonts w:hint="eastAsia" w:ascii="仿宋" w:hAnsi="仿宋" w:eastAsia="仿宋"/>
          <w:b/>
          <w:color w:val="000000" w:themeColor="text1"/>
          <w:sz w:val="32"/>
          <w:szCs w:val="32"/>
        </w:rPr>
        <w:t>国内公务接待支出</w:t>
      </w:r>
      <w:r>
        <w:rPr>
          <w:rFonts w:hint="eastAsia" w:ascii="仿宋" w:hAnsi="仿宋" w:eastAsia="仿宋"/>
          <w:color w:val="000000" w:themeColor="text1"/>
          <w:sz w:val="32"/>
          <w:szCs w:val="32"/>
          <w:lang w:val="en-US" w:eastAsia="zh-CN"/>
        </w:rPr>
        <w:t>39.2</w:t>
      </w:r>
      <w:r>
        <w:rPr>
          <w:rFonts w:hint="eastAsia" w:ascii="仿宋_GB2312" w:eastAsia="仿宋_GB2312"/>
          <w:color w:val="000000" w:themeColor="text1"/>
          <w:sz w:val="32"/>
          <w:szCs w:val="32"/>
        </w:rPr>
        <w:t>万元</w:t>
      </w:r>
      <w:r>
        <w:rPr>
          <w:rFonts w:hint="eastAsia" w:ascii="仿宋" w:hAnsi="仿宋" w:eastAsia="仿宋" w:cs="仿宋"/>
          <w:color w:val="000000" w:themeColor="text1"/>
          <w:sz w:val="32"/>
          <w:szCs w:val="32"/>
        </w:rPr>
        <w:t>。主要用于执行公务、开展业务活动开支的交通费、住宿费、用餐费等。国内公务接待16批次，193人</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具体内容包括：接待商会、周边市州来巴交流、考察。</w:t>
      </w:r>
    </w:p>
    <w:p>
      <w:pPr>
        <w:pStyle w:val="2"/>
        <w:numPr>
          <w:ilvl w:val="0"/>
          <w:numId w:val="0"/>
        </w:numPr>
        <w:ind w:leftChars="200"/>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outlineLvl w:val="1"/>
        <w:rPr>
          <w:rStyle w:val="22"/>
          <w:rFonts w:ascii="黑体" w:hAnsi="黑体" w:eastAsia="黑体"/>
        </w:rPr>
      </w:pPr>
      <w:r>
        <w:rPr>
          <w:rFonts w:hint="eastAsia" w:ascii="黑体" w:eastAsia="黑体"/>
          <w:color w:val="000000"/>
          <w:sz w:val="32"/>
          <w:szCs w:val="32"/>
        </w:rPr>
        <w:t>八、</w:t>
      </w:r>
      <w:r>
        <w:rPr>
          <w:rStyle w:val="22"/>
          <w:rFonts w:hint="eastAsia" w:ascii="黑体" w:hAnsi="黑体" w:eastAsia="黑体"/>
          <w:b w:val="0"/>
        </w:rPr>
        <w:t>政府性基金预算支出决算情况说明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
      </w:pP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textAlignment w:val="auto"/>
        <w:outlineLvl w:val="1"/>
        <w:rPr>
          <w:rStyle w:val="22"/>
          <w:rFonts w:ascii="黑体" w:hAnsi="黑体" w:eastAsia="黑体"/>
          <w:b w:val="0"/>
        </w:rPr>
      </w:pPr>
      <w:bookmarkStart w:id="47" w:name="_Toc15377219"/>
      <w:bookmarkStart w:id="48" w:name="_Toc15396611"/>
      <w:r>
        <w:rPr>
          <w:rStyle w:val="22"/>
          <w:rFonts w:hint="eastAsia" w:ascii="黑体" w:hAnsi="黑体" w:eastAsia="黑体"/>
          <w:b w:val="0"/>
        </w:rPr>
        <w:t>国有资本经营预算支出决算情况说明</w:t>
      </w:r>
      <w:bookmarkEnd w:id="47"/>
      <w:bookmarkEnd w:id="48"/>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outlineLvl w:val="1"/>
        <w:rPr>
          <w:rFonts w:hint="eastAsia" w:ascii="黑体" w:hAnsi="黑体" w:eastAsia="黑体"/>
          <w:color w:val="000000"/>
          <w:sz w:val="32"/>
          <w:szCs w:val="32"/>
        </w:rPr>
      </w:pPr>
      <w:bookmarkStart w:id="49" w:name="_Toc15377221"/>
      <w:bookmarkStart w:id="50" w:name="_Toc15396612"/>
    </w:p>
    <w:p>
      <w:pPr>
        <w:spacing w:line="600" w:lineRule="exact"/>
        <w:ind w:firstLine="640" w:firstLineChars="200"/>
        <w:outlineLvl w:val="1"/>
        <w:rPr>
          <w:rStyle w:val="22"/>
          <w:rFonts w:ascii="黑体" w:hAnsi="黑体" w:eastAsia="黑体"/>
        </w:rPr>
      </w:pPr>
      <w:r>
        <w:rPr>
          <w:rFonts w:hint="eastAsia" w:ascii="黑体" w:hAnsi="黑体" w:eastAsia="黑体"/>
          <w:color w:val="000000"/>
          <w:sz w:val="32"/>
          <w:szCs w:val="32"/>
        </w:rPr>
        <w:t>十</w:t>
      </w:r>
      <w:r>
        <w:rPr>
          <w:rStyle w:val="22"/>
          <w:rFonts w:hint="eastAsia" w:ascii="黑体" w:hAnsi="黑体" w:eastAsia="黑体"/>
        </w:rPr>
        <w:t>、</w:t>
      </w:r>
      <w:r>
        <w:rPr>
          <w:rStyle w:val="22"/>
          <w:rFonts w:hint="eastAsia" w:ascii="黑体" w:hAnsi="黑体" w:eastAsia="黑体"/>
          <w:b w:val="0"/>
        </w:rPr>
        <w:t>其他重要事项的情况说明</w:t>
      </w:r>
      <w:bookmarkEnd w:id="49"/>
      <w:bookmarkEnd w:id="50"/>
    </w:p>
    <w:p>
      <w:pPr>
        <w:spacing w:line="600" w:lineRule="exact"/>
        <w:ind w:firstLine="643" w:firstLineChars="200"/>
        <w:outlineLvl w:val="2"/>
        <w:rPr>
          <w:rFonts w:ascii="仿宋" w:hAnsi="仿宋" w:eastAsia="仿宋"/>
          <w:color w:val="000000"/>
          <w:sz w:val="32"/>
          <w:szCs w:val="32"/>
        </w:rPr>
      </w:pPr>
      <w:bookmarkStart w:id="51" w:name="_Toc15377222"/>
      <w:r>
        <w:rPr>
          <w:rFonts w:hint="eastAsia" w:ascii="仿宋" w:hAnsi="仿宋" w:eastAsia="仿宋"/>
          <w:b/>
          <w:color w:val="000000"/>
          <w:sz w:val="32"/>
          <w:szCs w:val="32"/>
        </w:rPr>
        <w:t>（一）机关运行经费支出情况</w:t>
      </w:r>
      <w:bookmarkEnd w:id="51"/>
    </w:p>
    <w:p>
      <w:pPr>
        <w:spacing w:line="600" w:lineRule="exact"/>
        <w:ind w:firstLine="640" w:firstLineChars="200"/>
        <w:jc w:val="left"/>
        <w:rPr>
          <w:rFonts w:hint="eastAsia" w:ascii="仿宋_GB2312" w:eastAsia="仿宋_GB2312"/>
          <w:color w:val="000000" w:themeColor="text1"/>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市委办</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300.9</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110.2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26.81</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w:t>
      </w:r>
      <w:r>
        <w:rPr>
          <w:rFonts w:hint="eastAsia" w:ascii="仿宋_GB2312" w:eastAsia="仿宋_GB2312"/>
          <w:color w:val="000000"/>
          <w:sz w:val="32"/>
          <w:szCs w:val="32"/>
        </w:rPr>
        <w:t>8年决算数持平）。</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机构改革，相关部门划出。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w:t>
      </w:r>
      <w:r>
        <w:rPr>
          <w:rFonts w:hint="eastAsia" w:ascii="仿宋" w:hAnsi="仿宋" w:eastAsia="仿宋"/>
          <w:b/>
          <w:color w:val="000000"/>
          <w:sz w:val="32"/>
          <w:szCs w:val="32"/>
          <w:lang w:eastAsia="zh-CN"/>
        </w:rPr>
        <w:t>二</w:t>
      </w:r>
      <w:r>
        <w:rPr>
          <w:rFonts w:hint="eastAsia" w:ascii="仿宋" w:hAnsi="仿宋" w:eastAsia="仿宋"/>
          <w:b/>
          <w:color w:val="000000"/>
          <w:sz w:val="32"/>
          <w:szCs w:val="32"/>
        </w:rPr>
        <w:t>）预算绩效管理情况。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color w:val="0000FF"/>
          <w:sz w:val="32"/>
          <w:szCs w:val="32"/>
        </w:rPr>
      </w:pPr>
      <w:r>
        <w:rPr>
          <w:rFonts w:hint="eastAsia" w:ascii="仿宋" w:hAnsi="仿宋" w:eastAsia="仿宋" w:cs="仿宋"/>
          <w:color w:val="000000" w:themeColor="text1"/>
          <w:sz w:val="32"/>
          <w:szCs w:val="32"/>
        </w:rPr>
        <w:t>按照预算绩效管理要求，</w:t>
      </w:r>
      <w:r>
        <w:rPr>
          <w:rFonts w:hint="eastAsia" w:ascii="仿宋_GB2312" w:hAnsi="仿宋_GB2312" w:eastAsia="仿宋_GB2312" w:cs="仿宋_GB2312"/>
          <w:color w:val="000000" w:themeColor="text1"/>
          <w:sz w:val="32"/>
          <w:szCs w:val="32"/>
        </w:rPr>
        <w:t>本</w:t>
      </w:r>
      <w:r>
        <w:rPr>
          <w:rFonts w:hint="eastAsia" w:ascii="仿宋_GB2312" w:hAnsi="仿宋_GB2312" w:eastAsia="仿宋_GB2312" w:cs="仿宋_GB2312"/>
          <w:sz w:val="32"/>
          <w:szCs w:val="32"/>
        </w:rPr>
        <w:t>部门（单位）在年初预算编制阶段，组织对</w:t>
      </w:r>
      <w:r>
        <w:rPr>
          <w:rFonts w:hint="eastAsia" w:ascii="仿宋_GB2312" w:hAnsi="仿宋_GB2312" w:eastAsia="仿宋_GB2312" w:cs="仿宋_GB2312"/>
          <w:sz w:val="32"/>
          <w:szCs w:val="32"/>
          <w:lang w:eastAsia="zh-CN"/>
        </w:rPr>
        <w:t>党建、第一书记等</w:t>
      </w:r>
      <w:r>
        <w:rPr>
          <w:rFonts w:hint="eastAsia" w:ascii="仿宋_GB2312" w:hAnsi="仿宋_GB2312" w:eastAsia="仿宋_GB2312" w:cs="仿宋_GB2312"/>
          <w:sz w:val="32"/>
          <w:szCs w:val="32"/>
          <w:lang w:val="en-US" w:eastAsia="zh-CN"/>
        </w:rPr>
        <w:t>14个</w:t>
      </w:r>
      <w:r>
        <w:rPr>
          <w:rFonts w:hint="eastAsia" w:ascii="仿宋_GB2312" w:hAnsi="仿宋_GB2312" w:eastAsia="仿宋_GB2312" w:cs="仿宋_GB2312"/>
          <w:sz w:val="32"/>
          <w:szCs w:val="32"/>
        </w:rPr>
        <w:t>项目开展了预算事前绩效评估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项目开展了绩效目标完成情况自评。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 w:hAnsi="仿宋" w:eastAsia="仿宋" w:cs="仿宋"/>
          <w:color w:val="000000" w:themeColor="text1"/>
          <w:sz w:val="32"/>
          <w:szCs w:val="32"/>
        </w:rPr>
        <w:t>按照预算绩效管理要求，本部门对2019年整体支出开展绩效自评，自评得分91分，</w:t>
      </w:r>
      <w:r>
        <w:rPr>
          <w:rFonts w:hint="eastAsia" w:ascii="仿宋" w:hAnsi="仿宋" w:eastAsia="仿宋" w:cs="仿宋"/>
          <w:color w:val="000000" w:themeColor="text1"/>
          <w:sz w:val="32"/>
          <w:szCs w:val="32"/>
          <w:lang w:eastAsia="zh-CN"/>
        </w:rPr>
        <w:t>中共巴中市委办公室</w:t>
      </w:r>
      <w:r>
        <w:rPr>
          <w:rFonts w:hint="eastAsia" w:ascii="仿宋" w:hAnsi="仿宋" w:eastAsia="仿宋" w:cs="仿宋"/>
          <w:color w:val="000000" w:themeColor="text1"/>
          <w:sz w:val="32"/>
          <w:szCs w:val="32"/>
        </w:rPr>
        <w:t>绩效管理工作虽然取得了一定成绩，但还是存在未能及时将年度追加预算项目纳入绩效管理等问题。今后将认真总结经验教训，扎扎实实抓好绩效管理工作，进一步健全和完善绩效管理体系，向社会公开的评价结果同时促进预算管理工作的科学化、规范化、制度化，提升预算单位依法理财水平，根据《中华人民共和国预算法》《中华人民共和国预算法实施条例》等相关文件要求，不断提高绩效管理工作水平，使绩效管理工作更上一个台阶。</w:t>
      </w:r>
    </w:p>
    <w:p>
      <w:pPr>
        <w:spacing w:line="580" w:lineRule="exact"/>
        <w:ind w:left="63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市委办</w:t>
      </w:r>
      <w:r>
        <w:rPr>
          <w:rFonts w:hint="eastAsia" w:ascii="仿宋_GB2312" w:hAnsi="仿宋_GB2312" w:eastAsia="仿宋_GB2312" w:cs="仿宋_GB2312"/>
          <w:sz w:val="32"/>
          <w:szCs w:val="32"/>
        </w:rPr>
        <w:t>2019年部门整体支出绩效评价报告》见附件（附件1）。</w:t>
      </w:r>
    </w:p>
    <w:p>
      <w:pPr>
        <w:spacing w:line="580" w:lineRule="exact"/>
        <w:ind w:firstLine="640" w:firstLineChars="200"/>
        <w:jc w:val="both"/>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“统筹推进市委重大决策部署</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开展了绩效评价，《</w:t>
      </w:r>
      <w:r>
        <w:rPr>
          <w:rFonts w:hint="eastAsia" w:ascii="仿宋_GB2312" w:hAnsi="仿宋_GB2312" w:eastAsia="仿宋_GB2312" w:cs="仿宋_GB2312"/>
          <w:sz w:val="32"/>
          <w:szCs w:val="32"/>
          <w:lang w:eastAsia="zh-CN"/>
        </w:rPr>
        <w:t>“统筹推进市委重大决策部署”项目</w:t>
      </w:r>
      <w:r>
        <w:rPr>
          <w:rFonts w:hint="eastAsia" w:ascii="仿宋_GB2312" w:hAnsi="仿宋_GB2312" w:eastAsia="仿宋_GB2312" w:cs="仿宋_GB2312"/>
          <w:sz w:val="32"/>
          <w:szCs w:val="32"/>
        </w:rPr>
        <w:t>2019年绩效评价报告》见附件（附件2）。</w:t>
      </w:r>
    </w:p>
    <w:p>
      <w:pPr>
        <w:widowControl/>
        <w:jc w:val="both"/>
        <w:rPr>
          <w:rFonts w:ascii="黑体" w:hAnsi="黑体" w:eastAsia="黑体"/>
          <w:color w:val="0000FF"/>
          <w:sz w:val="32"/>
          <w:szCs w:val="32"/>
        </w:rPr>
      </w:pPr>
      <w:r>
        <w:rPr>
          <w:rFonts w:ascii="仿宋_GB2312" w:eastAsia="仿宋_GB2312"/>
          <w:b/>
          <w:color w:val="000000"/>
          <w:sz w:val="32"/>
          <w:szCs w:val="32"/>
        </w:rPr>
        <w:br w:type="page"/>
      </w:r>
    </w:p>
    <w:p>
      <w:pPr>
        <w:numPr>
          <w:ilvl w:val="0"/>
          <w:numId w:val="4"/>
        </w:numPr>
        <w:autoSpaceDE w:val="0"/>
        <w:autoSpaceDN w:val="0"/>
        <w:adjustRightInd w:val="0"/>
        <w:spacing w:line="480" w:lineRule="exact"/>
        <w:jc w:val="center"/>
        <w:rPr>
          <w:rFonts w:hint="eastAsia" w:ascii="黑体" w:eastAsia="黑体"/>
          <w:color w:val="000000" w:themeColor="text1"/>
          <w:sz w:val="44"/>
          <w:szCs w:val="44"/>
        </w:rPr>
      </w:pPr>
      <w:r>
        <w:rPr>
          <w:rFonts w:hint="eastAsia" w:ascii="黑体" w:eastAsia="黑体"/>
          <w:color w:val="000000" w:themeColor="text1"/>
          <w:sz w:val="44"/>
          <w:szCs w:val="44"/>
        </w:rPr>
        <w:t>名词解释</w:t>
      </w:r>
    </w:p>
    <w:p>
      <w:pPr>
        <w:pStyle w:val="2"/>
        <w:numPr>
          <w:ilvl w:val="0"/>
          <w:numId w:val="0"/>
        </w:numPr>
        <w:jc w:val="both"/>
      </w:pPr>
    </w:p>
    <w:p>
      <w:pPr>
        <w:pStyle w:val="19"/>
        <w:spacing w:line="48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1.财政拨款收入：指单位从同级财政部门取得的财政预算资金。</w:t>
      </w:r>
    </w:p>
    <w:p>
      <w:pPr>
        <w:pStyle w:val="19"/>
        <w:spacing w:line="48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2.年初结转和结余：指以前年度尚未完成、结转到本年按有关规定继续使用的资金。 </w:t>
      </w:r>
    </w:p>
    <w:p>
      <w:pPr>
        <w:spacing w:line="48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3.基本支出：指为保障机构正常运转、完成日常工作任务而发生的人员支出和公用支出。</w:t>
      </w:r>
    </w:p>
    <w:p>
      <w:pPr>
        <w:spacing w:line="48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4.项目支出：指在基本支出之外为完成特定行政任务和事业发展目标所发生的支出。 </w:t>
      </w:r>
    </w:p>
    <w:p>
      <w:pPr>
        <w:pStyle w:val="19"/>
        <w:spacing w:line="48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48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480" w:lineRule="exact"/>
        <w:ind w:firstLine="640" w:firstLineChars="200"/>
        <w:jc w:val="both"/>
        <w:rPr>
          <w:rFonts w:ascii="仿宋_GB2312" w:hAnsi="仿宋" w:eastAsia="仿宋_GB2312"/>
          <w:color w:val="000000" w:themeColor="text1"/>
          <w:sz w:val="32"/>
          <w:szCs w:val="32"/>
        </w:rPr>
      </w:pPr>
    </w:p>
    <w:p>
      <w:pPr>
        <w:rPr>
          <w:rFonts w:ascii="仿宋_GB2312" w:hAnsi="仿宋" w:eastAsia="仿宋_GB2312"/>
          <w:color w:val="0000FF"/>
          <w:sz w:val="32"/>
          <w:szCs w:val="32"/>
        </w:rPr>
      </w:pPr>
    </w:p>
    <w:bookmarkEnd w:id="5"/>
    <w:p>
      <w:pPr>
        <w:rPr>
          <w:rFonts w:ascii="仿宋_GB2312" w:hAnsi="仿宋" w:eastAsia="仿宋_GB2312"/>
          <w:color w:val="0000FF"/>
          <w:sz w:val="32"/>
          <w:szCs w:val="32"/>
        </w:rPr>
      </w:pPr>
    </w:p>
    <w:p>
      <w:pPr>
        <w:pStyle w:val="2"/>
        <w:rPr>
          <w:rFonts w:ascii="仿宋_GB2312" w:hAnsi="仿宋" w:eastAsia="仿宋_GB2312"/>
          <w:color w:val="0000FF"/>
          <w:sz w:val="32"/>
          <w:szCs w:val="32"/>
        </w:rPr>
      </w:pPr>
    </w:p>
    <w:p>
      <w:pPr>
        <w:pStyle w:val="2"/>
        <w:rPr>
          <w:rFonts w:ascii="仿宋_GB2312" w:hAnsi="仿宋" w:eastAsia="仿宋_GB2312"/>
          <w:color w:val="0000FF"/>
          <w:sz w:val="32"/>
          <w:szCs w:val="32"/>
        </w:rPr>
      </w:pPr>
    </w:p>
    <w:p>
      <w:pPr>
        <w:spacing w:line="600" w:lineRule="exact"/>
        <w:jc w:val="center"/>
        <w:outlineLvl w:val="0"/>
        <w:rPr>
          <w:rStyle w:val="21"/>
          <w:rFonts w:ascii="黑体" w:hAnsi="黑体" w:eastAsia="黑体"/>
          <w:b w:val="0"/>
        </w:rPr>
      </w:pPr>
      <w:bookmarkStart w:id="52" w:name="_Toc15396614"/>
      <w:r>
        <w:rPr>
          <w:rFonts w:hint="eastAsia" w:ascii="黑体" w:hAnsi="黑体" w:eastAsia="黑体"/>
          <w:color w:val="000000"/>
          <w:sz w:val="44"/>
          <w:szCs w:val="44"/>
        </w:rPr>
        <w:t>第</w:t>
      </w:r>
      <w:r>
        <w:rPr>
          <w:rStyle w:val="21"/>
          <w:rFonts w:hint="eastAsia" w:ascii="黑体" w:hAnsi="黑体" w:eastAsia="黑体"/>
          <w:b w:val="0"/>
        </w:rPr>
        <w:t>四部分 附件</w:t>
      </w:r>
      <w:bookmarkEnd w:id="52"/>
    </w:p>
    <w:p>
      <w:pPr>
        <w:spacing w:line="600" w:lineRule="exact"/>
        <w:jc w:val="left"/>
        <w:outlineLvl w:val="0"/>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spacing w:line="520" w:lineRule="exact"/>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p>
    <w:p>
      <w:pPr>
        <w:keepNext w:val="0"/>
        <w:keepLines w:val="0"/>
        <w:pageBreakBefore w:val="0"/>
        <w:widowControl w:val="0"/>
        <w:kinsoku/>
        <w:wordWrap/>
        <w:overflowPunct/>
        <w:topLinePunct w:val="0"/>
        <w:autoSpaceDE/>
        <w:autoSpaceDN/>
        <w:bidi w:val="0"/>
        <w:spacing w:line="520" w:lineRule="exact"/>
        <w:jc w:val="center"/>
        <w:textAlignment w:val="auto"/>
        <w:outlineLvl w:val="9"/>
        <w:rPr>
          <w:rFonts w:hint="eastAsia"/>
          <w:lang w:val="en-US" w:eastAsia="zh-CN"/>
        </w:rPr>
      </w:pPr>
      <w:r>
        <w:rPr>
          <w:rFonts w:hint="eastAsia" w:ascii="方正小标宋简体" w:hAnsi="方正小标宋简体" w:eastAsia="方正小标宋简体" w:cs="方正小标宋简体"/>
          <w:b w:val="0"/>
          <w:bCs w:val="0"/>
          <w:color w:val="000000"/>
          <w:sz w:val="44"/>
          <w:szCs w:val="44"/>
          <w:lang w:eastAsia="zh-CN"/>
        </w:rPr>
        <w:t>市委办</w:t>
      </w:r>
      <w:r>
        <w:rPr>
          <w:rFonts w:hint="eastAsia" w:ascii="方正小标宋简体" w:hAnsi="方正小标宋简体" w:eastAsia="方正小标宋简体" w:cs="方正小标宋简体"/>
          <w:b w:val="0"/>
          <w:bCs w:val="0"/>
          <w:color w:val="000000"/>
          <w:sz w:val="44"/>
          <w:szCs w:val="44"/>
          <w:lang w:val="en-US" w:eastAsia="zh-CN"/>
        </w:rPr>
        <w:t>2019年部门</w:t>
      </w:r>
      <w:r>
        <w:rPr>
          <w:rFonts w:hint="eastAsia" w:ascii="方正小标宋简体" w:hAnsi="方正小标宋简体" w:eastAsia="方正小标宋简体" w:cs="方正小标宋简体"/>
          <w:b w:val="0"/>
          <w:bCs w:val="0"/>
          <w:color w:val="000000"/>
          <w:sz w:val="44"/>
          <w:szCs w:val="44"/>
          <w:lang w:eastAsia="zh-CN"/>
        </w:rPr>
        <w:t>整体支出自评报告</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eastAsia="仿宋_GB2312"/>
          <w:lang w:eastAsia="zh-CN"/>
        </w:rPr>
      </w:pPr>
      <w:r>
        <w:rPr>
          <w:rFonts w:hint="eastAsia" w:ascii="黑体" w:hAnsi="黑体" w:eastAsia="黑体" w:cs="黑体"/>
          <w:bCs/>
          <w:color w:val="000000"/>
          <w:sz w:val="32"/>
          <w:szCs w:val="32"/>
          <w:lang w:val="en-US" w:eastAsia="zh-CN"/>
        </w:rPr>
        <w:t>一、基本情况</w:t>
      </w:r>
    </w:p>
    <w:p>
      <w:pPr>
        <w:pStyle w:val="2"/>
        <w:keepNext w:val="0"/>
        <w:keepLines w:val="0"/>
        <w:pageBreakBefore w:val="0"/>
        <w:widowControl w:val="0"/>
        <w:numPr>
          <w:ilvl w:val="0"/>
          <w:numId w:val="5"/>
        </w:numPr>
        <w:kinsoku/>
        <w:wordWrap/>
        <w:overflowPunct/>
        <w:topLinePunct w:val="0"/>
        <w:autoSpaceDE/>
        <w:autoSpaceDN/>
        <w:bidi w:val="0"/>
        <w:spacing w:line="540" w:lineRule="exact"/>
        <w:ind w:left="600" w:leftChars="0"/>
        <w:jc w:val="both"/>
        <w:textAlignment w:val="auto"/>
        <w:rPr>
          <w:rFonts w:hint="eastAsia" w:ascii="楷体" w:hAnsi="楷体" w:eastAsia="楷体" w:cs="楷体"/>
          <w:color w:val="000000"/>
          <w:kern w:val="2"/>
          <w:sz w:val="30"/>
          <w:szCs w:val="24"/>
          <w:lang w:val="en-US" w:eastAsia="zh-CN" w:bidi="ar-SA"/>
        </w:rPr>
      </w:pPr>
      <w:r>
        <w:rPr>
          <w:rFonts w:hint="eastAsia" w:ascii="楷体" w:hAnsi="楷体" w:eastAsia="楷体" w:cs="楷体"/>
          <w:color w:val="000000"/>
          <w:kern w:val="2"/>
          <w:sz w:val="30"/>
          <w:szCs w:val="24"/>
          <w:lang w:val="en-US" w:eastAsia="zh-CN" w:bidi="ar-SA"/>
        </w:rPr>
        <w:t>机构组成</w:t>
      </w:r>
    </w:p>
    <w:p>
      <w:pPr>
        <w:pStyle w:val="2"/>
        <w:keepNext w:val="0"/>
        <w:keepLines w:val="0"/>
        <w:pageBreakBefore w:val="0"/>
        <w:widowControl w:val="0"/>
        <w:kinsoku/>
        <w:wordWrap/>
        <w:overflowPunct/>
        <w:topLinePunct w:val="0"/>
        <w:autoSpaceDE/>
        <w:autoSpaceDN/>
        <w:bidi w:val="0"/>
        <w:adjustRightInd w:val="0"/>
        <w:snapToGrid w:val="0"/>
        <w:spacing w:before="93" w:line="540" w:lineRule="exact"/>
        <w:ind w:firstLine="672" w:firstLineChars="210"/>
        <w:jc w:val="left"/>
        <w:textAlignment w:val="auto"/>
        <w:outlineLvl w:val="9"/>
        <w:rPr>
          <w:rFonts w:hint="default"/>
          <w:color w:val="000000"/>
          <w:kern w:val="2"/>
          <w:sz w:val="30"/>
          <w:szCs w:val="24"/>
          <w:lang w:val="en-US" w:eastAsia="zh-CN" w:bidi="ar-SA"/>
        </w:rPr>
      </w:pPr>
      <w:r>
        <w:rPr>
          <w:rFonts w:hint="eastAsia" w:ascii="华文仿宋" w:hAnsi="华文仿宋" w:eastAsia="华文仿宋"/>
          <w:bCs/>
          <w:color w:val="000000"/>
          <w:sz w:val="32"/>
          <w:szCs w:val="32"/>
        </w:rPr>
        <w:t>我办为一级财政预算拨款单位，下属二级预算单位</w:t>
      </w:r>
      <w:r>
        <w:rPr>
          <w:rFonts w:hint="eastAsia" w:ascii="华文仿宋" w:hAnsi="华文仿宋" w:eastAsia="华文仿宋"/>
          <w:bCs/>
          <w:color w:val="000000"/>
          <w:sz w:val="32"/>
          <w:szCs w:val="32"/>
          <w:lang w:val="en-US" w:eastAsia="zh-CN"/>
        </w:rPr>
        <w:t>5</w:t>
      </w:r>
      <w:r>
        <w:rPr>
          <w:rFonts w:hint="eastAsia" w:ascii="华文仿宋" w:hAnsi="华文仿宋" w:eastAsia="华文仿宋"/>
          <w:bCs/>
          <w:color w:val="000000"/>
          <w:sz w:val="32"/>
          <w:szCs w:val="32"/>
        </w:rPr>
        <w:t>个。</w:t>
      </w:r>
      <w:r>
        <w:rPr>
          <w:rFonts w:hint="eastAsia" w:ascii="华文仿宋" w:hAnsi="华文仿宋" w:eastAsia="华文仿宋"/>
          <w:bCs/>
          <w:color w:val="000000"/>
          <w:sz w:val="32"/>
          <w:szCs w:val="32"/>
          <w:lang w:eastAsia="zh-CN"/>
        </w:rPr>
        <w:t>包含市委办机关（本级）、市委党政网管理中心、市委常委办、市委综合室、市委信息室、市机关保卫处。</w:t>
      </w:r>
    </w:p>
    <w:p>
      <w:pPr>
        <w:pStyle w:val="2"/>
        <w:keepNext w:val="0"/>
        <w:keepLines w:val="0"/>
        <w:pageBreakBefore w:val="0"/>
        <w:widowControl w:val="0"/>
        <w:numPr>
          <w:ilvl w:val="0"/>
          <w:numId w:val="5"/>
        </w:numPr>
        <w:kinsoku/>
        <w:wordWrap/>
        <w:overflowPunct/>
        <w:topLinePunct w:val="0"/>
        <w:autoSpaceDE/>
        <w:autoSpaceDN/>
        <w:bidi w:val="0"/>
        <w:spacing w:line="540" w:lineRule="exact"/>
        <w:ind w:left="600" w:leftChars="0"/>
        <w:jc w:val="left"/>
        <w:textAlignment w:val="auto"/>
        <w:rPr>
          <w:rFonts w:hint="eastAsia" w:ascii="仿宋" w:hAnsi="仿宋" w:eastAsia="仿宋" w:cs="仿宋"/>
          <w:color w:val="000000"/>
          <w:sz w:val="32"/>
          <w:szCs w:val="32"/>
        </w:rPr>
      </w:pPr>
      <w:r>
        <w:rPr>
          <w:rFonts w:hint="eastAsia" w:ascii="楷体" w:hAnsi="楷体" w:eastAsia="楷体" w:cs="楷体"/>
          <w:color w:val="000000"/>
          <w:kern w:val="2"/>
          <w:sz w:val="30"/>
          <w:szCs w:val="24"/>
          <w:lang w:val="en-US" w:eastAsia="zh-CN" w:bidi="ar-SA"/>
        </w:rPr>
        <w:t>机构职能</w:t>
      </w:r>
    </w:p>
    <w:p>
      <w:pPr>
        <w:pStyle w:val="2"/>
        <w:keepNext w:val="0"/>
        <w:keepLines w:val="0"/>
        <w:pageBreakBefore w:val="0"/>
        <w:widowControl w:val="0"/>
        <w:numPr>
          <w:ilvl w:val="0"/>
          <w:numId w:val="0"/>
        </w:numPr>
        <w:kinsoku/>
        <w:wordWrap/>
        <w:overflowPunct/>
        <w:topLinePunct w:val="0"/>
        <w:autoSpaceDE/>
        <w:autoSpaceDN/>
        <w:bidi w:val="0"/>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）在市委领导下，统筹协调、处理市委日常事务。</w:t>
      </w:r>
    </w:p>
    <w:p>
      <w:pPr>
        <w:keepNext w:val="0"/>
        <w:keepLines w:val="0"/>
        <w:pageBreakBefore w:val="0"/>
        <w:kinsoku/>
        <w:wordWrap/>
        <w:overflowPunct/>
        <w:topLinePunct/>
        <w:autoSpaceDE/>
        <w:autoSpaceDN/>
        <w:bidi w:val="0"/>
        <w:adjustRightInd/>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（二）负责市委文件的起草、审核、印发工作；负责市委领导讲话、报告等文稿的起草、审核、印发工作。   </w:t>
      </w:r>
    </w:p>
    <w:p>
      <w:pPr>
        <w:keepNext w:val="0"/>
        <w:keepLines w:val="0"/>
        <w:pageBreakBefore w:val="0"/>
        <w:kinsoku/>
        <w:wordWrap/>
        <w:overflowPunct/>
        <w:topLinePunct/>
        <w:autoSpaceDE/>
        <w:autoSpaceDN/>
        <w:bidi w:val="0"/>
        <w:adjustRightInd/>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（三）负责市党代会，市委全体会议、常委会会议、专题会议和部分市委工作会议、全市性重大会议的组织协调工作。</w:t>
      </w:r>
    </w:p>
    <w:p>
      <w:pPr>
        <w:keepNext w:val="0"/>
        <w:keepLines w:val="0"/>
        <w:pageBreakBefore w:val="0"/>
        <w:kinsoku/>
        <w:wordWrap/>
        <w:overflowPunct/>
        <w:topLinePunct/>
        <w:autoSpaceDE/>
        <w:autoSpaceDN/>
        <w:bidi w:val="0"/>
        <w:adjustRightInd/>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（四）负责市委重大活动和市委领导参加有关活动的组织协调和后勤服务。</w:t>
      </w:r>
    </w:p>
    <w:p>
      <w:pPr>
        <w:keepNext w:val="0"/>
        <w:keepLines w:val="0"/>
        <w:pageBreakBefore w:val="0"/>
        <w:kinsoku/>
        <w:wordWrap/>
        <w:overflowPunct/>
        <w:topLinePunct/>
        <w:autoSpaceDE/>
        <w:autoSpaceDN/>
        <w:bidi w:val="0"/>
        <w:adjustRightInd/>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（五）负责围绕中央、省委、市委重大决策部署开展调查研究，提供决策参考。</w:t>
      </w:r>
    </w:p>
    <w:p>
      <w:pPr>
        <w:keepNext w:val="0"/>
        <w:keepLines w:val="0"/>
        <w:pageBreakBefore w:val="0"/>
        <w:kinsoku/>
        <w:wordWrap/>
        <w:overflowPunct/>
        <w:topLinePunct/>
        <w:autoSpaceDE/>
        <w:autoSpaceDN/>
        <w:bidi w:val="0"/>
        <w:adjustRightInd/>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（六）负责协调推动市委决策部署和市委领导批示、交办事项等的督促落实。</w:t>
      </w:r>
    </w:p>
    <w:p>
      <w:pPr>
        <w:keepNext w:val="0"/>
        <w:keepLines w:val="0"/>
        <w:pageBreakBefore w:val="0"/>
        <w:kinsoku/>
        <w:wordWrap/>
        <w:overflowPunct/>
        <w:topLinePunct/>
        <w:autoSpaceDE/>
        <w:autoSpaceDN/>
        <w:bidi w:val="0"/>
        <w:adjustRightInd/>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）负责编印、报送党务信息、工作信息和突发信息等工作。</w:t>
      </w:r>
    </w:p>
    <w:p>
      <w:pPr>
        <w:keepNext w:val="0"/>
        <w:keepLines w:val="0"/>
        <w:pageBreakBefore w:val="0"/>
        <w:kinsoku/>
        <w:wordWrap/>
        <w:overflowPunct/>
        <w:topLinePunct/>
        <w:autoSpaceDE/>
        <w:autoSpaceDN/>
        <w:bidi w:val="0"/>
        <w:adjustRightInd/>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（八）负责全市外事和港澳事务工作，承担市委外事委员会办公室日常工作。</w:t>
      </w:r>
    </w:p>
    <w:p>
      <w:pPr>
        <w:keepNext w:val="0"/>
        <w:keepLines w:val="0"/>
        <w:pageBreakBefore w:val="0"/>
        <w:widowControl/>
        <w:kinsoku/>
        <w:wordWrap/>
        <w:overflowPunct/>
        <w:autoSpaceDE/>
        <w:autoSpaceDN/>
        <w:bidi w:val="0"/>
        <w:adjustRightInd/>
        <w:snapToGrid w:val="0"/>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（九）负责全市国家安全事务工作，承担市委国家安全委员会办公室日常工作。</w:t>
      </w:r>
    </w:p>
    <w:p>
      <w:pPr>
        <w:keepNext w:val="0"/>
        <w:keepLines w:val="0"/>
        <w:pageBreakBefore w:val="0"/>
        <w:widowControl/>
        <w:kinsoku/>
        <w:wordWrap/>
        <w:overflowPunct/>
        <w:autoSpaceDE/>
        <w:autoSpaceDN/>
        <w:bidi w:val="0"/>
        <w:adjustRightInd/>
        <w:snapToGrid w:val="0"/>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（十）负责全市档案工作业务指导、法规宣传、执法检查等档案行政管理工作。</w:t>
      </w:r>
    </w:p>
    <w:p>
      <w:pPr>
        <w:keepNext w:val="0"/>
        <w:keepLines w:val="0"/>
        <w:pageBreakBefore w:val="0"/>
        <w:widowControl/>
        <w:kinsoku/>
        <w:wordWrap/>
        <w:overflowPunct/>
        <w:autoSpaceDE/>
        <w:autoSpaceDN/>
        <w:bidi w:val="0"/>
        <w:adjustRightInd/>
        <w:snapToGrid w:val="0"/>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（十一）负责全市党政网（电子政务内网）和专用通信网络的规划、建设、管理和运营</w:t>
      </w:r>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HYPERLINK "https://baike.so.com/doc/257070-272132.html" \t "_blank" </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rPr>
        <w:t>维护</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及高清视频会议的服务工作。</w:t>
      </w:r>
    </w:p>
    <w:p>
      <w:pPr>
        <w:keepNext w:val="0"/>
        <w:keepLines w:val="0"/>
        <w:pageBreakBefore w:val="0"/>
        <w:widowControl/>
        <w:kinsoku/>
        <w:wordWrap/>
        <w:overflowPunct/>
        <w:autoSpaceDE/>
        <w:autoSpaceDN/>
        <w:bidi w:val="0"/>
        <w:adjustRightInd/>
        <w:snapToGrid w:val="0"/>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）负责市委党务公开和全市党务公开工作的业务指导和监督检查。</w:t>
      </w:r>
    </w:p>
    <w:p>
      <w:pPr>
        <w:keepNext w:val="0"/>
        <w:keepLines w:val="0"/>
        <w:pageBreakBefore w:val="0"/>
        <w:widowControl/>
        <w:kinsoku/>
        <w:wordWrap/>
        <w:overflowPunct/>
        <w:autoSpaceDE/>
        <w:autoSpaceDN/>
        <w:bidi w:val="0"/>
        <w:adjustRightInd/>
        <w:snapToGrid w:val="0"/>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（十三）负责市委值班值守和印章使用、管理；配合市公安局做好市政大楼、周转房的安全保卫工作。</w:t>
      </w:r>
    </w:p>
    <w:p>
      <w:pPr>
        <w:keepNext w:val="0"/>
        <w:keepLines w:val="0"/>
        <w:pageBreakBefore w:val="0"/>
        <w:widowControl/>
        <w:kinsoku/>
        <w:wordWrap/>
        <w:overflowPunct/>
        <w:autoSpaceDE/>
        <w:autoSpaceDN/>
        <w:bidi w:val="0"/>
        <w:adjustRightInd/>
        <w:snapToGrid w:val="0"/>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（十四）归口管理市目标绩效管理办公室、市委保密机要局。</w:t>
      </w:r>
    </w:p>
    <w:p>
      <w:pPr>
        <w:keepNext w:val="0"/>
        <w:keepLines w:val="0"/>
        <w:pageBreakBefore w:val="0"/>
        <w:widowControl/>
        <w:kinsoku/>
        <w:wordWrap/>
        <w:overflowPunct/>
        <w:autoSpaceDE/>
        <w:autoSpaceDN/>
        <w:bidi w:val="0"/>
        <w:adjustRightInd/>
        <w:snapToGrid w:val="0"/>
        <w:spacing w:line="54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（十五）完成市委交办的其他任务。 </w:t>
      </w:r>
    </w:p>
    <w:p>
      <w:pPr>
        <w:pStyle w:val="2"/>
        <w:keepNext w:val="0"/>
        <w:keepLines w:val="0"/>
        <w:pageBreakBefore w:val="0"/>
        <w:widowControl w:val="0"/>
        <w:numPr>
          <w:ilvl w:val="0"/>
          <w:numId w:val="5"/>
        </w:numPr>
        <w:kinsoku/>
        <w:wordWrap/>
        <w:overflowPunct/>
        <w:topLinePunct w:val="0"/>
        <w:autoSpaceDE/>
        <w:autoSpaceDN/>
        <w:bidi w:val="0"/>
        <w:spacing w:line="540" w:lineRule="exact"/>
        <w:ind w:left="600" w:leftChars="0"/>
        <w:jc w:val="left"/>
        <w:textAlignment w:val="auto"/>
        <w:rPr>
          <w:rFonts w:hint="default" w:ascii="楷体" w:hAnsi="楷体" w:eastAsia="楷体" w:cs="楷体"/>
          <w:color w:val="000000"/>
          <w:kern w:val="2"/>
          <w:sz w:val="30"/>
          <w:szCs w:val="24"/>
          <w:lang w:val="en-US" w:eastAsia="zh-CN" w:bidi="ar-SA"/>
        </w:rPr>
      </w:pPr>
      <w:r>
        <w:rPr>
          <w:rFonts w:hint="eastAsia" w:ascii="楷体" w:hAnsi="楷体" w:eastAsia="楷体" w:cs="楷体"/>
          <w:color w:val="000000"/>
          <w:kern w:val="2"/>
          <w:sz w:val="30"/>
          <w:szCs w:val="24"/>
          <w:lang w:val="en-US" w:eastAsia="zh-CN" w:bidi="ar-SA"/>
        </w:rPr>
        <w:t>人员概况</w:t>
      </w:r>
    </w:p>
    <w:p>
      <w:pPr>
        <w:pStyle w:val="2"/>
        <w:keepNext w:val="0"/>
        <w:keepLines w:val="0"/>
        <w:pageBreakBefore w:val="0"/>
        <w:widowControl w:val="0"/>
        <w:kinsoku/>
        <w:wordWrap/>
        <w:overflowPunct/>
        <w:topLinePunct w:val="0"/>
        <w:autoSpaceDE/>
        <w:autoSpaceDN/>
        <w:bidi w:val="0"/>
        <w:adjustRightInd w:val="0"/>
        <w:snapToGrid w:val="0"/>
        <w:spacing w:before="93" w:line="540" w:lineRule="exact"/>
        <w:ind w:firstLine="672" w:firstLineChars="210"/>
        <w:jc w:val="left"/>
        <w:textAlignment w:val="auto"/>
        <w:outlineLvl w:val="9"/>
        <w:rPr>
          <w:rFonts w:hint="eastAsia" w:ascii="华文仿宋" w:hAnsi="华文仿宋" w:eastAsia="华文仿宋" w:cs="Times New Roman"/>
          <w:bCs/>
          <w:color w:val="000000"/>
          <w:sz w:val="32"/>
          <w:szCs w:val="32"/>
          <w:lang w:val="en-US" w:eastAsia="zh-CN"/>
        </w:rPr>
      </w:pPr>
      <w:r>
        <w:rPr>
          <w:rFonts w:hint="eastAsia" w:hAnsi="宋体"/>
          <w:bCs/>
          <w:color w:val="000000"/>
          <w:sz w:val="32"/>
          <w:szCs w:val="32"/>
          <w:lang w:val="en-US" w:eastAsia="zh-CN"/>
        </w:rPr>
        <w:t>2019</w:t>
      </w:r>
      <w:r>
        <w:rPr>
          <w:rFonts w:hint="eastAsia" w:hAnsi="宋体"/>
          <w:bCs/>
          <w:color w:val="000000"/>
          <w:sz w:val="32"/>
          <w:szCs w:val="32"/>
          <w:lang w:eastAsia="zh-CN"/>
        </w:rPr>
        <w:t>年初预算全办在职财拨人员</w:t>
      </w:r>
      <w:r>
        <w:rPr>
          <w:rFonts w:hint="eastAsia" w:hAnsi="宋体"/>
          <w:bCs/>
          <w:color w:val="000000"/>
          <w:sz w:val="32"/>
          <w:szCs w:val="32"/>
          <w:lang w:val="en-US" w:eastAsia="zh-CN"/>
        </w:rPr>
        <w:t>78人，因机构改革及</w:t>
      </w:r>
      <w:r>
        <w:rPr>
          <w:rFonts w:hint="eastAsia" w:ascii="华文仿宋" w:hAnsi="华文仿宋" w:eastAsia="华文仿宋" w:cs="Times New Roman"/>
          <w:bCs/>
          <w:color w:val="000000"/>
          <w:sz w:val="32"/>
          <w:szCs w:val="32"/>
          <w:lang w:val="en-US" w:eastAsia="zh-CN"/>
        </w:rPr>
        <w:t>工作需要，年内调动、划转、交流34人，年末实有在职财拨人员71人。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93" w:line="540" w:lineRule="exact"/>
        <w:ind w:left="600" w:leftChars="0"/>
        <w:textAlignment w:val="auto"/>
        <w:outlineLvl w:val="9"/>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二、部门财政收支情况</w:t>
      </w:r>
    </w:p>
    <w:p>
      <w:pPr>
        <w:pStyle w:val="2"/>
        <w:keepNext w:val="0"/>
        <w:keepLines w:val="0"/>
        <w:pageBreakBefore w:val="0"/>
        <w:widowControl w:val="0"/>
        <w:numPr>
          <w:ilvl w:val="0"/>
          <w:numId w:val="6"/>
        </w:numPr>
        <w:kinsoku/>
        <w:wordWrap/>
        <w:overflowPunct/>
        <w:topLinePunct w:val="0"/>
        <w:autoSpaceDE/>
        <w:autoSpaceDN/>
        <w:bidi w:val="0"/>
        <w:adjustRightInd w:val="0"/>
        <w:snapToGrid w:val="0"/>
        <w:spacing w:before="93" w:line="540" w:lineRule="exact"/>
        <w:ind w:left="600" w:leftChars="0"/>
        <w:jc w:val="left"/>
        <w:textAlignment w:val="auto"/>
        <w:outlineLvl w:val="9"/>
        <w:rPr>
          <w:rFonts w:hint="eastAsia" w:ascii="楷体" w:hAnsi="楷体" w:eastAsia="楷体" w:cs="楷体"/>
          <w:bCs/>
          <w:color w:val="000000"/>
          <w:sz w:val="32"/>
          <w:szCs w:val="32"/>
          <w:shd w:val="clear" w:color="auto" w:fill="auto"/>
          <w:lang w:val="en-US" w:eastAsia="zh-CN"/>
        </w:rPr>
      </w:pPr>
      <w:r>
        <w:rPr>
          <w:rFonts w:hint="eastAsia" w:ascii="楷体" w:hAnsi="楷体" w:eastAsia="楷体" w:cs="楷体"/>
          <w:bCs/>
          <w:color w:val="000000"/>
          <w:sz w:val="32"/>
          <w:szCs w:val="32"/>
          <w:shd w:val="clear" w:color="auto" w:fill="auto"/>
          <w:lang w:val="en-US" w:eastAsia="zh-CN"/>
        </w:rPr>
        <w:t>部门财政资金收入情况</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outlineLvl w:val="9"/>
        <w:rPr>
          <w:rFonts w:hint="default" w:ascii="仿宋_GB2312" w:hAnsi="宋体" w:eastAsia="仿宋_GB2312"/>
          <w:bCs/>
          <w:color w:val="000000"/>
          <w:kern w:val="2"/>
          <w:sz w:val="32"/>
          <w:szCs w:val="32"/>
          <w:lang w:val="en-US" w:eastAsia="zh-CN" w:bidi="ar-SA"/>
        </w:rPr>
      </w:pPr>
      <w:r>
        <w:rPr>
          <w:rFonts w:hint="eastAsia" w:ascii="仿宋_GB2312" w:hAnsi="宋体" w:eastAsia="仿宋_GB2312"/>
          <w:bCs/>
          <w:color w:val="000000"/>
          <w:kern w:val="2"/>
          <w:sz w:val="32"/>
          <w:szCs w:val="32"/>
          <w:lang w:val="en-US" w:eastAsia="zh-CN" w:bidi="ar-SA"/>
        </w:rPr>
        <w:t xml:space="preserve"> 年初预算1604.5万元，较上年减少320万元，降低16.63%，主要原因为机构改革部分部门划转及按财政要求压缩项目资金。年度调整预算数3690.76万元，主要原因为追加相关资金，保障正常运转。</w:t>
      </w:r>
    </w:p>
    <w:p>
      <w:pPr>
        <w:pStyle w:val="2"/>
        <w:keepNext w:val="0"/>
        <w:keepLines w:val="0"/>
        <w:pageBreakBefore w:val="0"/>
        <w:widowControl w:val="0"/>
        <w:numPr>
          <w:ilvl w:val="0"/>
          <w:numId w:val="6"/>
        </w:numPr>
        <w:kinsoku/>
        <w:wordWrap/>
        <w:overflowPunct/>
        <w:topLinePunct w:val="0"/>
        <w:autoSpaceDE/>
        <w:autoSpaceDN/>
        <w:bidi w:val="0"/>
        <w:adjustRightInd w:val="0"/>
        <w:snapToGrid w:val="0"/>
        <w:spacing w:before="93" w:line="540" w:lineRule="exact"/>
        <w:ind w:left="600" w:leftChars="0"/>
        <w:jc w:val="left"/>
        <w:textAlignment w:val="auto"/>
        <w:outlineLvl w:val="9"/>
        <w:rPr>
          <w:rFonts w:hint="eastAsia" w:ascii="楷体" w:hAnsi="楷体" w:eastAsia="楷体" w:cs="楷体"/>
          <w:bCs/>
          <w:color w:val="000000"/>
          <w:sz w:val="32"/>
          <w:szCs w:val="32"/>
          <w:shd w:val="clear" w:color="auto" w:fill="auto"/>
          <w:lang w:val="en-US" w:eastAsia="zh-CN"/>
        </w:rPr>
      </w:pPr>
      <w:r>
        <w:rPr>
          <w:rFonts w:hint="eastAsia" w:ascii="楷体" w:hAnsi="楷体" w:eastAsia="楷体" w:cs="楷体"/>
          <w:bCs/>
          <w:color w:val="000000"/>
          <w:sz w:val="32"/>
          <w:szCs w:val="32"/>
          <w:shd w:val="clear" w:color="auto" w:fill="auto"/>
          <w:lang w:val="en-US" w:eastAsia="zh-CN"/>
        </w:rPr>
        <w:t>部门财政资金支出情况</w:t>
      </w:r>
    </w:p>
    <w:p>
      <w:pPr>
        <w:keepNext w:val="0"/>
        <w:keepLines w:val="0"/>
        <w:pageBreakBefore w:val="0"/>
        <w:widowControl w:val="0"/>
        <w:kinsoku/>
        <w:wordWrap/>
        <w:overflowPunct/>
        <w:topLinePunct w:val="0"/>
        <w:autoSpaceDE/>
        <w:autoSpaceDN/>
        <w:bidi w:val="0"/>
        <w:adjustRightInd/>
        <w:spacing w:line="540" w:lineRule="exact"/>
        <w:ind w:firstLine="640" w:firstLineChars="200"/>
        <w:jc w:val="both"/>
        <w:textAlignment w:val="auto"/>
        <w:rPr>
          <w:rFonts w:hint="eastAsia" w:ascii="华文仿宋" w:hAnsi="华文仿宋" w:eastAsia="华文仿宋"/>
          <w:bCs/>
          <w:color w:val="000000"/>
          <w:sz w:val="32"/>
          <w:szCs w:val="32"/>
          <w:shd w:val="clear" w:color="auto" w:fill="auto"/>
          <w:lang w:eastAsia="zh-CN"/>
        </w:rPr>
      </w:pPr>
      <w:r>
        <w:rPr>
          <w:rFonts w:hint="eastAsia" w:ascii="黑体" w:hAnsi="黑体" w:eastAsia="黑体" w:cs="黑体"/>
          <w:bCs/>
          <w:color w:val="000000"/>
          <w:sz w:val="32"/>
          <w:szCs w:val="32"/>
          <w:shd w:val="clear" w:color="auto" w:fill="auto"/>
          <w:lang w:val="en-US" w:eastAsia="zh-CN"/>
        </w:rPr>
        <w:t xml:space="preserve"> </w:t>
      </w:r>
      <w:r>
        <w:rPr>
          <w:rFonts w:hint="eastAsia" w:ascii="华文仿宋" w:hAnsi="华文仿宋" w:eastAsia="华文仿宋"/>
          <w:bCs/>
          <w:color w:val="000000"/>
          <w:sz w:val="32"/>
          <w:szCs w:val="32"/>
          <w:shd w:val="clear" w:color="auto" w:fill="auto"/>
        </w:rPr>
        <w:t>市委办201</w:t>
      </w:r>
      <w:r>
        <w:rPr>
          <w:rFonts w:hint="eastAsia" w:ascii="华文仿宋" w:hAnsi="华文仿宋" w:eastAsia="华文仿宋"/>
          <w:bCs/>
          <w:color w:val="000000"/>
          <w:sz w:val="32"/>
          <w:szCs w:val="32"/>
          <w:shd w:val="clear" w:color="auto" w:fill="auto"/>
          <w:lang w:val="en-US" w:eastAsia="zh-CN"/>
        </w:rPr>
        <w:t>9</w:t>
      </w:r>
      <w:r>
        <w:rPr>
          <w:rFonts w:hint="eastAsia" w:ascii="华文仿宋" w:hAnsi="华文仿宋" w:eastAsia="华文仿宋"/>
          <w:bCs/>
          <w:color w:val="000000"/>
          <w:sz w:val="32"/>
          <w:szCs w:val="32"/>
          <w:shd w:val="clear" w:color="auto" w:fill="auto"/>
        </w:rPr>
        <w:t>年一般公共预算财政拨款支出</w:t>
      </w:r>
      <w:r>
        <w:rPr>
          <w:rFonts w:hint="eastAsia" w:ascii="华文仿宋" w:hAnsi="华文仿宋" w:eastAsia="华文仿宋"/>
          <w:bCs/>
          <w:color w:val="000000"/>
          <w:sz w:val="32"/>
          <w:szCs w:val="32"/>
          <w:shd w:val="clear" w:color="auto" w:fill="auto"/>
          <w:lang w:val="en-US" w:eastAsia="zh-CN"/>
        </w:rPr>
        <w:t>3107.06</w:t>
      </w:r>
      <w:r>
        <w:rPr>
          <w:rFonts w:hint="eastAsia" w:ascii="华文仿宋" w:hAnsi="华文仿宋" w:eastAsia="华文仿宋"/>
          <w:bCs/>
          <w:color w:val="000000"/>
          <w:sz w:val="32"/>
          <w:szCs w:val="32"/>
          <w:shd w:val="clear" w:color="auto" w:fill="auto"/>
        </w:rPr>
        <w:t>万元</w:t>
      </w:r>
      <w:r>
        <w:rPr>
          <w:rFonts w:hint="eastAsia" w:ascii="华文仿宋" w:hAnsi="华文仿宋" w:eastAsia="华文仿宋"/>
          <w:bCs/>
          <w:color w:val="000000"/>
          <w:sz w:val="32"/>
          <w:szCs w:val="32"/>
          <w:shd w:val="clear" w:color="auto" w:fill="auto"/>
          <w:lang w:eastAsia="zh-CN"/>
        </w:rPr>
        <w:t>，</w:t>
      </w:r>
      <w:r>
        <w:rPr>
          <w:rFonts w:hint="eastAsia" w:ascii="华文仿宋" w:hAnsi="华文仿宋" w:eastAsia="华文仿宋"/>
          <w:bCs/>
          <w:color w:val="000000"/>
          <w:sz w:val="32"/>
          <w:szCs w:val="32"/>
          <w:shd w:val="clear" w:color="auto" w:fill="auto"/>
          <w:lang w:val="en-US" w:eastAsia="zh-CN"/>
        </w:rPr>
        <w:t xml:space="preserve"> 其中</w:t>
      </w:r>
      <w:r>
        <w:rPr>
          <w:rFonts w:hint="eastAsia" w:ascii="华文仿宋" w:hAnsi="华文仿宋" w:eastAsia="华文仿宋"/>
          <w:bCs/>
          <w:color w:val="000000"/>
          <w:sz w:val="32"/>
          <w:szCs w:val="32"/>
          <w:shd w:val="clear" w:color="auto" w:fill="auto"/>
        </w:rPr>
        <w:t>基本支出</w:t>
      </w:r>
      <w:r>
        <w:rPr>
          <w:rFonts w:hint="eastAsia" w:ascii="华文仿宋" w:hAnsi="华文仿宋" w:eastAsia="华文仿宋"/>
          <w:bCs/>
          <w:color w:val="000000"/>
          <w:sz w:val="32"/>
          <w:szCs w:val="32"/>
          <w:shd w:val="clear" w:color="auto" w:fill="auto"/>
          <w:lang w:val="en-US" w:eastAsia="zh-CN"/>
        </w:rPr>
        <w:t>1519.08</w:t>
      </w:r>
      <w:r>
        <w:rPr>
          <w:rFonts w:hint="eastAsia" w:ascii="华文仿宋" w:hAnsi="华文仿宋" w:eastAsia="华文仿宋"/>
          <w:bCs/>
          <w:color w:val="000000"/>
          <w:sz w:val="32"/>
          <w:szCs w:val="32"/>
          <w:shd w:val="clear" w:color="auto" w:fill="auto"/>
        </w:rPr>
        <w:t>万元</w:t>
      </w:r>
      <w:r>
        <w:rPr>
          <w:rFonts w:hint="eastAsia" w:ascii="华文仿宋" w:hAnsi="华文仿宋" w:eastAsia="华文仿宋"/>
          <w:bCs/>
          <w:color w:val="000000"/>
          <w:sz w:val="32"/>
          <w:szCs w:val="32"/>
          <w:shd w:val="clear" w:color="auto" w:fill="auto"/>
          <w:lang w:eastAsia="zh-CN"/>
        </w:rPr>
        <w:t>，</w:t>
      </w:r>
      <w:r>
        <w:rPr>
          <w:rFonts w:hint="eastAsia" w:ascii="华文仿宋" w:hAnsi="华文仿宋" w:eastAsia="华文仿宋"/>
          <w:bCs/>
          <w:color w:val="000000"/>
          <w:sz w:val="32"/>
          <w:szCs w:val="32"/>
          <w:shd w:val="clear" w:color="auto" w:fill="auto"/>
        </w:rPr>
        <w:t>一般公共预算财政拨款</w:t>
      </w:r>
      <w:r>
        <w:rPr>
          <w:rFonts w:hint="eastAsia" w:ascii="华文仿宋" w:hAnsi="华文仿宋" w:eastAsia="华文仿宋"/>
          <w:bCs/>
          <w:color w:val="000000"/>
          <w:sz w:val="32"/>
          <w:szCs w:val="32"/>
          <w:shd w:val="clear" w:color="auto" w:fill="auto"/>
          <w:lang w:eastAsia="zh-CN"/>
        </w:rPr>
        <w:t>项目</w:t>
      </w:r>
      <w:r>
        <w:rPr>
          <w:rFonts w:hint="eastAsia" w:ascii="华文仿宋" w:hAnsi="华文仿宋" w:eastAsia="华文仿宋"/>
          <w:bCs/>
          <w:color w:val="000000"/>
          <w:sz w:val="32"/>
          <w:szCs w:val="32"/>
          <w:shd w:val="clear" w:color="auto" w:fill="auto"/>
        </w:rPr>
        <w:t>支出</w:t>
      </w:r>
      <w:r>
        <w:rPr>
          <w:rFonts w:hint="eastAsia" w:ascii="华文仿宋" w:hAnsi="华文仿宋" w:eastAsia="华文仿宋"/>
          <w:bCs/>
          <w:color w:val="000000"/>
          <w:sz w:val="32"/>
          <w:szCs w:val="32"/>
          <w:shd w:val="clear" w:color="auto" w:fill="auto"/>
          <w:lang w:val="en-US" w:eastAsia="zh-CN"/>
        </w:rPr>
        <w:t>1587.98</w:t>
      </w:r>
      <w:r>
        <w:rPr>
          <w:rFonts w:hint="eastAsia" w:ascii="华文仿宋" w:hAnsi="华文仿宋" w:eastAsia="华文仿宋"/>
          <w:bCs/>
          <w:color w:val="000000"/>
          <w:sz w:val="32"/>
          <w:szCs w:val="32"/>
          <w:shd w:val="clear" w:color="auto" w:fill="auto"/>
        </w:rPr>
        <w:t>万</w:t>
      </w:r>
      <w:r>
        <w:rPr>
          <w:rFonts w:hint="eastAsia" w:ascii="华文仿宋" w:hAnsi="华文仿宋" w:eastAsia="华文仿宋"/>
          <w:bCs/>
          <w:color w:val="000000"/>
          <w:sz w:val="32"/>
          <w:szCs w:val="32"/>
          <w:shd w:val="clear" w:color="auto" w:fill="auto"/>
          <w:lang w:eastAsia="zh-CN"/>
        </w:rPr>
        <w:t>，均为行政事业类项目，包含资料印刷费、会议费、培训费、脱贫攻坚经费、驻村第一书记经费、依法治市经费及购买专用设备、其它资本性支出等。</w:t>
      </w:r>
    </w:p>
    <w:p>
      <w:pPr>
        <w:pStyle w:val="2"/>
        <w:keepNext w:val="0"/>
        <w:keepLines w:val="0"/>
        <w:pageBreakBefore w:val="0"/>
        <w:widowControl w:val="0"/>
        <w:numPr>
          <w:ilvl w:val="0"/>
          <w:numId w:val="0"/>
        </w:numPr>
        <w:kinsoku/>
        <w:wordWrap/>
        <w:overflowPunct/>
        <w:topLinePunct w:val="0"/>
        <w:autoSpaceDE/>
        <w:autoSpaceDN/>
        <w:bidi w:val="0"/>
        <w:spacing w:line="540" w:lineRule="exact"/>
        <w:ind w:left="600" w:leftChars="0"/>
        <w:textAlignment w:val="auto"/>
        <w:rPr>
          <w:rFonts w:hint="eastAsia" w:ascii="黑体" w:hAnsi="黑体" w:eastAsia="黑体" w:cs="黑体"/>
          <w:bCs/>
          <w:color w:val="000000"/>
          <w:sz w:val="32"/>
          <w:szCs w:val="32"/>
          <w:shd w:val="clear" w:color="auto" w:fill="auto"/>
          <w:lang w:val="en-US" w:eastAsia="zh-CN"/>
        </w:rPr>
      </w:pPr>
      <w:r>
        <w:rPr>
          <w:rFonts w:hint="eastAsia" w:ascii="黑体" w:hAnsi="黑体" w:eastAsia="黑体" w:cs="黑体"/>
          <w:bCs/>
          <w:color w:val="000000"/>
          <w:sz w:val="32"/>
          <w:szCs w:val="32"/>
          <w:shd w:val="clear" w:color="auto" w:fill="auto"/>
          <w:lang w:val="en-US" w:eastAsia="zh-CN"/>
        </w:rPr>
        <w:t>三、部门财政支出管理情况</w:t>
      </w:r>
    </w:p>
    <w:p>
      <w:pPr>
        <w:pStyle w:val="10"/>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420"/>
        <w:jc w:val="both"/>
        <w:textAlignment w:val="auto"/>
        <w:rPr>
          <w:rFonts w:hint="eastAsia" w:ascii="华文仿宋" w:hAnsi="华文仿宋" w:eastAsia="华文仿宋"/>
          <w:bCs/>
          <w:color w:val="000000"/>
          <w:kern w:val="2"/>
          <w:sz w:val="32"/>
          <w:szCs w:val="32"/>
          <w:shd w:val="clear" w:color="auto" w:fill="auto"/>
          <w:lang w:val="en-US" w:eastAsia="zh-CN" w:bidi="ar-SA"/>
        </w:rPr>
      </w:pPr>
      <w:r>
        <w:rPr>
          <w:rFonts w:hint="eastAsia" w:ascii="楷体" w:hAnsi="楷体" w:eastAsia="楷体" w:cs="楷体"/>
          <w:bCs/>
          <w:color w:val="000000"/>
          <w:kern w:val="2"/>
          <w:sz w:val="32"/>
          <w:szCs w:val="32"/>
          <w:shd w:val="clear" w:color="auto" w:fill="auto"/>
          <w:lang w:val="en-US" w:eastAsia="zh-CN" w:bidi="ar-SA"/>
        </w:rPr>
        <w:t>制度建设情况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420"/>
        <w:jc w:val="both"/>
        <w:textAlignment w:val="auto"/>
        <w:rPr>
          <w:rFonts w:hint="eastAsia" w:ascii="Times New Roman" w:hAnsi="Times New Roman" w:eastAsia="方正仿宋简体"/>
          <w:color w:val="000000"/>
          <w:sz w:val="32"/>
          <w:szCs w:val="32"/>
          <w:shd w:val="clear" w:color="auto" w:fill="auto"/>
          <w:lang w:eastAsia="zh-CN"/>
        </w:rPr>
      </w:pPr>
      <w:r>
        <w:rPr>
          <w:rFonts w:hint="eastAsia" w:ascii="华文仿宋" w:hAnsi="华文仿宋" w:eastAsia="华文仿宋"/>
          <w:bCs/>
          <w:color w:val="000000"/>
          <w:kern w:val="2"/>
          <w:sz w:val="32"/>
          <w:szCs w:val="32"/>
          <w:shd w:val="clear" w:color="auto" w:fill="auto"/>
          <w:lang w:val="en-US" w:eastAsia="zh-CN" w:bidi="ar-SA"/>
        </w:rPr>
        <w:t xml:space="preserve"> 在原有的制度上，本年度办公室新出台《中共巴中市委办公室财务管理办法》，</w:t>
      </w:r>
      <w:r>
        <w:rPr>
          <w:rFonts w:hint="eastAsia" w:ascii="Times New Roman" w:hAnsi="Times New Roman" w:eastAsia="方正仿宋简体"/>
          <w:color w:val="000000"/>
          <w:sz w:val="32"/>
          <w:szCs w:val="32"/>
          <w:shd w:val="clear" w:color="auto" w:fill="auto"/>
        </w:rPr>
        <w:t>进一步规范财务管理，严肃财经纪律</w:t>
      </w:r>
      <w:r>
        <w:rPr>
          <w:rFonts w:hint="eastAsia" w:ascii="Times New Roman" w:hAnsi="Times New Roman" w:eastAsia="方正仿宋简体"/>
          <w:color w:val="000000"/>
          <w:sz w:val="32"/>
          <w:szCs w:val="32"/>
          <w:shd w:val="clear" w:color="auto" w:fill="auto"/>
          <w:lang w:eastAsia="zh-CN"/>
        </w:rPr>
        <w:t>。</w:t>
      </w:r>
    </w:p>
    <w:p>
      <w:pPr>
        <w:pStyle w:val="10"/>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leftChars="0" w:right="0" w:rightChars="0" w:firstLine="420" w:firstLineChars="0"/>
        <w:jc w:val="both"/>
        <w:textAlignment w:val="auto"/>
        <w:rPr>
          <w:rFonts w:hint="eastAsia" w:ascii="楷体" w:hAnsi="楷体" w:eastAsia="楷体" w:cs="楷体"/>
          <w:bCs/>
          <w:color w:val="000000"/>
          <w:kern w:val="2"/>
          <w:sz w:val="32"/>
          <w:szCs w:val="32"/>
          <w:shd w:val="clear" w:color="auto" w:fill="auto"/>
          <w:lang w:val="en-US" w:eastAsia="zh-CN" w:bidi="ar-SA"/>
        </w:rPr>
      </w:pPr>
      <w:r>
        <w:rPr>
          <w:rFonts w:hint="eastAsia" w:ascii="楷体" w:hAnsi="楷体" w:eastAsia="楷体" w:cs="楷体"/>
          <w:bCs/>
          <w:color w:val="000000"/>
          <w:kern w:val="2"/>
          <w:sz w:val="32"/>
          <w:szCs w:val="32"/>
          <w:shd w:val="clear" w:color="auto" w:fill="auto"/>
          <w:lang w:val="en-US" w:eastAsia="zh-CN" w:bidi="ar-SA"/>
        </w:rPr>
        <w:t>绩效目标管理情况</w:t>
      </w:r>
    </w:p>
    <w:p>
      <w:pPr>
        <w:keepNext w:val="0"/>
        <w:keepLines w:val="0"/>
        <w:pageBreakBefore w:val="0"/>
        <w:widowControl w:val="0"/>
        <w:kinsoku/>
        <w:wordWrap/>
        <w:overflowPunct/>
        <w:topLinePunct w:val="0"/>
        <w:autoSpaceDE/>
        <w:autoSpaceDN/>
        <w:bidi w:val="0"/>
        <w:snapToGrid/>
        <w:spacing w:line="540" w:lineRule="exact"/>
        <w:ind w:firstLine="640" w:firstLineChars="200"/>
        <w:jc w:val="both"/>
        <w:textAlignment w:val="auto"/>
        <w:outlineLvl w:val="9"/>
        <w:rPr>
          <w:rFonts w:hint="eastAsia" w:ascii="仿宋_GB2312" w:eastAsia="仿宋_GB2312"/>
          <w:color w:val="000000"/>
          <w:sz w:val="32"/>
          <w:szCs w:val="32"/>
          <w:shd w:val="clear" w:color="auto" w:fill="auto"/>
        </w:rPr>
      </w:pPr>
      <w:r>
        <w:rPr>
          <w:rFonts w:hint="eastAsia" w:ascii="仿宋_GB2312" w:eastAsia="仿宋_GB2312"/>
          <w:color w:val="000000"/>
          <w:sz w:val="32"/>
          <w:szCs w:val="32"/>
          <w:shd w:val="clear" w:color="auto" w:fill="auto"/>
        </w:rPr>
        <w:t>按照预算绩效管理要求，本部门对201</w:t>
      </w:r>
      <w:r>
        <w:rPr>
          <w:rFonts w:hint="eastAsia"/>
          <w:color w:val="000000"/>
          <w:sz w:val="32"/>
          <w:szCs w:val="32"/>
          <w:shd w:val="clear" w:color="auto" w:fill="auto"/>
          <w:lang w:val="en-US" w:eastAsia="zh-CN"/>
        </w:rPr>
        <w:t>9</w:t>
      </w:r>
      <w:r>
        <w:rPr>
          <w:rFonts w:hint="eastAsia" w:ascii="仿宋_GB2312" w:eastAsia="仿宋_GB2312"/>
          <w:color w:val="000000"/>
          <w:sz w:val="32"/>
          <w:szCs w:val="32"/>
          <w:shd w:val="clear" w:color="auto" w:fill="auto"/>
        </w:rPr>
        <w:t>年整体支出开展绩效自评，市委办绩效管理工作虽然取得了一定成绩，但</w:t>
      </w:r>
      <w:r>
        <w:rPr>
          <w:rFonts w:hint="eastAsia" w:ascii="仿宋_GB2312" w:eastAsia="仿宋_GB2312"/>
          <w:color w:val="000000"/>
          <w:sz w:val="32"/>
          <w:szCs w:val="32"/>
          <w:shd w:val="clear" w:color="auto" w:fill="auto"/>
          <w:lang w:eastAsia="zh-CN"/>
        </w:rPr>
        <w:t>还是存在未能及时将年度追加预算项目纳入绩效管理等问题</w:t>
      </w:r>
      <w:r>
        <w:rPr>
          <w:rFonts w:hint="eastAsia" w:ascii="仿宋_GB2312" w:eastAsia="仿宋_GB2312"/>
          <w:color w:val="000000"/>
          <w:sz w:val="32"/>
          <w:szCs w:val="32"/>
          <w:shd w:val="clear" w:color="auto" w:fill="auto"/>
        </w:rPr>
        <w:t>。</w:t>
      </w:r>
      <w:r>
        <w:rPr>
          <w:rFonts w:hint="eastAsia" w:ascii="仿宋_GB2312" w:eastAsia="仿宋_GB2312"/>
          <w:color w:val="000000"/>
          <w:sz w:val="32"/>
          <w:szCs w:val="32"/>
          <w:shd w:val="clear" w:color="auto" w:fill="auto"/>
          <w:lang w:eastAsia="zh-CN"/>
        </w:rPr>
        <w:t>今后将</w:t>
      </w:r>
      <w:r>
        <w:rPr>
          <w:rFonts w:hint="eastAsia" w:ascii="仿宋_GB2312" w:eastAsia="仿宋_GB2312"/>
          <w:color w:val="000000"/>
          <w:sz w:val="32"/>
          <w:szCs w:val="32"/>
          <w:shd w:val="clear" w:color="auto" w:fill="auto"/>
        </w:rPr>
        <w:t>认真总结经验教训，扎扎实实抓好绩效管理工作，进一步健全和完善绩效管理体系</w:t>
      </w:r>
      <w:r>
        <w:rPr>
          <w:rFonts w:hint="eastAsia" w:ascii="仿宋_GB2312" w:eastAsia="仿宋_GB2312"/>
          <w:color w:val="000000"/>
          <w:sz w:val="32"/>
          <w:szCs w:val="32"/>
          <w:shd w:val="clear" w:color="auto" w:fill="auto"/>
          <w:lang w:eastAsia="zh-CN"/>
        </w:rPr>
        <w:t>，</w:t>
      </w:r>
      <w:r>
        <w:rPr>
          <w:rFonts w:hint="eastAsia" w:ascii="仿宋_GB2312" w:eastAsia="仿宋_GB2312"/>
          <w:color w:val="000000"/>
          <w:sz w:val="32"/>
          <w:szCs w:val="32"/>
          <w:shd w:val="clear" w:color="auto" w:fill="auto"/>
        </w:rPr>
        <w:t>向社会公开的评价结果</w:t>
      </w:r>
      <w:r>
        <w:rPr>
          <w:rFonts w:hint="eastAsia" w:ascii="仿宋_GB2312" w:eastAsia="仿宋_GB2312"/>
          <w:color w:val="000000"/>
          <w:sz w:val="32"/>
          <w:szCs w:val="32"/>
          <w:shd w:val="clear" w:color="auto" w:fill="auto"/>
          <w:lang w:eastAsia="zh-CN"/>
        </w:rPr>
        <w:t>同时</w:t>
      </w:r>
      <w:r>
        <w:rPr>
          <w:rFonts w:hint="eastAsia" w:ascii="仿宋_GB2312" w:eastAsia="仿宋_GB2312"/>
          <w:color w:val="000000"/>
          <w:sz w:val="32"/>
          <w:szCs w:val="32"/>
          <w:shd w:val="clear" w:color="auto" w:fill="auto"/>
        </w:rPr>
        <w:t>促进预算管理工作的科学化、规范化、制度化，提升预算单位依法理财水平，根据《中华人民共和国预算法》《中华人民共和国预算法实施条例》</w:t>
      </w:r>
      <w:r>
        <w:rPr>
          <w:rFonts w:hint="eastAsia" w:ascii="仿宋_GB2312" w:eastAsia="仿宋_GB2312"/>
          <w:color w:val="000000"/>
          <w:sz w:val="32"/>
          <w:szCs w:val="32"/>
          <w:shd w:val="clear" w:color="auto" w:fill="auto"/>
          <w:lang w:eastAsia="zh-CN"/>
        </w:rPr>
        <w:t>等</w:t>
      </w:r>
      <w:r>
        <w:rPr>
          <w:rFonts w:hint="eastAsia" w:ascii="仿宋_GB2312" w:eastAsia="仿宋_GB2312"/>
          <w:color w:val="000000"/>
          <w:sz w:val="32"/>
          <w:szCs w:val="32"/>
          <w:shd w:val="clear" w:color="auto" w:fill="auto"/>
        </w:rPr>
        <w:t>相关文件要求，不断提高绩效管理工作水平，使绩效管理工作更上一个台阶。</w:t>
      </w:r>
    </w:p>
    <w:p>
      <w:pPr>
        <w:keepNext w:val="0"/>
        <w:keepLines w:val="0"/>
        <w:pageBreakBefore w:val="0"/>
        <w:widowControl w:val="0"/>
        <w:kinsoku/>
        <w:wordWrap/>
        <w:overflowPunct/>
        <w:topLinePunct w:val="0"/>
        <w:autoSpaceDE/>
        <w:autoSpaceDN/>
        <w:bidi w:val="0"/>
        <w:snapToGrid/>
        <w:spacing w:line="540" w:lineRule="exact"/>
        <w:ind w:firstLine="640" w:firstLineChars="200"/>
        <w:textAlignment w:val="auto"/>
        <w:outlineLvl w:val="9"/>
        <w:rPr>
          <w:rFonts w:hint="eastAsia" w:ascii="楷体" w:hAnsi="楷体" w:eastAsia="楷体" w:cs="楷体"/>
          <w:bCs/>
          <w:color w:val="000000"/>
          <w:kern w:val="2"/>
          <w:sz w:val="32"/>
          <w:szCs w:val="32"/>
          <w:shd w:val="clear" w:color="auto" w:fill="auto"/>
          <w:lang w:val="en-US" w:eastAsia="zh-CN" w:bidi="ar-SA"/>
        </w:rPr>
      </w:pPr>
      <w:r>
        <w:rPr>
          <w:rFonts w:hint="eastAsia" w:ascii="楷体" w:hAnsi="楷体" w:eastAsia="楷体" w:cs="楷体"/>
          <w:bCs/>
          <w:color w:val="000000"/>
          <w:kern w:val="2"/>
          <w:sz w:val="32"/>
          <w:szCs w:val="32"/>
          <w:shd w:val="clear" w:color="auto" w:fill="auto"/>
          <w:lang w:val="en-US" w:eastAsia="zh-CN" w:bidi="ar-SA"/>
        </w:rPr>
        <w:t>（三）综合管理情况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right="0" w:firstLine="640" w:firstLineChars="200"/>
        <w:jc w:val="left"/>
        <w:textAlignment w:val="auto"/>
        <w:rPr>
          <w:rFonts w:hint="eastAsia" w:ascii="华文仿宋" w:hAnsi="华文仿宋" w:eastAsia="华文仿宋"/>
          <w:bCs/>
          <w:color w:val="000000"/>
          <w:kern w:val="2"/>
          <w:sz w:val="32"/>
          <w:szCs w:val="32"/>
          <w:shd w:val="clear" w:color="auto" w:fill="auto"/>
          <w:lang w:val="en-US" w:eastAsia="zh-CN" w:bidi="ar-SA"/>
        </w:rPr>
      </w:pPr>
      <w:r>
        <w:rPr>
          <w:rFonts w:hint="eastAsia" w:ascii="华文仿宋" w:hAnsi="华文仿宋" w:eastAsia="华文仿宋"/>
          <w:bCs/>
          <w:color w:val="000000"/>
          <w:kern w:val="2"/>
          <w:sz w:val="32"/>
          <w:szCs w:val="32"/>
          <w:shd w:val="clear" w:color="auto" w:fill="auto"/>
          <w:lang w:val="en-US" w:eastAsia="zh-CN" w:bidi="ar-SA"/>
        </w:rPr>
        <w:t>本办在2018年度开展部门财政支出评价工作的基础上，2019年度对照法律、法规及规章，对本单位的各项管理制度进行了进一步完善，增强了制度的可执行性和可操作性。并按照财政局通知要求，在预决算批复后二十日内向社会公开本部门预决算（含所有财政资金安排的“三公”经费安排、使用情况等）。按要求公开部门整体支出绩效自评报告及其他按要求应公开的绩效信息。本办高度重视绩效评价工作，积极开展自查自纠，接受财政监督，发现问题及时整改。</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600" w:leftChars="0" w:right="0" w:rightChars="0"/>
        <w:jc w:val="left"/>
        <w:textAlignment w:val="auto"/>
        <w:rPr>
          <w:rFonts w:hint="eastAsia" w:ascii="楷体" w:hAnsi="楷体" w:eastAsia="楷体" w:cs="楷体"/>
          <w:bCs/>
          <w:color w:val="000000"/>
          <w:kern w:val="2"/>
          <w:sz w:val="32"/>
          <w:szCs w:val="32"/>
          <w:shd w:val="clear" w:color="auto" w:fill="auto"/>
          <w:lang w:val="en-US" w:eastAsia="zh-CN" w:bidi="ar-SA"/>
        </w:rPr>
      </w:pPr>
      <w:r>
        <w:rPr>
          <w:rFonts w:hint="eastAsia" w:ascii="楷体" w:hAnsi="楷体" w:eastAsia="楷体" w:cs="楷体"/>
          <w:bCs/>
          <w:color w:val="000000"/>
          <w:kern w:val="2"/>
          <w:sz w:val="32"/>
          <w:szCs w:val="32"/>
          <w:shd w:val="clear" w:color="auto" w:fill="auto"/>
          <w:lang w:val="en-US" w:eastAsia="zh-CN" w:bidi="ar-SA"/>
        </w:rPr>
        <w:t>（四）综合绩效情况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420"/>
        <w:jc w:val="left"/>
        <w:textAlignment w:val="auto"/>
        <w:rPr>
          <w:rFonts w:hint="eastAsia" w:ascii="华文仿宋" w:hAnsi="华文仿宋" w:eastAsia="华文仿宋"/>
          <w:bCs/>
          <w:color w:val="000000"/>
          <w:kern w:val="2"/>
          <w:sz w:val="32"/>
          <w:szCs w:val="32"/>
          <w:shd w:val="clear" w:color="auto" w:fill="auto"/>
          <w:lang w:val="en-US" w:eastAsia="zh-CN" w:bidi="ar-SA"/>
        </w:rPr>
      </w:pPr>
      <w:r>
        <w:rPr>
          <w:rFonts w:hint="eastAsia" w:ascii="华文仿宋" w:hAnsi="华文仿宋" w:eastAsia="华文仿宋"/>
          <w:bCs/>
          <w:color w:val="000000"/>
          <w:kern w:val="2"/>
          <w:sz w:val="32"/>
          <w:szCs w:val="32"/>
          <w:shd w:val="clear" w:color="auto" w:fill="auto"/>
          <w:lang w:val="en-US" w:eastAsia="zh-CN" w:bidi="ar-SA"/>
        </w:rPr>
        <w:t xml:space="preserve">  根据财政资金管理办法和现行财务制度，按照部门整体支出绩效评价指标体系要求，从预算编制、预算执行、支出绩效三个方面，对部门整体支出绩效进行评价。通过自查找出问题和差距，分析原因，确保较好地实现了预期绩效目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right="0" w:firstLine="640" w:firstLineChars="200"/>
        <w:jc w:val="both"/>
        <w:textAlignment w:val="auto"/>
        <w:rPr>
          <w:rFonts w:hint="eastAsia" w:ascii="黑体" w:hAnsi="黑体" w:eastAsia="黑体" w:cs="黑体"/>
          <w:b w:val="0"/>
          <w:bCs/>
          <w:i w:val="0"/>
          <w:caps w:val="0"/>
          <w:color w:val="000000"/>
          <w:spacing w:val="0"/>
          <w:sz w:val="32"/>
          <w:szCs w:val="32"/>
          <w:shd w:val="clear" w:color="auto" w:fill="auto"/>
        </w:rPr>
      </w:pPr>
      <w:r>
        <w:rPr>
          <w:rFonts w:hint="eastAsia" w:ascii="黑体" w:hAnsi="黑体" w:eastAsia="黑体" w:cs="黑体"/>
          <w:b w:val="0"/>
          <w:bCs/>
          <w:i w:val="0"/>
          <w:caps w:val="0"/>
          <w:color w:val="000000"/>
          <w:spacing w:val="0"/>
          <w:sz w:val="32"/>
          <w:szCs w:val="32"/>
          <w:shd w:val="clear" w:color="auto" w:fill="auto"/>
          <w:lang w:eastAsia="zh-CN"/>
        </w:rPr>
        <w:t>四</w:t>
      </w:r>
      <w:r>
        <w:rPr>
          <w:rFonts w:hint="eastAsia" w:ascii="黑体" w:hAnsi="黑体" w:eastAsia="黑体" w:cs="黑体"/>
          <w:b w:val="0"/>
          <w:bCs/>
          <w:i w:val="0"/>
          <w:caps w:val="0"/>
          <w:color w:val="000000"/>
          <w:spacing w:val="0"/>
          <w:sz w:val="32"/>
          <w:szCs w:val="32"/>
          <w:shd w:val="clear" w:color="auto" w:fill="auto"/>
        </w:rPr>
        <w:t>、评价结论及建议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420"/>
        <w:jc w:val="both"/>
        <w:textAlignment w:val="auto"/>
        <w:rPr>
          <w:rFonts w:hint="eastAsia" w:ascii="楷体" w:hAnsi="楷体" w:eastAsia="楷体" w:cs="楷体"/>
          <w:bCs/>
          <w:color w:val="000000"/>
          <w:kern w:val="2"/>
          <w:sz w:val="32"/>
          <w:szCs w:val="32"/>
          <w:shd w:val="clear" w:color="auto" w:fill="auto"/>
          <w:lang w:val="en-US" w:eastAsia="zh-CN" w:bidi="ar-SA"/>
        </w:rPr>
      </w:pPr>
      <w:r>
        <w:rPr>
          <w:rFonts w:hint="eastAsia" w:ascii="楷体" w:hAnsi="楷体" w:eastAsia="楷体" w:cs="楷体"/>
          <w:bCs/>
          <w:color w:val="000000"/>
          <w:kern w:val="2"/>
          <w:sz w:val="32"/>
          <w:szCs w:val="32"/>
          <w:shd w:val="clear" w:color="auto" w:fill="auto"/>
          <w:lang w:val="en-US" w:eastAsia="zh-CN" w:bidi="ar-SA"/>
        </w:rPr>
        <w:t>  （一）评价结论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420"/>
        <w:jc w:val="both"/>
        <w:textAlignment w:val="auto"/>
        <w:rPr>
          <w:rFonts w:hint="eastAsia" w:ascii="华文仿宋" w:hAnsi="华文仿宋" w:eastAsia="华文仿宋"/>
          <w:bCs/>
          <w:color w:val="000000"/>
          <w:kern w:val="2"/>
          <w:sz w:val="32"/>
          <w:szCs w:val="32"/>
          <w:shd w:val="clear" w:color="auto" w:fill="auto"/>
          <w:lang w:val="en-US" w:eastAsia="zh-CN" w:bidi="ar-SA"/>
        </w:rPr>
      </w:pPr>
      <w:r>
        <w:rPr>
          <w:rFonts w:hint="eastAsia" w:ascii="华文仿宋" w:hAnsi="华文仿宋" w:eastAsia="华文仿宋"/>
          <w:bCs/>
          <w:color w:val="000000"/>
          <w:kern w:val="2"/>
          <w:sz w:val="32"/>
          <w:szCs w:val="32"/>
          <w:shd w:val="clear" w:color="auto" w:fill="auto"/>
          <w:lang w:val="en-US" w:eastAsia="zh-CN" w:bidi="ar-SA"/>
        </w:rPr>
        <w:t>    2019年本办及时、准确地完成预算编制，预算执行情况良好，支出管理规范，未出现因违规支出受到相关监督部门批评或处理的情况。</w:t>
      </w:r>
    </w:p>
    <w:p>
      <w:pPr>
        <w:pStyle w:val="10"/>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华文仿宋" w:hAnsi="华文仿宋" w:eastAsia="华文仿宋"/>
          <w:bCs/>
          <w:color w:val="000000"/>
          <w:kern w:val="2"/>
          <w:sz w:val="32"/>
          <w:szCs w:val="32"/>
          <w:shd w:val="clear" w:color="auto" w:fill="auto"/>
          <w:lang w:val="en-US" w:eastAsia="zh-CN" w:bidi="ar-SA"/>
        </w:rPr>
      </w:pPr>
      <w:r>
        <w:rPr>
          <w:rFonts w:hint="eastAsia" w:ascii="华文仿宋" w:hAnsi="华文仿宋" w:eastAsia="华文仿宋"/>
          <w:bCs/>
          <w:color w:val="000000"/>
          <w:kern w:val="2"/>
          <w:sz w:val="32"/>
          <w:szCs w:val="32"/>
          <w:shd w:val="clear" w:color="auto" w:fill="auto"/>
          <w:lang w:val="en-US" w:eastAsia="zh-CN" w:bidi="ar-SA"/>
        </w:rPr>
        <w:t>资金管理制度较为完善，会计核算和账务处理规范，会计资料完整。针对目标、职能和岗位设置情况，对关键岗位和薄弱环节进行了适当调整，进一步规避了一些风险。</w:t>
      </w:r>
    </w:p>
    <w:p>
      <w:pPr>
        <w:pStyle w:val="10"/>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jc w:val="both"/>
        <w:textAlignment w:val="auto"/>
        <w:rPr>
          <w:rFonts w:hint="eastAsia" w:ascii="华文仿宋" w:hAnsi="华文仿宋" w:eastAsia="华文仿宋"/>
          <w:bCs/>
          <w:color w:val="000000"/>
          <w:kern w:val="2"/>
          <w:sz w:val="32"/>
          <w:szCs w:val="32"/>
          <w:shd w:val="clear" w:color="auto" w:fill="auto"/>
          <w:lang w:val="en-US" w:eastAsia="zh-CN" w:bidi="ar-SA"/>
        </w:rPr>
      </w:pPr>
      <w:r>
        <w:rPr>
          <w:rFonts w:hint="eastAsia" w:ascii="华文仿宋" w:hAnsi="华文仿宋" w:eastAsia="华文仿宋"/>
          <w:bCs/>
          <w:color w:val="000000"/>
          <w:kern w:val="2"/>
          <w:sz w:val="32"/>
          <w:szCs w:val="32"/>
          <w:shd w:val="clear" w:color="auto" w:fill="auto"/>
          <w:lang w:val="en-US" w:eastAsia="zh-CN" w:bidi="ar-SA"/>
        </w:rPr>
        <w:t>严格执行财务管理制度，充分发挥监督职能，杜绝无预算和超预算支出，勤俭节约，杜绝浪费现象，加强对财务报销签字及审批程序的管理，重大开支进行公开透明，形成相互监督、相互制约管理模式，保证专款专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right="0" w:firstLine="640" w:firstLineChars="200"/>
        <w:jc w:val="both"/>
        <w:textAlignment w:val="auto"/>
        <w:rPr>
          <w:rFonts w:hint="eastAsia" w:ascii="楷体" w:hAnsi="楷体" w:eastAsia="楷体" w:cs="楷体"/>
          <w:bCs/>
          <w:color w:val="000000"/>
          <w:kern w:val="2"/>
          <w:sz w:val="32"/>
          <w:szCs w:val="32"/>
          <w:shd w:val="clear" w:color="auto" w:fill="auto"/>
          <w:lang w:val="en-US" w:eastAsia="zh-CN" w:bidi="ar-SA"/>
        </w:rPr>
      </w:pPr>
      <w:r>
        <w:rPr>
          <w:rFonts w:hint="eastAsia" w:ascii="楷体" w:hAnsi="楷体" w:eastAsia="楷体" w:cs="楷体"/>
          <w:bCs/>
          <w:color w:val="000000"/>
          <w:kern w:val="2"/>
          <w:sz w:val="32"/>
          <w:szCs w:val="32"/>
          <w:shd w:val="clear" w:color="auto" w:fill="auto"/>
          <w:lang w:val="en-US" w:eastAsia="zh-CN" w:bidi="ar-SA"/>
        </w:rPr>
        <w:t>（二）存在问题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right="0" w:firstLine="640" w:firstLineChars="200"/>
        <w:jc w:val="both"/>
        <w:textAlignment w:val="auto"/>
        <w:rPr>
          <w:rFonts w:hint="eastAsia" w:ascii="华文仿宋" w:hAnsi="华文仿宋" w:eastAsia="华文仿宋"/>
          <w:bCs/>
          <w:color w:val="000000"/>
          <w:kern w:val="2"/>
          <w:sz w:val="32"/>
          <w:szCs w:val="32"/>
          <w:shd w:val="clear" w:color="auto" w:fill="auto"/>
          <w:lang w:val="en-US" w:eastAsia="zh-CN" w:bidi="ar-SA"/>
        </w:rPr>
      </w:pPr>
      <w:r>
        <w:rPr>
          <w:rFonts w:hint="eastAsia" w:ascii="华文仿宋" w:hAnsi="华文仿宋" w:eastAsia="华文仿宋"/>
          <w:bCs/>
          <w:color w:val="000000"/>
          <w:kern w:val="2"/>
          <w:sz w:val="32"/>
          <w:szCs w:val="32"/>
          <w:shd w:val="clear" w:color="auto" w:fill="auto"/>
          <w:lang w:val="en-US" w:eastAsia="zh-CN" w:bidi="ar-SA"/>
        </w:rPr>
        <w:t>绩效评价管理工作还有待健全，指标体系建设方面需要进一步完善。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420"/>
        <w:jc w:val="both"/>
        <w:textAlignment w:val="auto"/>
        <w:rPr>
          <w:rFonts w:hint="eastAsia" w:ascii="楷体" w:hAnsi="楷体" w:eastAsia="楷体" w:cs="楷体"/>
          <w:bCs/>
          <w:color w:val="000000"/>
          <w:kern w:val="2"/>
          <w:sz w:val="32"/>
          <w:szCs w:val="32"/>
          <w:shd w:val="clear" w:color="auto" w:fill="auto"/>
          <w:lang w:val="en-US" w:eastAsia="zh-CN" w:bidi="ar-SA"/>
        </w:rPr>
      </w:pPr>
      <w:r>
        <w:rPr>
          <w:rFonts w:hint="eastAsia" w:ascii="楷体" w:hAnsi="楷体" w:eastAsia="楷体" w:cs="楷体"/>
          <w:bCs/>
          <w:color w:val="000000"/>
          <w:kern w:val="2"/>
          <w:sz w:val="32"/>
          <w:szCs w:val="32"/>
          <w:shd w:val="clear" w:color="auto" w:fill="auto"/>
          <w:lang w:val="en-US" w:eastAsia="zh-CN" w:bidi="ar-SA"/>
        </w:rPr>
        <w:t>   （三）改进建议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739" w:firstLineChars="231"/>
        <w:jc w:val="both"/>
        <w:textAlignment w:val="auto"/>
        <w:rPr>
          <w:rFonts w:hint="eastAsia" w:ascii="华文仿宋" w:hAnsi="华文仿宋" w:eastAsia="华文仿宋"/>
          <w:bCs/>
          <w:color w:val="000000"/>
          <w:kern w:val="2"/>
          <w:sz w:val="32"/>
          <w:szCs w:val="32"/>
          <w:shd w:val="clear" w:color="auto" w:fill="auto"/>
          <w:lang w:val="en-US" w:eastAsia="zh-CN" w:bidi="ar-SA"/>
        </w:rPr>
      </w:pPr>
      <w:r>
        <w:rPr>
          <w:rFonts w:hint="eastAsia" w:ascii="华文仿宋" w:hAnsi="华文仿宋" w:eastAsia="华文仿宋"/>
          <w:bCs/>
          <w:color w:val="000000"/>
          <w:kern w:val="2"/>
          <w:sz w:val="32"/>
          <w:szCs w:val="32"/>
          <w:shd w:val="clear" w:color="auto" w:fill="auto"/>
          <w:lang w:val="en-US" w:eastAsia="zh-CN" w:bidi="ar-SA"/>
        </w:rPr>
        <w:t>根据《中华人民共和国预算法》《中华人民共和国预算法实施条例》等相关文件要求，不断提高绩效管理工作水平，科学编制部门预算，根据批复的预算和业务需要，将预算指标细分，下达至各科室，加强支出绩效管理，将预算指标下达与支出绩效挂钩，使绩效管理工作更上一个台阶。</w:t>
      </w:r>
    </w:p>
    <w:p>
      <w:pPr>
        <w:spacing w:line="580" w:lineRule="exact"/>
        <w:jc w:val="both"/>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napToGrid w:val="0"/>
        <w:spacing w:line="6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“统筹推进市委重大决策部署”项目支出绩效</w:t>
      </w:r>
    </w:p>
    <w:p>
      <w:pPr>
        <w:snapToGrid w:val="0"/>
        <w:spacing w:line="6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自评报告</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方正小标宋_GBK" w:hAnsi="宋体" w:eastAsia="仿宋"/>
          <w:bCs/>
          <w:szCs w:val="36"/>
        </w:rPr>
      </w:pPr>
    </w:p>
    <w:p>
      <w:pPr>
        <w:keepNext w:val="0"/>
        <w:keepLines w:val="0"/>
        <w:pageBreakBefore w:val="0"/>
        <w:tabs>
          <w:tab w:val="left" w:pos="3885"/>
        </w:tabs>
        <w:kinsoku/>
        <w:wordWrap/>
        <w:overflowPunct/>
        <w:topLinePunct w:val="0"/>
        <w:autoSpaceDE/>
        <w:autoSpaceDN/>
        <w:bidi w:val="0"/>
        <w:adjustRightInd/>
        <w:snapToGrid w:val="0"/>
        <w:spacing w:line="560" w:lineRule="exact"/>
        <w:ind w:firstLine="640" w:firstLineChars="200"/>
        <w:jc w:val="left"/>
        <w:textAlignment w:val="auto"/>
        <w:rPr>
          <w:rFonts w:hint="eastAsia" w:ascii="方正黑体简体" w:eastAsia="方正黑体简体"/>
          <w:bCs/>
          <w:sz w:val="32"/>
          <w:szCs w:val="32"/>
        </w:rPr>
      </w:pPr>
      <w:r>
        <w:rPr>
          <w:rFonts w:hint="eastAsia" w:ascii="方正黑体简体" w:eastAsia="方正黑体简体"/>
          <w:bCs/>
          <w:sz w:val="32"/>
          <w:szCs w:val="32"/>
        </w:rPr>
        <w:t>一、项目概况</w:t>
      </w:r>
    </w:p>
    <w:p>
      <w:pPr>
        <w:keepNext w:val="0"/>
        <w:keepLines w:val="0"/>
        <w:pageBreakBefore w:val="0"/>
        <w:tabs>
          <w:tab w:val="left" w:pos="3885"/>
        </w:tabs>
        <w:kinsoku/>
        <w:wordWrap/>
        <w:overflowPunct/>
        <w:topLinePunct w:val="0"/>
        <w:autoSpaceDE/>
        <w:autoSpaceDN/>
        <w:bidi w:val="0"/>
        <w:adjustRightInd/>
        <w:snapToGrid w:val="0"/>
        <w:spacing w:line="560" w:lineRule="exact"/>
        <w:ind w:firstLine="640" w:firstLineChars="200"/>
        <w:jc w:val="left"/>
        <w:textAlignment w:val="auto"/>
        <w:rPr>
          <w:rFonts w:hint="eastAsia" w:ascii="方正楷体简体" w:eastAsia="方正楷体简体"/>
          <w:sz w:val="32"/>
          <w:szCs w:val="32"/>
        </w:rPr>
      </w:pPr>
      <w:r>
        <w:rPr>
          <w:rFonts w:ascii="方正楷体简体" w:eastAsia="方正楷体简体"/>
          <w:sz w:val="32"/>
          <w:szCs w:val="32"/>
        </w:rPr>
        <w:t>（</w:t>
      </w:r>
      <w:r>
        <w:rPr>
          <w:rFonts w:hint="eastAsia" w:ascii="方正楷体简体" w:eastAsia="方正楷体简体"/>
          <w:sz w:val="32"/>
          <w:szCs w:val="32"/>
        </w:rPr>
        <w:t>一</w:t>
      </w:r>
      <w:r>
        <w:rPr>
          <w:rFonts w:ascii="方正楷体简体" w:eastAsia="方正楷体简体"/>
          <w:sz w:val="32"/>
          <w:szCs w:val="32"/>
        </w:rPr>
        <w:t>）项目</w:t>
      </w:r>
      <w:r>
        <w:rPr>
          <w:rFonts w:hint="eastAsia" w:ascii="方正楷体简体" w:eastAsia="方正楷体简体"/>
          <w:sz w:val="32"/>
          <w:szCs w:val="32"/>
        </w:rPr>
        <w:t>基本情况</w:t>
      </w:r>
    </w:p>
    <w:p>
      <w:pPr>
        <w:keepNext w:val="0"/>
        <w:keepLines w:val="0"/>
        <w:pageBreakBefore w:val="0"/>
        <w:tabs>
          <w:tab w:val="left" w:pos="3885"/>
        </w:tabs>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eastAsia="方正仿宋简体"/>
          <w:sz w:val="32"/>
          <w:szCs w:val="32"/>
        </w:rPr>
      </w:pPr>
      <w:r>
        <w:rPr>
          <w:rFonts w:ascii="Times New Roman" w:eastAsia="方正仿宋简体"/>
          <w:sz w:val="32"/>
          <w:szCs w:val="32"/>
        </w:rPr>
        <w:t>201</w:t>
      </w:r>
      <w:r>
        <w:rPr>
          <w:rFonts w:hint="eastAsia" w:ascii="Times New Roman" w:eastAsia="方正仿宋简体"/>
          <w:sz w:val="32"/>
          <w:szCs w:val="32"/>
        </w:rPr>
        <w:t>9</w:t>
      </w:r>
      <w:r>
        <w:rPr>
          <w:rFonts w:ascii="Times New Roman" w:eastAsia="方正仿宋简体"/>
          <w:sz w:val="32"/>
          <w:szCs w:val="32"/>
        </w:rPr>
        <w:t>年初市委办机关共申报项目1</w:t>
      </w:r>
      <w:r>
        <w:rPr>
          <w:rFonts w:hint="eastAsia" w:ascii="Times New Roman" w:eastAsia="方正仿宋简体"/>
          <w:sz w:val="32"/>
          <w:szCs w:val="32"/>
        </w:rPr>
        <w:t>4</w:t>
      </w:r>
      <w:r>
        <w:rPr>
          <w:rFonts w:ascii="Times New Roman" w:eastAsia="方正仿宋简体"/>
          <w:sz w:val="32"/>
          <w:szCs w:val="32"/>
        </w:rPr>
        <w:t>个，主要用于党建、依法治市、驻村第一书记、培训、公务接待、网络运行维护和资料印刷等工作。</w:t>
      </w:r>
      <w:r>
        <w:rPr>
          <w:rFonts w:hint="eastAsia" w:ascii="Times New Roman" w:eastAsia="方正仿宋简体"/>
          <w:sz w:val="32"/>
          <w:szCs w:val="32"/>
        </w:rPr>
        <w:t>“统筹推进市委重大决策部署”项目</w:t>
      </w:r>
      <w:r>
        <w:rPr>
          <w:rFonts w:ascii="Times New Roman" w:eastAsia="方正仿宋简体"/>
          <w:sz w:val="32"/>
          <w:szCs w:val="32"/>
        </w:rPr>
        <w:t>主要</w:t>
      </w:r>
      <w:r>
        <w:rPr>
          <w:rFonts w:hint="eastAsia" w:ascii="Times New Roman" w:eastAsia="方正仿宋简体"/>
          <w:sz w:val="32"/>
          <w:szCs w:val="32"/>
        </w:rPr>
        <w:t>为市委全会、常委会中重要决策部署安排后，市委办干部到相关地区考察学习、招商洽谈、督查督办、深入一线走访调研、推动落实，旨在加快巴中经济、文化、教育等全方位建设，振兴革命老区发展。</w:t>
      </w:r>
    </w:p>
    <w:p>
      <w:pPr>
        <w:keepNext w:val="0"/>
        <w:keepLines w:val="0"/>
        <w:pageBreakBefore w:val="0"/>
        <w:tabs>
          <w:tab w:val="left" w:pos="3885"/>
        </w:tabs>
        <w:kinsoku/>
        <w:wordWrap/>
        <w:overflowPunct/>
        <w:topLinePunct w:val="0"/>
        <w:autoSpaceDE/>
        <w:autoSpaceDN/>
        <w:bidi w:val="0"/>
        <w:adjustRightInd/>
        <w:snapToGrid w:val="0"/>
        <w:spacing w:line="560" w:lineRule="exact"/>
        <w:ind w:firstLine="640" w:firstLineChars="200"/>
        <w:jc w:val="left"/>
        <w:textAlignment w:val="auto"/>
        <w:rPr>
          <w:rFonts w:ascii="方正楷体简体" w:eastAsia="方正楷体简体"/>
          <w:sz w:val="32"/>
          <w:szCs w:val="32"/>
        </w:rPr>
      </w:pPr>
      <w:r>
        <w:rPr>
          <w:rFonts w:ascii="方正楷体简体" w:eastAsia="方正楷体简体"/>
          <w:sz w:val="32"/>
          <w:szCs w:val="32"/>
        </w:rPr>
        <w:t>（二）项目绩效目标</w:t>
      </w:r>
    </w:p>
    <w:p>
      <w:pPr>
        <w:keepNext w:val="0"/>
        <w:keepLines w:val="0"/>
        <w:pageBreakBefore w:val="0"/>
        <w:tabs>
          <w:tab w:val="left" w:pos="3885"/>
        </w:tabs>
        <w:kinsoku/>
        <w:wordWrap/>
        <w:overflowPunct/>
        <w:topLinePunct w:val="0"/>
        <w:autoSpaceDE/>
        <w:autoSpaceDN/>
        <w:bidi w:val="0"/>
        <w:adjustRightInd/>
        <w:snapToGrid w:val="0"/>
        <w:spacing w:line="560" w:lineRule="exact"/>
        <w:ind w:firstLine="640" w:firstLineChars="200"/>
        <w:jc w:val="left"/>
        <w:textAlignment w:val="auto"/>
        <w:rPr>
          <w:rFonts w:hint="eastAsia"/>
          <w:sz w:val="32"/>
          <w:szCs w:val="32"/>
        </w:rPr>
      </w:pPr>
      <w:r>
        <w:rPr>
          <w:rFonts w:ascii="Times New Roman" w:eastAsia="方正仿宋简体"/>
          <w:color w:val="000000"/>
          <w:sz w:val="32"/>
          <w:szCs w:val="32"/>
          <w:shd w:val="clear" w:color="auto" w:fill="FFFFFF"/>
        </w:rPr>
        <w:t>进一步增强本单位支出管理的责任，提升预算管理水平，保障更好地履行职责，提高公务服务质量和财政资金使用效益，促进当地经济健康发展。</w:t>
      </w:r>
      <w:r>
        <w:rPr>
          <w:rFonts w:ascii="Times New Roman" w:eastAsia="方正仿宋简体"/>
          <w:sz w:val="32"/>
          <w:szCs w:val="32"/>
        </w:rPr>
        <w:t>重点项目</w:t>
      </w:r>
      <w:r>
        <w:rPr>
          <w:rFonts w:hint="eastAsia" w:ascii="Times New Roman" w:eastAsia="方正仿宋简体"/>
          <w:sz w:val="32"/>
          <w:szCs w:val="32"/>
        </w:rPr>
        <w:t>“统筹推进市委重大决策部署”</w:t>
      </w:r>
      <w:r>
        <w:rPr>
          <w:rFonts w:ascii="Times New Roman" w:eastAsia="方正仿宋简体"/>
          <w:sz w:val="32"/>
          <w:szCs w:val="32"/>
        </w:rPr>
        <w:t>申报内容与具体实施的情况一致，此项工作任务是</w:t>
      </w:r>
      <w:r>
        <w:rPr>
          <w:rFonts w:hint="eastAsia" w:ascii="Times New Roman" w:eastAsia="方正仿宋简体"/>
          <w:sz w:val="32"/>
          <w:szCs w:val="32"/>
        </w:rPr>
        <w:t>统筹推进市委重大决策部署，加快巴中经济、文化、教育等全方位建设</w:t>
      </w:r>
      <w:r>
        <w:rPr>
          <w:rFonts w:ascii="Times New Roman" w:eastAsia="方正仿宋简体"/>
          <w:sz w:val="32"/>
          <w:szCs w:val="32"/>
        </w:rPr>
        <w:t>。</w:t>
      </w:r>
    </w:p>
    <w:p>
      <w:pPr>
        <w:keepNext w:val="0"/>
        <w:keepLines w:val="0"/>
        <w:pageBreakBefore w:val="0"/>
        <w:tabs>
          <w:tab w:val="left" w:pos="3885"/>
        </w:tabs>
        <w:kinsoku/>
        <w:wordWrap/>
        <w:overflowPunct/>
        <w:topLinePunct w:val="0"/>
        <w:autoSpaceDE/>
        <w:autoSpaceDN/>
        <w:bidi w:val="0"/>
        <w:adjustRightInd/>
        <w:snapToGrid w:val="0"/>
        <w:spacing w:line="560" w:lineRule="exact"/>
        <w:ind w:firstLine="640" w:firstLineChars="200"/>
        <w:jc w:val="left"/>
        <w:textAlignment w:val="auto"/>
        <w:rPr>
          <w:rFonts w:hint="eastAsia" w:ascii="方正黑体简体" w:eastAsia="方正黑体简体"/>
          <w:bCs/>
          <w:sz w:val="32"/>
          <w:szCs w:val="32"/>
        </w:rPr>
      </w:pPr>
      <w:r>
        <w:rPr>
          <w:rFonts w:hint="eastAsia" w:ascii="方正黑体简体" w:eastAsia="方正黑体简体"/>
          <w:bCs/>
          <w:sz w:val="32"/>
          <w:szCs w:val="32"/>
        </w:rPr>
        <w:t>二、项目资金申报及使用情况</w:t>
      </w:r>
    </w:p>
    <w:p>
      <w:pPr>
        <w:keepNext w:val="0"/>
        <w:keepLines w:val="0"/>
        <w:pageBreakBefore w:val="0"/>
        <w:tabs>
          <w:tab w:val="left" w:pos="3885"/>
        </w:tabs>
        <w:kinsoku/>
        <w:wordWrap/>
        <w:overflowPunct/>
        <w:topLinePunct w:val="0"/>
        <w:autoSpaceDE/>
        <w:autoSpaceDN/>
        <w:bidi w:val="0"/>
        <w:adjustRightInd/>
        <w:snapToGrid w:val="0"/>
        <w:spacing w:line="560" w:lineRule="exact"/>
        <w:ind w:firstLine="640" w:firstLineChars="200"/>
        <w:jc w:val="left"/>
        <w:textAlignment w:val="auto"/>
        <w:rPr>
          <w:rFonts w:hint="eastAsia" w:ascii="方正楷体简体" w:eastAsia="方正楷体简体"/>
          <w:sz w:val="32"/>
          <w:szCs w:val="32"/>
        </w:rPr>
      </w:pPr>
      <w:r>
        <w:rPr>
          <w:rFonts w:hint="eastAsia" w:ascii="方正楷体简体" w:eastAsia="方正楷体简体"/>
          <w:sz w:val="32"/>
          <w:szCs w:val="32"/>
        </w:rPr>
        <w:t>（一）项目资金申报及批复情况</w:t>
      </w:r>
    </w:p>
    <w:p>
      <w:pPr>
        <w:keepNext w:val="0"/>
        <w:keepLines w:val="0"/>
        <w:pageBreakBefore w:val="0"/>
        <w:tabs>
          <w:tab w:val="left" w:pos="3885"/>
        </w:tabs>
        <w:kinsoku/>
        <w:wordWrap/>
        <w:overflowPunct/>
        <w:topLinePunct w:val="0"/>
        <w:autoSpaceDE/>
        <w:autoSpaceDN/>
        <w:bidi w:val="0"/>
        <w:adjustRightInd/>
        <w:snapToGrid w:val="0"/>
        <w:spacing w:line="560" w:lineRule="exact"/>
        <w:ind w:firstLine="640" w:firstLineChars="200"/>
        <w:jc w:val="both"/>
        <w:textAlignment w:val="auto"/>
        <w:rPr>
          <w:rFonts w:ascii="Times New Roman" w:eastAsia="方正仿宋简体"/>
          <w:sz w:val="32"/>
          <w:szCs w:val="32"/>
        </w:rPr>
      </w:pPr>
      <w:r>
        <w:rPr>
          <w:rFonts w:ascii="Times New Roman" w:eastAsia="方正仿宋简体"/>
          <w:sz w:val="32"/>
          <w:szCs w:val="32"/>
        </w:rPr>
        <w:t>201</w:t>
      </w:r>
      <w:r>
        <w:rPr>
          <w:rFonts w:hint="eastAsia" w:ascii="Times New Roman" w:eastAsia="方正仿宋简体"/>
          <w:sz w:val="32"/>
          <w:szCs w:val="32"/>
        </w:rPr>
        <w:t>9</w:t>
      </w:r>
      <w:r>
        <w:rPr>
          <w:rFonts w:ascii="Times New Roman" w:eastAsia="方正仿宋简体"/>
          <w:sz w:val="32"/>
          <w:szCs w:val="32"/>
        </w:rPr>
        <w:t>年初</w:t>
      </w:r>
      <w:r>
        <w:rPr>
          <w:rFonts w:hint="eastAsia" w:ascii="Times New Roman" w:eastAsia="方正仿宋简体"/>
          <w:sz w:val="32"/>
          <w:szCs w:val="32"/>
        </w:rPr>
        <w:t>市委办机关</w:t>
      </w:r>
      <w:r>
        <w:rPr>
          <w:rFonts w:ascii="Times New Roman" w:eastAsia="方正仿宋简体"/>
          <w:sz w:val="32"/>
          <w:szCs w:val="32"/>
        </w:rPr>
        <w:t>预算申报项目资金</w:t>
      </w:r>
      <w:r>
        <w:rPr>
          <w:rFonts w:hint="eastAsia" w:ascii="Times New Roman" w:eastAsia="方正仿宋简体"/>
          <w:sz w:val="32"/>
          <w:szCs w:val="32"/>
        </w:rPr>
        <w:t>204.7</w:t>
      </w:r>
      <w:r>
        <w:rPr>
          <w:rFonts w:ascii="Times New Roman" w:eastAsia="方正仿宋简体"/>
          <w:sz w:val="32"/>
          <w:szCs w:val="32"/>
        </w:rPr>
        <w:t>万，批复</w:t>
      </w:r>
      <w:r>
        <w:rPr>
          <w:rFonts w:hint="eastAsia" w:ascii="Times New Roman" w:eastAsia="方正仿宋简体"/>
          <w:sz w:val="32"/>
          <w:szCs w:val="32"/>
        </w:rPr>
        <w:t>204.7</w:t>
      </w:r>
      <w:r>
        <w:rPr>
          <w:rFonts w:ascii="Times New Roman" w:eastAsia="方正仿宋简体"/>
          <w:sz w:val="32"/>
          <w:szCs w:val="32"/>
        </w:rPr>
        <w:t>万。因201</w:t>
      </w:r>
      <w:r>
        <w:rPr>
          <w:rFonts w:hint="eastAsia" w:ascii="Times New Roman" w:eastAsia="方正仿宋简体"/>
          <w:sz w:val="32"/>
          <w:szCs w:val="32"/>
        </w:rPr>
        <w:t>9</w:t>
      </w:r>
      <w:r>
        <w:rPr>
          <w:rFonts w:ascii="Times New Roman" w:eastAsia="方正仿宋简体"/>
          <w:sz w:val="32"/>
          <w:szCs w:val="32"/>
        </w:rPr>
        <w:t>年</w:t>
      </w:r>
      <w:r>
        <w:rPr>
          <w:rFonts w:hint="eastAsia" w:ascii="Times New Roman" w:eastAsia="方正仿宋简体"/>
          <w:sz w:val="32"/>
          <w:szCs w:val="32"/>
        </w:rPr>
        <w:t>机构改革，新并入3个单位、新设立1个机构和1个协调机构</w:t>
      </w:r>
      <w:r>
        <w:rPr>
          <w:rFonts w:ascii="Times New Roman" w:eastAsia="方正仿宋简体"/>
          <w:sz w:val="32"/>
          <w:szCs w:val="32"/>
        </w:rPr>
        <w:t>，为保障工作正常运转，机关</w:t>
      </w:r>
      <w:r>
        <w:rPr>
          <w:rFonts w:hint="eastAsia" w:ascii="Times New Roman" w:eastAsia="方正仿宋简体"/>
          <w:sz w:val="32"/>
          <w:szCs w:val="32"/>
        </w:rPr>
        <w:t>调整预算</w:t>
      </w:r>
      <w:r>
        <w:rPr>
          <w:rFonts w:ascii="Times New Roman" w:eastAsia="方正仿宋简体"/>
          <w:sz w:val="32"/>
          <w:szCs w:val="32"/>
        </w:rPr>
        <w:t>，全年项目资金合计批复</w:t>
      </w:r>
      <w:r>
        <w:rPr>
          <w:rFonts w:hint="eastAsia" w:ascii="Times New Roman" w:eastAsia="方正仿宋简体"/>
          <w:sz w:val="32"/>
          <w:szCs w:val="32"/>
        </w:rPr>
        <w:t>500.71</w:t>
      </w:r>
      <w:r>
        <w:rPr>
          <w:rFonts w:ascii="Times New Roman" w:eastAsia="方正仿宋简体"/>
          <w:sz w:val="32"/>
          <w:szCs w:val="32"/>
        </w:rPr>
        <w:t>万</w:t>
      </w:r>
      <w:r>
        <w:rPr>
          <w:rFonts w:hint="eastAsia" w:ascii="Times New Roman" w:eastAsia="方正仿宋简体"/>
          <w:sz w:val="32"/>
          <w:szCs w:val="32"/>
        </w:rPr>
        <w:t>（含二级网络建设费225万）</w:t>
      </w:r>
      <w:r>
        <w:rPr>
          <w:rFonts w:ascii="Times New Roman" w:eastAsia="方正仿宋简体"/>
          <w:sz w:val="32"/>
          <w:szCs w:val="32"/>
        </w:rPr>
        <w:t>。其中重点绩效评价项目</w:t>
      </w:r>
      <w:r>
        <w:rPr>
          <w:rFonts w:hint="eastAsia" w:ascii="Times New Roman" w:eastAsia="方正仿宋简体"/>
          <w:sz w:val="32"/>
          <w:szCs w:val="32"/>
          <w:lang w:eastAsia="zh-CN"/>
        </w:rPr>
        <w:t>统筹推进市委重大决策部署工作</w:t>
      </w:r>
      <w:r>
        <w:rPr>
          <w:rFonts w:ascii="Times New Roman" w:eastAsia="方正仿宋简体"/>
          <w:sz w:val="32"/>
          <w:szCs w:val="32"/>
        </w:rPr>
        <w:t>预算申报资金</w:t>
      </w:r>
      <w:r>
        <w:rPr>
          <w:rFonts w:hint="eastAsia" w:ascii="Times New Roman" w:eastAsia="方正仿宋简体"/>
          <w:sz w:val="32"/>
          <w:szCs w:val="32"/>
        </w:rPr>
        <w:t>28.5</w:t>
      </w:r>
      <w:r>
        <w:rPr>
          <w:rFonts w:ascii="Times New Roman" w:eastAsia="方正仿宋简体"/>
          <w:sz w:val="32"/>
          <w:szCs w:val="32"/>
        </w:rPr>
        <w:t>万元，财政审核批复</w:t>
      </w:r>
      <w:r>
        <w:rPr>
          <w:rFonts w:hint="eastAsia" w:ascii="Times New Roman" w:eastAsia="方正仿宋简体"/>
          <w:sz w:val="32"/>
          <w:szCs w:val="32"/>
        </w:rPr>
        <w:t>28.5</w:t>
      </w:r>
      <w:r>
        <w:rPr>
          <w:rFonts w:ascii="Times New Roman" w:eastAsia="方正仿宋简体"/>
          <w:sz w:val="32"/>
          <w:szCs w:val="32"/>
        </w:rPr>
        <w:t>万元。</w:t>
      </w:r>
    </w:p>
    <w:p>
      <w:pPr>
        <w:keepNext w:val="0"/>
        <w:keepLines w:val="0"/>
        <w:pageBreakBefore w:val="0"/>
        <w:tabs>
          <w:tab w:val="left" w:pos="3885"/>
        </w:tabs>
        <w:kinsoku/>
        <w:wordWrap/>
        <w:overflowPunct/>
        <w:topLinePunct w:val="0"/>
        <w:autoSpaceDE/>
        <w:autoSpaceDN/>
        <w:bidi w:val="0"/>
        <w:adjustRightInd/>
        <w:snapToGrid w:val="0"/>
        <w:spacing w:line="560" w:lineRule="exact"/>
        <w:ind w:firstLine="640" w:firstLineChars="200"/>
        <w:jc w:val="both"/>
        <w:textAlignment w:val="auto"/>
        <w:rPr>
          <w:rFonts w:ascii="方正楷体简体" w:eastAsia="方正楷体简体"/>
          <w:sz w:val="32"/>
          <w:szCs w:val="32"/>
        </w:rPr>
      </w:pPr>
      <w:r>
        <w:rPr>
          <w:rFonts w:hint="eastAsia" w:ascii="方正楷体简体" w:eastAsia="方正楷体简体"/>
          <w:sz w:val="32"/>
          <w:szCs w:val="32"/>
        </w:rPr>
        <w:t>（二）</w:t>
      </w:r>
      <w:r>
        <w:rPr>
          <w:rFonts w:ascii="方正楷体简体" w:eastAsia="方正楷体简体"/>
          <w:sz w:val="32"/>
          <w:szCs w:val="32"/>
        </w:rPr>
        <w:t>重点资金计划、到位及使用情况</w:t>
      </w:r>
    </w:p>
    <w:p>
      <w:pPr>
        <w:keepNext w:val="0"/>
        <w:keepLines w:val="0"/>
        <w:pageBreakBefore w:val="0"/>
        <w:kinsoku/>
        <w:wordWrap/>
        <w:overflowPunct/>
        <w:topLinePunct w:val="0"/>
        <w:autoSpaceDE/>
        <w:autoSpaceDN/>
        <w:bidi w:val="0"/>
        <w:adjustRightInd/>
        <w:snapToGrid w:val="0"/>
        <w:spacing w:line="560" w:lineRule="exact"/>
        <w:ind w:firstLine="643" w:firstLineChars="200"/>
        <w:jc w:val="both"/>
        <w:textAlignment w:val="auto"/>
        <w:rPr>
          <w:rFonts w:ascii="Times New Roman" w:eastAsia="方正仿宋简体"/>
          <w:sz w:val="32"/>
          <w:szCs w:val="32"/>
        </w:rPr>
      </w:pPr>
      <w:r>
        <w:rPr>
          <w:rFonts w:ascii="Times New Roman" w:eastAsia="方正仿宋简体"/>
          <w:b/>
          <w:bCs/>
          <w:sz w:val="32"/>
          <w:szCs w:val="32"/>
        </w:rPr>
        <w:t>1</w:t>
      </w:r>
      <w:r>
        <w:rPr>
          <w:rFonts w:hint="eastAsia" w:ascii="Times New Roman" w:eastAsia="方正仿宋简体"/>
          <w:b/>
          <w:bCs/>
          <w:sz w:val="32"/>
          <w:szCs w:val="32"/>
        </w:rPr>
        <w:t>.</w:t>
      </w:r>
      <w:r>
        <w:rPr>
          <w:rFonts w:ascii="Times New Roman" w:eastAsia="方正仿宋简体"/>
          <w:b/>
          <w:bCs/>
          <w:sz w:val="32"/>
          <w:szCs w:val="32"/>
        </w:rPr>
        <w:t>重点资金计划及到位情况</w:t>
      </w:r>
      <w:r>
        <w:rPr>
          <w:rFonts w:ascii="Times New Roman" w:eastAsia="方正仿宋简体"/>
          <w:sz w:val="32"/>
          <w:szCs w:val="32"/>
        </w:rPr>
        <w:t>。年初市委办</w:t>
      </w:r>
      <w:r>
        <w:rPr>
          <w:rFonts w:hint="eastAsia" w:ascii="Times New Roman" w:eastAsia="方正仿宋简体"/>
          <w:sz w:val="32"/>
          <w:szCs w:val="32"/>
        </w:rPr>
        <w:t>申报“统筹推进市委重大决策部署”</w:t>
      </w:r>
      <w:r>
        <w:rPr>
          <w:rFonts w:ascii="Times New Roman" w:eastAsia="方正仿宋简体"/>
          <w:sz w:val="32"/>
          <w:szCs w:val="32"/>
        </w:rPr>
        <w:t>资金2</w:t>
      </w:r>
      <w:r>
        <w:rPr>
          <w:rFonts w:hint="eastAsia" w:ascii="Times New Roman" w:eastAsia="方正仿宋简体"/>
          <w:sz w:val="32"/>
          <w:szCs w:val="32"/>
        </w:rPr>
        <w:t>8.5</w:t>
      </w:r>
      <w:r>
        <w:rPr>
          <w:rFonts w:ascii="Times New Roman" w:eastAsia="方正仿宋简体"/>
          <w:sz w:val="32"/>
          <w:szCs w:val="32"/>
        </w:rPr>
        <w:t>万元，财政审核批复2</w:t>
      </w:r>
      <w:r>
        <w:rPr>
          <w:rFonts w:hint="eastAsia" w:ascii="Times New Roman" w:eastAsia="方正仿宋简体"/>
          <w:sz w:val="32"/>
          <w:szCs w:val="32"/>
        </w:rPr>
        <w:t>8.5</w:t>
      </w:r>
      <w:r>
        <w:rPr>
          <w:rFonts w:ascii="Times New Roman" w:eastAsia="方正仿宋简体"/>
          <w:sz w:val="32"/>
          <w:szCs w:val="32"/>
        </w:rPr>
        <w:t>万元。</w:t>
      </w:r>
    </w:p>
    <w:p>
      <w:pPr>
        <w:keepNext w:val="0"/>
        <w:keepLines w:val="0"/>
        <w:pageBreakBefore w:val="0"/>
        <w:kinsoku/>
        <w:wordWrap/>
        <w:overflowPunct/>
        <w:topLinePunct w:val="0"/>
        <w:autoSpaceDE/>
        <w:autoSpaceDN/>
        <w:bidi w:val="0"/>
        <w:adjustRightInd/>
        <w:snapToGrid w:val="0"/>
        <w:spacing w:line="560" w:lineRule="exact"/>
        <w:ind w:firstLine="643" w:firstLineChars="200"/>
        <w:jc w:val="both"/>
        <w:textAlignment w:val="auto"/>
        <w:rPr>
          <w:rFonts w:ascii="Times New Roman" w:eastAsia="方正仿宋简体"/>
          <w:sz w:val="32"/>
          <w:szCs w:val="32"/>
        </w:rPr>
      </w:pPr>
      <w:r>
        <w:rPr>
          <w:rFonts w:ascii="Times New Roman" w:eastAsia="方正仿宋简体"/>
          <w:b/>
          <w:bCs/>
          <w:sz w:val="32"/>
          <w:szCs w:val="32"/>
        </w:rPr>
        <w:t>2</w:t>
      </w:r>
      <w:r>
        <w:rPr>
          <w:rFonts w:hint="eastAsia" w:ascii="Times New Roman" w:eastAsia="方正仿宋简体"/>
          <w:b/>
          <w:bCs/>
          <w:sz w:val="32"/>
          <w:szCs w:val="32"/>
        </w:rPr>
        <w:t>.</w:t>
      </w:r>
      <w:r>
        <w:rPr>
          <w:rFonts w:ascii="Times New Roman" w:eastAsia="方正仿宋简体"/>
          <w:b/>
          <w:bCs/>
          <w:sz w:val="32"/>
          <w:szCs w:val="32"/>
        </w:rPr>
        <w:t>重点资金使用。</w:t>
      </w:r>
      <w:r>
        <w:rPr>
          <w:rFonts w:ascii="Times New Roman" w:eastAsia="方正仿宋简体"/>
          <w:sz w:val="32"/>
          <w:szCs w:val="32"/>
        </w:rPr>
        <w:t>截至201</w:t>
      </w:r>
      <w:r>
        <w:rPr>
          <w:rFonts w:hint="eastAsia" w:ascii="Times New Roman" w:eastAsia="方正仿宋简体"/>
          <w:sz w:val="32"/>
          <w:szCs w:val="32"/>
        </w:rPr>
        <w:t>9</w:t>
      </w:r>
      <w:r>
        <w:rPr>
          <w:rFonts w:ascii="Times New Roman" w:eastAsia="方正仿宋简体"/>
          <w:sz w:val="32"/>
          <w:szCs w:val="32"/>
        </w:rPr>
        <w:t>年12月31日止，年度支出</w:t>
      </w:r>
      <w:r>
        <w:rPr>
          <w:rFonts w:hint="eastAsia" w:ascii="Times New Roman" w:eastAsia="方正仿宋简体"/>
          <w:sz w:val="32"/>
          <w:szCs w:val="32"/>
        </w:rPr>
        <w:t>“统筹推进市委重大决策部署”28</w:t>
      </w:r>
      <w:r>
        <w:rPr>
          <w:rFonts w:ascii="Times New Roman" w:eastAsia="方正仿宋简体"/>
          <w:sz w:val="32"/>
          <w:szCs w:val="32"/>
        </w:rPr>
        <w:t>万元，1</w:t>
      </w:r>
      <w:r>
        <w:rPr>
          <w:rFonts w:hint="eastAsia" w:ascii="Times New Roman" w:eastAsia="方正仿宋简体"/>
          <w:sz w:val="32"/>
          <w:szCs w:val="32"/>
        </w:rPr>
        <w:t>9</w:t>
      </w:r>
      <w:r>
        <w:rPr>
          <w:rFonts w:ascii="Times New Roman" w:eastAsia="方正仿宋简体"/>
          <w:sz w:val="32"/>
          <w:szCs w:val="32"/>
        </w:rPr>
        <w:t>年实际发生额与年初预算基本相符。</w:t>
      </w:r>
    </w:p>
    <w:p>
      <w:pPr>
        <w:keepNext w:val="0"/>
        <w:keepLines w:val="0"/>
        <w:pageBreakBefore w:val="0"/>
        <w:kinsoku/>
        <w:wordWrap/>
        <w:overflowPunct/>
        <w:topLinePunct w:val="0"/>
        <w:autoSpaceDE/>
        <w:autoSpaceDN/>
        <w:bidi w:val="0"/>
        <w:adjustRightInd/>
        <w:snapToGrid w:val="0"/>
        <w:spacing w:line="560" w:lineRule="exact"/>
        <w:ind w:left="579"/>
        <w:jc w:val="both"/>
        <w:textAlignment w:val="auto"/>
        <w:rPr>
          <w:rFonts w:hint="eastAsia" w:ascii="方正楷体简体" w:eastAsia="方正楷体简体"/>
          <w:sz w:val="32"/>
          <w:szCs w:val="32"/>
        </w:rPr>
      </w:pPr>
      <w:r>
        <w:rPr>
          <w:rFonts w:hint="eastAsia" w:ascii="方正楷体简体" w:eastAsia="方正楷体简体"/>
          <w:sz w:val="32"/>
          <w:szCs w:val="32"/>
        </w:rPr>
        <w:t>（三）项目财务管理情况</w:t>
      </w:r>
    </w:p>
    <w:p>
      <w:pPr>
        <w:keepNext w:val="0"/>
        <w:keepLines w:val="0"/>
        <w:pageBreakBefore w:val="0"/>
        <w:kinsoku/>
        <w:wordWrap/>
        <w:overflowPunct/>
        <w:topLinePunct w:val="0"/>
        <w:autoSpaceDE/>
        <w:autoSpaceDN/>
        <w:bidi w:val="0"/>
        <w:adjustRightInd/>
        <w:snapToGrid w:val="0"/>
        <w:spacing w:line="560" w:lineRule="exact"/>
        <w:ind w:left="57" w:leftChars="27" w:firstLine="640"/>
        <w:jc w:val="both"/>
        <w:textAlignment w:val="auto"/>
        <w:rPr>
          <w:rFonts w:ascii="Times New Roman" w:eastAsia="方正仿宋简体"/>
          <w:sz w:val="32"/>
          <w:szCs w:val="32"/>
        </w:rPr>
      </w:pPr>
      <w:r>
        <w:rPr>
          <w:rFonts w:ascii="Times New Roman" w:eastAsia="方正仿宋简体"/>
          <w:sz w:val="32"/>
          <w:szCs w:val="32"/>
        </w:rPr>
        <w:t>市委办所有经费支出严格执行《市委办财务管理办法》、《中共巴中市委办公室关于进一步加强财务管理的规定》《行政单位会计制度》，财务处理及时</w:t>
      </w:r>
      <w:r>
        <w:rPr>
          <w:rFonts w:hint="eastAsia" w:ascii="Times New Roman" w:eastAsia="方正仿宋简体"/>
          <w:sz w:val="32"/>
          <w:szCs w:val="32"/>
        </w:rPr>
        <w:t>、</w:t>
      </w:r>
      <w:r>
        <w:rPr>
          <w:rFonts w:ascii="Times New Roman" w:eastAsia="方正仿宋简体"/>
          <w:sz w:val="32"/>
          <w:szCs w:val="32"/>
        </w:rPr>
        <w:t>会计核算规范。</w:t>
      </w:r>
    </w:p>
    <w:p>
      <w:pPr>
        <w:keepNext w:val="0"/>
        <w:keepLines w:val="0"/>
        <w:pageBreakBefore w:val="0"/>
        <w:tabs>
          <w:tab w:val="left" w:pos="8100"/>
        </w:tabs>
        <w:kinsoku/>
        <w:wordWrap/>
        <w:overflowPunct/>
        <w:topLinePunct w:val="0"/>
        <w:autoSpaceDE/>
        <w:autoSpaceDN/>
        <w:bidi w:val="0"/>
        <w:adjustRightInd/>
        <w:snapToGrid w:val="0"/>
        <w:spacing w:line="560" w:lineRule="exact"/>
        <w:ind w:firstLine="640" w:firstLineChars="200"/>
        <w:jc w:val="both"/>
        <w:textAlignment w:val="auto"/>
        <w:rPr>
          <w:rFonts w:hint="eastAsia" w:ascii="方正黑体简体" w:eastAsia="方正黑体简体"/>
          <w:bCs/>
          <w:sz w:val="32"/>
          <w:szCs w:val="32"/>
        </w:rPr>
      </w:pPr>
      <w:r>
        <w:rPr>
          <w:rFonts w:hint="eastAsia" w:ascii="方正黑体简体" w:eastAsia="方正黑体简体"/>
          <w:bCs/>
          <w:sz w:val="32"/>
          <w:szCs w:val="32"/>
        </w:rPr>
        <w:t>三、项目实施及管理情况</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Times New Roman" w:eastAsia="方正仿宋简体"/>
          <w:sz w:val="32"/>
          <w:szCs w:val="32"/>
        </w:rPr>
      </w:pPr>
      <w:r>
        <w:rPr>
          <w:rFonts w:ascii="Times New Roman" w:eastAsia="方正仿宋简体"/>
          <w:sz w:val="32"/>
          <w:szCs w:val="32"/>
        </w:rPr>
        <w:t>通过自查，真实反映从年初项目预算到项目执行以及项目绩效的全过程。所有项目采取先申报计划，批准后再实施，同时严格按照</w:t>
      </w:r>
      <w:r>
        <w:rPr>
          <w:rFonts w:hint="eastAsia" w:ascii="Times New Roman" w:eastAsia="方正仿宋简体"/>
          <w:sz w:val="32"/>
          <w:szCs w:val="32"/>
        </w:rPr>
        <w:t>《</w:t>
      </w:r>
      <w:r>
        <w:rPr>
          <w:rFonts w:ascii="Times New Roman" w:eastAsia="方正仿宋简体"/>
          <w:sz w:val="32"/>
          <w:szCs w:val="32"/>
        </w:rPr>
        <w:t>市委办财务管理办法</w:t>
      </w:r>
      <w:r>
        <w:rPr>
          <w:rFonts w:hint="eastAsia" w:ascii="Times New Roman" w:eastAsia="方正仿宋简体"/>
          <w:sz w:val="32"/>
          <w:szCs w:val="32"/>
        </w:rPr>
        <w:t>》</w:t>
      </w:r>
      <w:r>
        <w:rPr>
          <w:rFonts w:ascii="Times New Roman" w:eastAsia="方正仿宋简体"/>
          <w:sz w:val="32"/>
          <w:szCs w:val="32"/>
        </w:rPr>
        <w:t>规定，大额支出经秘书长主任会议集体研究同意后，</w:t>
      </w:r>
      <w:r>
        <w:rPr>
          <w:rFonts w:hint="eastAsia" w:ascii="Times New Roman" w:eastAsia="方正仿宋简体"/>
          <w:sz w:val="32"/>
          <w:szCs w:val="32"/>
        </w:rPr>
        <w:t>依法依规</w:t>
      </w:r>
      <w:r>
        <w:rPr>
          <w:rFonts w:ascii="Times New Roman" w:eastAsia="方正仿宋简体"/>
          <w:sz w:val="32"/>
          <w:szCs w:val="32"/>
        </w:rPr>
        <w:t>办理。</w:t>
      </w:r>
    </w:p>
    <w:p>
      <w:pPr>
        <w:keepNext w:val="0"/>
        <w:keepLines w:val="0"/>
        <w:pageBreakBefore w:val="0"/>
        <w:kinsoku/>
        <w:wordWrap/>
        <w:overflowPunct/>
        <w:topLinePunct w:val="0"/>
        <w:autoSpaceDE/>
        <w:autoSpaceDN/>
        <w:bidi w:val="0"/>
        <w:adjustRightInd/>
        <w:snapToGrid w:val="0"/>
        <w:spacing w:line="560" w:lineRule="exact"/>
        <w:ind w:left="579"/>
        <w:jc w:val="both"/>
        <w:textAlignment w:val="auto"/>
        <w:rPr>
          <w:rFonts w:hint="eastAsia" w:ascii="方正黑体简体" w:eastAsia="方正黑体简体"/>
          <w:sz w:val="32"/>
          <w:szCs w:val="32"/>
        </w:rPr>
      </w:pPr>
      <w:r>
        <w:rPr>
          <w:rFonts w:hint="eastAsia" w:ascii="方正黑体简体" w:eastAsia="方正黑体简体"/>
          <w:sz w:val="32"/>
          <w:szCs w:val="32"/>
        </w:rPr>
        <w:t>四、目标完成情况</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方正楷体简体" w:eastAsia="方正楷体简体"/>
          <w:sz w:val="32"/>
          <w:szCs w:val="32"/>
        </w:rPr>
      </w:pPr>
      <w:r>
        <w:rPr>
          <w:rFonts w:ascii="方正楷体简体" w:eastAsia="方正楷体简体"/>
          <w:sz w:val="32"/>
          <w:szCs w:val="32"/>
        </w:rPr>
        <w:t>（一）目标任务完成情况</w:t>
      </w:r>
    </w:p>
    <w:p>
      <w:pPr>
        <w:keepNext w:val="0"/>
        <w:keepLines w:val="0"/>
        <w:pageBreakBefore w:val="0"/>
        <w:kinsoku/>
        <w:wordWrap/>
        <w:overflowPunct/>
        <w:topLinePunct w:val="0"/>
        <w:autoSpaceDE/>
        <w:autoSpaceDN/>
        <w:bidi w:val="0"/>
        <w:adjustRightInd/>
        <w:snapToGrid w:val="0"/>
        <w:spacing w:line="560" w:lineRule="exact"/>
        <w:ind w:left="57" w:leftChars="27" w:firstLine="640"/>
        <w:jc w:val="both"/>
        <w:textAlignment w:val="auto"/>
        <w:rPr>
          <w:rFonts w:ascii="Times New Roman" w:eastAsia="方正仿宋简体"/>
          <w:sz w:val="32"/>
          <w:szCs w:val="32"/>
        </w:rPr>
      </w:pPr>
      <w:r>
        <w:rPr>
          <w:rFonts w:ascii="Times New Roman" w:eastAsia="方正仿宋简体"/>
          <w:sz w:val="32"/>
          <w:szCs w:val="32"/>
        </w:rPr>
        <w:t>所有项目均为常规类项目，全年目标任务</w:t>
      </w:r>
      <w:r>
        <w:rPr>
          <w:rFonts w:hint="eastAsia" w:ascii="Times New Roman" w:eastAsia="方正仿宋简体"/>
          <w:sz w:val="32"/>
          <w:szCs w:val="32"/>
        </w:rPr>
        <w:t>量、完成质量及进度均</w:t>
      </w:r>
      <w:r>
        <w:rPr>
          <w:rFonts w:ascii="Times New Roman" w:eastAsia="方正仿宋简体"/>
          <w:sz w:val="32"/>
          <w:szCs w:val="32"/>
        </w:rPr>
        <w:t>较好。</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方正楷体简体" w:eastAsia="方正楷体简体"/>
          <w:sz w:val="32"/>
          <w:szCs w:val="32"/>
        </w:rPr>
      </w:pPr>
      <w:r>
        <w:rPr>
          <w:rFonts w:hint="eastAsia" w:ascii="方正楷体简体" w:eastAsia="方正楷体简体"/>
          <w:sz w:val="32"/>
          <w:szCs w:val="32"/>
        </w:rPr>
        <w:t>（二）</w:t>
      </w:r>
      <w:r>
        <w:rPr>
          <w:rFonts w:ascii="方正楷体简体" w:eastAsia="方正楷体简体"/>
          <w:sz w:val="32"/>
          <w:szCs w:val="32"/>
        </w:rPr>
        <w:t>项目效益情况</w:t>
      </w:r>
    </w:p>
    <w:p>
      <w:pPr>
        <w:keepNext w:val="0"/>
        <w:keepLines w:val="0"/>
        <w:pageBreakBefore w:val="0"/>
        <w:tabs>
          <w:tab w:val="left" w:pos="3885"/>
        </w:tabs>
        <w:kinsoku/>
        <w:wordWrap/>
        <w:overflowPunct/>
        <w:topLinePunct w:val="0"/>
        <w:autoSpaceDE/>
        <w:autoSpaceDN/>
        <w:bidi w:val="0"/>
        <w:adjustRightInd/>
        <w:snapToGrid w:val="0"/>
        <w:spacing w:line="560" w:lineRule="exact"/>
        <w:ind w:firstLine="640" w:firstLineChars="200"/>
        <w:jc w:val="both"/>
        <w:textAlignment w:val="auto"/>
        <w:rPr>
          <w:rFonts w:hint="eastAsia" w:ascii="方正黑体简体" w:eastAsia="方正黑体简体"/>
          <w:sz w:val="32"/>
          <w:szCs w:val="32"/>
        </w:rPr>
      </w:pPr>
      <w:r>
        <w:rPr>
          <w:rFonts w:hint="eastAsia" w:ascii="Times New Roman" w:eastAsia="方正仿宋简体"/>
          <w:sz w:val="32"/>
          <w:szCs w:val="32"/>
        </w:rPr>
        <w:t>督查推动党的十九大精神、</w:t>
      </w:r>
      <w:r>
        <w:rPr>
          <w:rFonts w:hint="eastAsia" w:eastAsia="方正仿宋简体"/>
          <w:sz w:val="32"/>
          <w:szCs w:val="32"/>
          <w:lang w:eastAsia="zh-CN"/>
        </w:rPr>
        <w:t>环保督察</w:t>
      </w:r>
      <w:r>
        <w:rPr>
          <w:rFonts w:hint="eastAsia" w:ascii="Times New Roman" w:eastAsia="方正仿宋简体"/>
          <w:sz w:val="32"/>
          <w:szCs w:val="32"/>
        </w:rPr>
        <w:t>、稳增长、脱贫攻坚、全面深化改革、依法治市、全面从严治党等重要部署落地落实</w:t>
      </w:r>
      <w:r>
        <w:rPr>
          <w:rFonts w:ascii="Times New Roman" w:eastAsia="方正仿宋简体"/>
          <w:sz w:val="32"/>
          <w:szCs w:val="32"/>
        </w:rPr>
        <w:t>。</w:t>
      </w:r>
    </w:p>
    <w:p>
      <w:pPr>
        <w:keepNext w:val="0"/>
        <w:keepLines w:val="0"/>
        <w:pageBreakBefore w:val="0"/>
        <w:kinsoku/>
        <w:wordWrap/>
        <w:overflowPunct/>
        <w:topLinePunct w:val="0"/>
        <w:autoSpaceDE/>
        <w:autoSpaceDN/>
        <w:bidi w:val="0"/>
        <w:adjustRightInd/>
        <w:snapToGrid w:val="0"/>
        <w:spacing w:line="560" w:lineRule="exact"/>
        <w:ind w:left="579"/>
        <w:jc w:val="both"/>
        <w:textAlignment w:val="auto"/>
        <w:rPr>
          <w:rFonts w:ascii="方正黑体简体" w:eastAsia="方正黑体简体"/>
          <w:sz w:val="32"/>
          <w:szCs w:val="32"/>
        </w:rPr>
      </w:pPr>
      <w:r>
        <w:rPr>
          <w:rFonts w:ascii="方正黑体简体" w:eastAsia="方正黑体简体"/>
          <w:sz w:val="32"/>
          <w:szCs w:val="32"/>
        </w:rPr>
        <w:t>五、</w:t>
      </w:r>
      <w:r>
        <w:rPr>
          <w:rFonts w:hint="eastAsia" w:ascii="方正黑体简体" w:eastAsia="方正黑体简体"/>
          <w:sz w:val="32"/>
          <w:szCs w:val="32"/>
        </w:rPr>
        <w:t>结论、</w:t>
      </w:r>
      <w:r>
        <w:rPr>
          <w:rFonts w:ascii="方正黑体简体" w:eastAsia="方正黑体简体"/>
          <w:sz w:val="32"/>
          <w:szCs w:val="32"/>
        </w:rPr>
        <w:t>存在的问题及建议</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eastAsia="方正仿宋简体"/>
          <w:sz w:val="32"/>
          <w:szCs w:val="32"/>
        </w:rPr>
      </w:pPr>
      <w:r>
        <w:rPr>
          <w:rFonts w:hint="eastAsia" w:ascii="Times New Roman" w:eastAsia="方正仿宋简体"/>
          <w:sz w:val="32"/>
          <w:szCs w:val="32"/>
        </w:rPr>
        <w:t>为使预算编制更准确，建议财政改善预算编制口径，将增量预算改为零基预算，使各部门资金管理更规范、项目绩效目标更清晰。</w:t>
      </w:r>
    </w:p>
    <w:p>
      <w:pPr>
        <w:pStyle w:val="10"/>
        <w:keepNext w:val="0"/>
        <w:keepLines w:val="0"/>
        <w:pageBreakBefore w:val="0"/>
        <w:widowControl/>
        <w:kinsoku/>
        <w:wordWrap/>
        <w:overflowPunct/>
        <w:topLinePunct w:val="0"/>
        <w:autoSpaceDE/>
        <w:autoSpaceDN/>
        <w:bidi w:val="0"/>
        <w:adjustRightInd/>
        <w:spacing w:before="0" w:beforeAutospacing="0" w:after="0" w:afterAutospacing="0" w:line="560" w:lineRule="exact"/>
        <w:jc w:val="both"/>
        <w:textAlignment w:val="auto"/>
        <w:rPr>
          <w:rFonts w:ascii="Times New Roman" w:eastAsia="方正仿宋简体"/>
          <w:bCs/>
          <w:color w:val="000000"/>
          <w:kern w:val="2"/>
          <w:sz w:val="32"/>
          <w:szCs w:val="32"/>
        </w:rPr>
      </w:pPr>
    </w:p>
    <w:p>
      <w:pPr>
        <w:pStyle w:val="2"/>
        <w:keepNext w:val="0"/>
        <w:keepLines w:val="0"/>
        <w:pageBreakBefore w:val="0"/>
        <w:kinsoku/>
        <w:wordWrap/>
        <w:overflowPunct/>
        <w:topLinePunct w:val="0"/>
        <w:autoSpaceDE/>
        <w:autoSpaceDN/>
        <w:bidi w:val="0"/>
        <w:adjustRightInd/>
        <w:spacing w:line="560" w:lineRule="exact"/>
        <w:jc w:val="both"/>
        <w:textAlignment w:val="auto"/>
        <w:rPr>
          <w:rFonts w:ascii="仿宋_GB2312" w:hAnsi="仿宋" w:eastAsia="仿宋_GB2312"/>
          <w:color w:val="0000FF"/>
          <w:sz w:val="32"/>
          <w:szCs w:val="32"/>
        </w:rPr>
      </w:pPr>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lang w:val="zh-CN"/>
      </w:rPr>
      <w:t>8</w:t>
    </w:r>
    <w:r>
      <w:rPr>
        <w:rFonts w:ascii="Arial" w:hAnsi="Arial" w:cs="Arial"/>
        <w:sz w:val="24"/>
        <w:szCs w:val="2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4DA1B"/>
    <w:multiLevelType w:val="singleLevel"/>
    <w:tmpl w:val="A884DA1B"/>
    <w:lvl w:ilvl="0" w:tentative="0">
      <w:start w:val="1"/>
      <w:numFmt w:val="decimal"/>
      <w:suff w:val="nothing"/>
      <w:lvlText w:val="%1、"/>
      <w:lvlJc w:val="left"/>
    </w:lvl>
  </w:abstractNum>
  <w:abstractNum w:abstractNumId="1">
    <w:nsid w:val="BC39DE99"/>
    <w:multiLevelType w:val="singleLevel"/>
    <w:tmpl w:val="BC39DE99"/>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D3699AF"/>
    <w:multiLevelType w:val="singleLevel"/>
    <w:tmpl w:val="DD3699AF"/>
    <w:lvl w:ilvl="0" w:tentative="0">
      <w:start w:val="3"/>
      <w:numFmt w:val="chineseCounting"/>
      <w:suff w:val="nothing"/>
      <w:lvlText w:val="（%1）"/>
      <w:lvlJc w:val="left"/>
      <w:rPr>
        <w:rFonts w:hint="eastAsia"/>
      </w:rPr>
    </w:lvl>
  </w:abstractNum>
  <w:abstractNum w:abstractNumId="4">
    <w:nsid w:val="1F904211"/>
    <w:multiLevelType w:val="singleLevel"/>
    <w:tmpl w:val="1F904211"/>
    <w:lvl w:ilvl="0" w:tentative="0">
      <w:start w:val="3"/>
      <w:numFmt w:val="chineseCounting"/>
      <w:suff w:val="space"/>
      <w:lvlText w:val="第%1部分"/>
      <w:lvlJc w:val="left"/>
      <w:rPr>
        <w:rFonts w:hint="eastAsia"/>
      </w:rPr>
    </w:lvl>
  </w:abstractNum>
  <w:abstractNum w:abstractNumId="5">
    <w:nsid w:val="263DF72F"/>
    <w:multiLevelType w:val="singleLevel"/>
    <w:tmpl w:val="263DF72F"/>
    <w:lvl w:ilvl="0" w:tentative="0">
      <w:start w:val="1"/>
      <w:numFmt w:val="chineseCounting"/>
      <w:suff w:val="nothing"/>
      <w:lvlText w:val="（%1）"/>
      <w:lvlJc w:val="left"/>
      <w:rPr>
        <w:rFonts w:hint="eastAsia"/>
      </w:rPr>
    </w:lvl>
  </w:abstractNum>
  <w:abstractNum w:abstractNumId="6">
    <w:nsid w:val="4CBBB336"/>
    <w:multiLevelType w:val="singleLevel"/>
    <w:tmpl w:val="4CBBB336"/>
    <w:lvl w:ilvl="0" w:tentative="0">
      <w:start w:val="1"/>
      <w:numFmt w:val="chineseCounting"/>
      <w:suff w:val="nothing"/>
      <w:lvlText w:val="（%1）"/>
      <w:lvlJc w:val="left"/>
      <w:rPr>
        <w:rFonts w:hint="eastAsia"/>
      </w:rPr>
    </w:lvl>
  </w:abstractNum>
  <w:abstractNum w:abstractNumId="7">
    <w:nsid w:val="59F42C7E"/>
    <w:multiLevelType w:val="singleLevel"/>
    <w:tmpl w:val="59F42C7E"/>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86B"/>
    <w:rsid w:val="00026A4C"/>
    <w:rsid w:val="00034F1F"/>
    <w:rsid w:val="00041CB8"/>
    <w:rsid w:val="00061F81"/>
    <w:rsid w:val="000C5EB4"/>
    <w:rsid w:val="00101419"/>
    <w:rsid w:val="0011645C"/>
    <w:rsid w:val="001275DE"/>
    <w:rsid w:val="001618A9"/>
    <w:rsid w:val="00172A27"/>
    <w:rsid w:val="001B227F"/>
    <w:rsid w:val="001D287B"/>
    <w:rsid w:val="001E3F50"/>
    <w:rsid w:val="0021589F"/>
    <w:rsid w:val="0024226F"/>
    <w:rsid w:val="002854AE"/>
    <w:rsid w:val="002A55F7"/>
    <w:rsid w:val="002D6392"/>
    <w:rsid w:val="002E7BA6"/>
    <w:rsid w:val="002F4B6D"/>
    <w:rsid w:val="00305D1B"/>
    <w:rsid w:val="00310AAB"/>
    <w:rsid w:val="003139C1"/>
    <w:rsid w:val="00317C02"/>
    <w:rsid w:val="003713F6"/>
    <w:rsid w:val="003D2019"/>
    <w:rsid w:val="003F2441"/>
    <w:rsid w:val="004135C7"/>
    <w:rsid w:val="004473D7"/>
    <w:rsid w:val="00450F65"/>
    <w:rsid w:val="00464A02"/>
    <w:rsid w:val="00473DC3"/>
    <w:rsid w:val="0048423D"/>
    <w:rsid w:val="004D4996"/>
    <w:rsid w:val="00503503"/>
    <w:rsid w:val="00532B71"/>
    <w:rsid w:val="00554195"/>
    <w:rsid w:val="005579AB"/>
    <w:rsid w:val="00567A72"/>
    <w:rsid w:val="00570C0A"/>
    <w:rsid w:val="00575825"/>
    <w:rsid w:val="005905E3"/>
    <w:rsid w:val="005A3D5E"/>
    <w:rsid w:val="005A4509"/>
    <w:rsid w:val="005A47CE"/>
    <w:rsid w:val="005E4E4D"/>
    <w:rsid w:val="006001D6"/>
    <w:rsid w:val="0064180E"/>
    <w:rsid w:val="00645E3A"/>
    <w:rsid w:val="006812D0"/>
    <w:rsid w:val="006A23C1"/>
    <w:rsid w:val="006E60B3"/>
    <w:rsid w:val="00702A60"/>
    <w:rsid w:val="00706984"/>
    <w:rsid w:val="0073534B"/>
    <w:rsid w:val="00740B92"/>
    <w:rsid w:val="00751533"/>
    <w:rsid w:val="007B5127"/>
    <w:rsid w:val="007E74DE"/>
    <w:rsid w:val="00820DBC"/>
    <w:rsid w:val="00873070"/>
    <w:rsid w:val="008A17D5"/>
    <w:rsid w:val="00916A88"/>
    <w:rsid w:val="00936CDD"/>
    <w:rsid w:val="009375CC"/>
    <w:rsid w:val="009906CE"/>
    <w:rsid w:val="009946F2"/>
    <w:rsid w:val="00A41893"/>
    <w:rsid w:val="00A5362E"/>
    <w:rsid w:val="00A72869"/>
    <w:rsid w:val="00AB0BE6"/>
    <w:rsid w:val="00AE076C"/>
    <w:rsid w:val="00B27A04"/>
    <w:rsid w:val="00B6470D"/>
    <w:rsid w:val="00B67AB5"/>
    <w:rsid w:val="00B96239"/>
    <w:rsid w:val="00BB4E28"/>
    <w:rsid w:val="00BD11F3"/>
    <w:rsid w:val="00BE1D9D"/>
    <w:rsid w:val="00C019E2"/>
    <w:rsid w:val="00C12E4C"/>
    <w:rsid w:val="00C33B94"/>
    <w:rsid w:val="00C4437E"/>
    <w:rsid w:val="00C73323"/>
    <w:rsid w:val="00C86F58"/>
    <w:rsid w:val="00CA1D75"/>
    <w:rsid w:val="00CA77AF"/>
    <w:rsid w:val="00CB64BD"/>
    <w:rsid w:val="00D13B73"/>
    <w:rsid w:val="00D36C1E"/>
    <w:rsid w:val="00D5348B"/>
    <w:rsid w:val="00D8690C"/>
    <w:rsid w:val="00DB7063"/>
    <w:rsid w:val="00DF51FA"/>
    <w:rsid w:val="00E07F79"/>
    <w:rsid w:val="00E171F5"/>
    <w:rsid w:val="00E247A4"/>
    <w:rsid w:val="00E27FB4"/>
    <w:rsid w:val="00E5453B"/>
    <w:rsid w:val="00E76BF6"/>
    <w:rsid w:val="00E9670D"/>
    <w:rsid w:val="00EA1AA6"/>
    <w:rsid w:val="00EC4F2A"/>
    <w:rsid w:val="00EC7E48"/>
    <w:rsid w:val="00ED69D3"/>
    <w:rsid w:val="00F15835"/>
    <w:rsid w:val="00F2147E"/>
    <w:rsid w:val="00F9579B"/>
    <w:rsid w:val="00F961CE"/>
    <w:rsid w:val="00FC487F"/>
    <w:rsid w:val="047E03E0"/>
    <w:rsid w:val="06E4393F"/>
    <w:rsid w:val="085A1573"/>
    <w:rsid w:val="0B57655D"/>
    <w:rsid w:val="0B6F7676"/>
    <w:rsid w:val="0F1D6D7A"/>
    <w:rsid w:val="141D7A63"/>
    <w:rsid w:val="16596861"/>
    <w:rsid w:val="16E43BB3"/>
    <w:rsid w:val="1C9E0B44"/>
    <w:rsid w:val="1D1D2590"/>
    <w:rsid w:val="25FC6AF6"/>
    <w:rsid w:val="278C4107"/>
    <w:rsid w:val="282444D2"/>
    <w:rsid w:val="29730851"/>
    <w:rsid w:val="2C9741A9"/>
    <w:rsid w:val="2F9A6B24"/>
    <w:rsid w:val="30493435"/>
    <w:rsid w:val="322363F5"/>
    <w:rsid w:val="322E0D88"/>
    <w:rsid w:val="335655D2"/>
    <w:rsid w:val="33612F82"/>
    <w:rsid w:val="36A7082C"/>
    <w:rsid w:val="37D07BBF"/>
    <w:rsid w:val="38185A42"/>
    <w:rsid w:val="39E7679B"/>
    <w:rsid w:val="3A903FDB"/>
    <w:rsid w:val="3AD7423E"/>
    <w:rsid w:val="3CB37406"/>
    <w:rsid w:val="3E586B33"/>
    <w:rsid w:val="3EA366AB"/>
    <w:rsid w:val="3F294021"/>
    <w:rsid w:val="415667FD"/>
    <w:rsid w:val="420419D8"/>
    <w:rsid w:val="43DE2536"/>
    <w:rsid w:val="43FC74AA"/>
    <w:rsid w:val="44F6624B"/>
    <w:rsid w:val="45A62CA7"/>
    <w:rsid w:val="45AF0672"/>
    <w:rsid w:val="464B3E07"/>
    <w:rsid w:val="47843444"/>
    <w:rsid w:val="4B620BCE"/>
    <w:rsid w:val="4C72139D"/>
    <w:rsid w:val="4EFF4D7B"/>
    <w:rsid w:val="4FF222E3"/>
    <w:rsid w:val="51447A2D"/>
    <w:rsid w:val="52E57B80"/>
    <w:rsid w:val="52EE7641"/>
    <w:rsid w:val="571022D6"/>
    <w:rsid w:val="5B5C315C"/>
    <w:rsid w:val="5B727AEB"/>
    <w:rsid w:val="5C722355"/>
    <w:rsid w:val="5D6467F0"/>
    <w:rsid w:val="5D88244F"/>
    <w:rsid w:val="5D9C36D4"/>
    <w:rsid w:val="5E4F4DF7"/>
    <w:rsid w:val="5E63196D"/>
    <w:rsid w:val="5EF95CCF"/>
    <w:rsid w:val="62EC6552"/>
    <w:rsid w:val="666D2FD5"/>
    <w:rsid w:val="6B4B1628"/>
    <w:rsid w:val="6CAE7003"/>
    <w:rsid w:val="6D0E1941"/>
    <w:rsid w:val="71805634"/>
    <w:rsid w:val="74317C49"/>
    <w:rsid w:val="749C16FA"/>
    <w:rsid w:val="76E7006B"/>
    <w:rsid w:val="77292895"/>
    <w:rsid w:val="79F0716C"/>
    <w:rsid w:val="7A54525E"/>
    <w:rsid w:val="7D461FEF"/>
    <w:rsid w:val="7D903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pPr>
      <w:spacing w:beforeLines="30"/>
    </w:pPr>
    <w:rPr>
      <w:rFonts w:ascii="仿宋_GB2312" w:eastAsia="仿宋_GB2312"/>
      <w:sz w:val="30"/>
    </w:rPr>
  </w:style>
  <w:style w:type="paragraph" w:styleId="5">
    <w:name w:val="Balloon Text"/>
    <w:basedOn w:val="1"/>
    <w:semiHidden/>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99"/>
    <w:rPr>
      <w:b/>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正文文本 Char"/>
    <w:basedOn w:val="12"/>
    <w:link w:val="2"/>
    <w:qFormat/>
    <w:uiPriority w:val="0"/>
    <w:rPr>
      <w:rFonts w:ascii="仿宋_GB2312" w:eastAsia="仿宋_GB2312"/>
      <w:kern w:val="2"/>
      <w:sz w:val="30"/>
      <w:szCs w:val="24"/>
    </w:rPr>
  </w:style>
  <w:style w:type="character" w:customStyle="1" w:styleId="17">
    <w:name w:val="页脚 Char"/>
    <w:link w:val="6"/>
    <w:qFormat/>
    <w:uiPriority w:val="99"/>
    <w:rPr>
      <w:kern w:val="2"/>
      <w:sz w:val="18"/>
      <w:szCs w:val="18"/>
    </w:rPr>
  </w:style>
  <w:style w:type="character" w:customStyle="1" w:styleId="18">
    <w:name w:val="页眉 Char"/>
    <w:link w:val="7"/>
    <w:qFormat/>
    <w:uiPriority w:val="0"/>
    <w:rPr>
      <w:kern w:val="2"/>
      <w:sz w:val="18"/>
      <w:szCs w:val="18"/>
    </w:rPr>
  </w:style>
  <w:style w:type="paragraph" w:customStyle="1" w:styleId="19">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0">
    <w:name w:val="List Paragraph"/>
    <w:basedOn w:val="1"/>
    <w:qFormat/>
    <w:uiPriority w:val="34"/>
    <w:pPr>
      <w:ind w:firstLine="420" w:firstLineChars="200"/>
    </w:pPr>
  </w:style>
  <w:style w:type="character" w:customStyle="1" w:styleId="21">
    <w:name w:val="标题 1 Char"/>
    <w:basedOn w:val="12"/>
    <w:link w:val="3"/>
    <w:qFormat/>
    <w:uiPriority w:val="9"/>
    <w:rPr>
      <w:b/>
      <w:bCs/>
      <w:kern w:val="44"/>
      <w:sz w:val="44"/>
      <w:szCs w:val="44"/>
    </w:rPr>
  </w:style>
  <w:style w:type="character" w:customStyle="1" w:styleId="22">
    <w:name w:val="标题 2 Char"/>
    <w:basedOn w:val="12"/>
    <w:link w:val="4"/>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591549295775"/>
          <c:y val="0.123953262877559"/>
          <c:w val="0.641118712273642"/>
          <c:h val="0.753679873217116"/>
        </c:manualLayout>
      </c:layout>
      <c:barChart>
        <c:barDir val="col"/>
        <c:grouping val="clustered"/>
        <c:varyColors val="0"/>
        <c:ser>
          <c:idx val="0"/>
          <c:order val="0"/>
          <c:tx>
            <c:strRef>
              <c:f>Sheet1!$A$2</c:f>
              <c:strCache>
                <c:ptCount val="1"/>
                <c:pt idx="0">
                  <c:v>财政拨款收入</c:v>
                </c:pt>
              </c:strCache>
            </c:strRef>
          </c:tx>
          <c:spPr>
            <a:solidFill>
              <a:schemeClr val="accent1"/>
            </a:solidFill>
            <a:ln>
              <a:noFill/>
            </a:ln>
            <a:effectLst/>
          </c:spPr>
          <c:invertIfNegative val="0"/>
          <c:dLbls>
            <c:delete val="1"/>
          </c:dLbls>
          <c:cat>
            <c:numRef>
              <c:f>Sheet1!$B$1:$C$1</c:f>
              <c:numCache>
                <c:formatCode>General</c:formatCode>
                <c:ptCount val="2"/>
                <c:pt idx="0">
                  <c:v>2019</c:v>
                </c:pt>
                <c:pt idx="1">
                  <c:v>2018</c:v>
                </c:pt>
              </c:numCache>
            </c:numRef>
          </c:cat>
          <c:val>
            <c:numRef>
              <c:f>Sheet1!$B$2:$C$2</c:f>
              <c:numCache>
                <c:formatCode>#,##0.00</c:formatCode>
                <c:ptCount val="2"/>
                <c:pt idx="0">
                  <c:v>3690.76</c:v>
                </c:pt>
                <c:pt idx="1" c:formatCode="General">
                  <c:v>2927.05</c:v>
                </c:pt>
              </c:numCache>
            </c:numRef>
          </c:val>
        </c:ser>
        <c:ser>
          <c:idx val="1"/>
          <c:order val="1"/>
          <c:tx>
            <c:strRef>
              <c:f>Sheet1!$A$3</c:f>
              <c:strCache>
                <c:ptCount val="1"/>
                <c:pt idx="0">
                  <c:v>财政拨款支出</c:v>
                </c:pt>
              </c:strCache>
            </c:strRef>
          </c:tx>
          <c:spPr>
            <a:solidFill>
              <a:schemeClr val="accent2"/>
            </a:solidFill>
            <a:ln>
              <a:noFill/>
            </a:ln>
            <a:effectLst/>
          </c:spPr>
          <c:invertIfNegative val="0"/>
          <c:dLbls>
            <c:delete val="1"/>
          </c:dLbls>
          <c:cat>
            <c:numRef>
              <c:f>Sheet1!$B$1:$C$1</c:f>
              <c:numCache>
                <c:formatCode>General</c:formatCode>
                <c:ptCount val="2"/>
                <c:pt idx="0">
                  <c:v>2019</c:v>
                </c:pt>
                <c:pt idx="1">
                  <c:v>2018</c:v>
                </c:pt>
              </c:numCache>
            </c:numRef>
          </c:cat>
          <c:val>
            <c:numRef>
              <c:f>Sheet1!$B$3:$C$3</c:f>
              <c:numCache>
                <c:formatCode>General</c:formatCode>
                <c:ptCount val="2"/>
                <c:pt idx="0">
                  <c:v>3107.06</c:v>
                </c:pt>
                <c:pt idx="1">
                  <c:v>2686.61</c:v>
                </c:pt>
              </c:numCache>
            </c:numRef>
          </c:val>
        </c:ser>
        <c:dLbls>
          <c:showLegendKey val="0"/>
          <c:showVal val="0"/>
          <c:showCatName val="0"/>
          <c:showSerName val="0"/>
          <c:showPercent val="0"/>
          <c:showBubbleSize val="0"/>
        </c:dLbls>
        <c:gapWidth val="219"/>
        <c:overlap val="-27"/>
        <c:axId val="107667456"/>
        <c:axId val="107668992"/>
      </c:barChart>
      <c:catAx>
        <c:axId val="107667456"/>
        <c:scaling>
          <c:orientation val="minMax"/>
        </c:scaling>
        <c:delete val="0"/>
        <c:axPos val="b"/>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668992"/>
        <c:crosses val="autoZero"/>
        <c:auto val="1"/>
        <c:lblAlgn val="ctr"/>
        <c:lblOffset val="100"/>
        <c:tickLblSkip val="1"/>
        <c:noMultiLvlLbl val="0"/>
      </c:catAx>
      <c:valAx>
        <c:axId val="107668992"/>
        <c:scaling>
          <c:orientation val="minMax"/>
          <c:max val="40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in"/>
        <c:minorTickMark val="none"/>
        <c:tickLblPos val="nextTo"/>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667456"/>
        <c:crosses val="autoZero"/>
        <c:crossBetween val="between"/>
        <c:majorUnit val="50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041742286751"/>
          <c:y val="0.0928571428571429"/>
          <c:w val="0.413793103448276"/>
          <c:h val="0.814285714285715"/>
        </c:manualLayout>
      </c:layout>
      <c:pieChart>
        <c:varyColors val="1"/>
        <c:ser>
          <c:idx val="0"/>
          <c:order val="0"/>
          <c:tx>
            <c:strRef>
              <c:f>Sheet1!$A$2</c:f>
              <c:strCache>
                <c:ptCount val="1"/>
                <c:pt idx="0">
                  <c:v/>
                </c:pt>
              </c:strCache>
            </c:strRef>
          </c:tx>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elete val="1"/>
          </c:dLbls>
          <c:cat>
            <c:strRef>
              <c:f>Sheet1!$B$1:$F$1</c:f>
              <c:strCache>
                <c:ptCount val="5"/>
                <c:pt idx="0">
                  <c:v>一般公共服务支出</c:v>
                </c:pt>
                <c:pt idx="1">
                  <c:v>教育</c:v>
                </c:pt>
                <c:pt idx="2">
                  <c:v>社会保障和就业</c:v>
                </c:pt>
                <c:pt idx="3">
                  <c:v>医疗卫生与计划生育</c:v>
                </c:pt>
                <c:pt idx="4">
                  <c:v>住房保障</c:v>
                </c:pt>
              </c:strCache>
            </c:strRef>
          </c:cat>
          <c:val>
            <c:numRef>
              <c:f>Sheet1!$B$2:$F$2</c:f>
              <c:numCache>
                <c:formatCode>General</c:formatCode>
                <c:ptCount val="5"/>
                <c:pt idx="0">
                  <c:v>2881.73</c:v>
                </c:pt>
                <c:pt idx="1">
                  <c:v>3.71</c:v>
                </c:pt>
                <c:pt idx="2">
                  <c:v>97.62</c:v>
                </c:pt>
                <c:pt idx="3">
                  <c:v>56.24</c:v>
                </c:pt>
                <c:pt idx="4">
                  <c:v>67.77</c:v>
                </c:pt>
              </c:numCache>
            </c:numRef>
          </c:val>
        </c:ser>
        <c:ser>
          <c:idx val="1"/>
          <c:order val="1"/>
          <c:tx>
            <c:strRef>
              <c:f>Sheet1!$A$3</c:f>
              <c:strCache>
                <c:ptCount val="1"/>
                <c:pt idx="0">
                  <c:v/>
                </c:pt>
              </c:strCache>
            </c:strRef>
          </c:tx>
          <c:spPr>
            <a:solidFill>
              <a:srgbClr val="993366"/>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elete val="1"/>
          </c:dLbls>
          <c:cat>
            <c:strRef>
              <c:f>Sheet1!$B$1:$F$1</c:f>
              <c:strCache>
                <c:ptCount val="5"/>
                <c:pt idx="0">
                  <c:v>一般公共服务支出</c:v>
                </c:pt>
                <c:pt idx="1">
                  <c:v>教育</c:v>
                </c:pt>
                <c:pt idx="2">
                  <c:v>社会保障和就业</c:v>
                </c:pt>
                <c:pt idx="3">
                  <c:v>医疗卫生与计划生育</c:v>
                </c:pt>
                <c:pt idx="4">
                  <c:v>住房保障</c:v>
                </c:pt>
              </c:strCache>
            </c:strRef>
          </c:cat>
          <c:val>
            <c:numRef>
              <c:f>Sheet1!$B$3:$F$3</c:f>
              <c:numCache>
                <c:formatCode>General</c:formatCode>
                <c:ptCount val="5"/>
              </c:numCache>
            </c:numRef>
          </c:val>
        </c:ser>
        <c:ser>
          <c:idx val="2"/>
          <c:order val="2"/>
          <c:tx>
            <c:strRef>
              <c:f>Sheet1!$A$4</c:f>
              <c:strCache>
                <c:ptCount val="1"/>
                <c:pt idx="0">
                  <c:v/>
                </c:pt>
              </c:strCache>
            </c:strRef>
          </c:tx>
          <c:spPr>
            <a:solidFill>
              <a:srgbClr val="FFFFCC"/>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elete val="1"/>
          </c:dLbls>
          <c:cat>
            <c:strRef>
              <c:f>Sheet1!$B$1:$F$1</c:f>
              <c:strCache>
                <c:ptCount val="5"/>
                <c:pt idx="0">
                  <c:v>一般公共服务支出</c:v>
                </c:pt>
                <c:pt idx="1">
                  <c:v>教育</c:v>
                </c:pt>
                <c:pt idx="2">
                  <c:v>社会保障和就业</c:v>
                </c:pt>
                <c:pt idx="3">
                  <c:v>医疗卫生与计划生育</c:v>
                </c:pt>
                <c:pt idx="4">
                  <c:v>住房保障</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586206896551724"/>
          <c:y val="0.025"/>
          <c:w val="0.413793103448276"/>
          <c:h val="0.95"/>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manualLayout>
          <c:layoutTarget val="inner"/>
          <c:xMode val="edge"/>
          <c:yMode val="edge"/>
          <c:x val="0.0963322884012539"/>
          <c:y val="0.180286006128703"/>
          <c:w val="0.866833855799373"/>
          <c:h val="0.580541368743616"/>
        </c:manualLayout>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3690.76</c:v>
                </c:pt>
                <c:pt idx="1">
                  <c:v>3107.06</c:v>
                </c:pt>
              </c:numCache>
            </c:numRef>
          </c:val>
        </c:ser>
        <c:ser>
          <c:idx val="1"/>
          <c:order val="1"/>
          <c:tx>
            <c:strRef>
              <c:f>Sheet1!$C$1</c:f>
              <c:strCache>
                <c:ptCount val="1"/>
                <c:pt idx="0">
                  <c:v>2018</c:v>
                </c:pt>
              </c:strCache>
            </c:strRef>
          </c:tx>
          <c:spPr>
            <a:solidFill>
              <a:schemeClr val="accent2"/>
            </a:solidFill>
            <a:ln>
              <a:noFill/>
            </a:ln>
            <a:effectLst/>
          </c:spPr>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2927.05</c:v>
                </c:pt>
                <c:pt idx="1">
                  <c:v>2686.61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财政拨款收入</c:v>
                </c:pt>
                <c:pt idx="1">
                  <c:v>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56139238"/>
        <c:axId val="156707875"/>
      </c:barChart>
      <c:catAx>
        <c:axId val="95613923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707875"/>
        <c:crosses val="autoZero"/>
        <c:auto val="1"/>
        <c:lblAlgn val="ctr"/>
        <c:lblOffset val="100"/>
        <c:noMultiLvlLbl val="0"/>
      </c:catAx>
      <c:valAx>
        <c:axId val="156707875"/>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6139238"/>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041742286751"/>
          <c:y val="0.0928571428571429"/>
          <c:w val="0.413793103448276"/>
          <c:h val="0.814285714285715"/>
        </c:manualLayout>
      </c:layout>
      <c:pieChart>
        <c:varyColors val="1"/>
        <c:ser>
          <c:idx val="0"/>
          <c:order val="0"/>
          <c:tx>
            <c:strRef>
              <c:f>Sheet1!$A$2</c:f>
              <c:strCache>
                <c:ptCount val="1"/>
                <c:pt idx="0">
                  <c:v/>
                </c:pt>
              </c:strCache>
            </c:strRef>
          </c:tx>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elete val="1"/>
          </c:dLbls>
          <c:cat>
            <c:strRef>
              <c:f>Sheet1!$B$1:$F$1</c:f>
              <c:strCache>
                <c:ptCount val="5"/>
                <c:pt idx="0">
                  <c:v>一般公共服务支出</c:v>
                </c:pt>
                <c:pt idx="1">
                  <c:v>教育</c:v>
                </c:pt>
                <c:pt idx="2">
                  <c:v>社会保障和就业</c:v>
                </c:pt>
                <c:pt idx="3">
                  <c:v>医疗卫生与计划生育</c:v>
                </c:pt>
                <c:pt idx="4">
                  <c:v>住房保障</c:v>
                </c:pt>
              </c:strCache>
            </c:strRef>
          </c:cat>
          <c:val>
            <c:numRef>
              <c:f>Sheet1!$B$2:$F$2</c:f>
              <c:numCache>
                <c:formatCode>General</c:formatCode>
                <c:ptCount val="5"/>
                <c:pt idx="0">
                  <c:v>2881.73</c:v>
                </c:pt>
                <c:pt idx="1">
                  <c:v>3.71</c:v>
                </c:pt>
                <c:pt idx="2">
                  <c:v>97.62</c:v>
                </c:pt>
                <c:pt idx="3">
                  <c:v>56.24</c:v>
                </c:pt>
                <c:pt idx="4">
                  <c:v>67.77</c:v>
                </c:pt>
              </c:numCache>
            </c:numRef>
          </c:val>
        </c:ser>
        <c:ser>
          <c:idx val="1"/>
          <c:order val="1"/>
          <c:tx>
            <c:strRef>
              <c:f>Sheet1!$A$3</c:f>
              <c:strCache>
                <c:ptCount val="1"/>
                <c:pt idx="0">
                  <c:v/>
                </c:pt>
              </c:strCache>
            </c:strRef>
          </c:tx>
          <c:spPr>
            <a:solidFill>
              <a:srgbClr val="993366"/>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elete val="1"/>
          </c:dLbls>
          <c:cat>
            <c:strRef>
              <c:f>Sheet1!$B$1:$F$1</c:f>
              <c:strCache>
                <c:ptCount val="5"/>
                <c:pt idx="0">
                  <c:v>一般公共服务支出</c:v>
                </c:pt>
                <c:pt idx="1">
                  <c:v>教育</c:v>
                </c:pt>
                <c:pt idx="2">
                  <c:v>社会保障和就业</c:v>
                </c:pt>
                <c:pt idx="3">
                  <c:v>医疗卫生与计划生育</c:v>
                </c:pt>
                <c:pt idx="4">
                  <c:v>住房保障</c:v>
                </c:pt>
              </c:strCache>
            </c:strRef>
          </c:cat>
          <c:val>
            <c:numRef>
              <c:f>Sheet1!$B$3:$F$3</c:f>
              <c:numCache>
                <c:formatCode>General</c:formatCode>
                <c:ptCount val="5"/>
              </c:numCache>
            </c:numRef>
          </c:val>
        </c:ser>
        <c:ser>
          <c:idx val="2"/>
          <c:order val="2"/>
          <c:tx>
            <c:strRef>
              <c:f>Sheet1!$A$4</c:f>
              <c:strCache>
                <c:ptCount val="1"/>
                <c:pt idx="0">
                  <c:v/>
                </c:pt>
              </c:strCache>
            </c:strRef>
          </c:tx>
          <c:spPr>
            <a:solidFill>
              <a:srgbClr val="FFFFCC"/>
            </a:solidFill>
            <a:ln w="12700">
              <a:solidFill>
                <a:srgbClr val="000000"/>
              </a:solidFill>
              <a:prstDash val="solid"/>
            </a:ln>
          </c:spPr>
          <c:explosion val="0"/>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elete val="1"/>
          </c:dLbls>
          <c:cat>
            <c:strRef>
              <c:f>Sheet1!$B$1:$F$1</c:f>
              <c:strCache>
                <c:ptCount val="5"/>
                <c:pt idx="0">
                  <c:v>一般公共服务支出</c:v>
                </c:pt>
                <c:pt idx="1">
                  <c:v>教育</c:v>
                </c:pt>
                <c:pt idx="2">
                  <c:v>社会保障和就业</c:v>
                </c:pt>
                <c:pt idx="3">
                  <c:v>医疗卫生与计划生育</c:v>
                </c:pt>
                <c:pt idx="4">
                  <c:v>住房保障</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586206896551724"/>
          <c:y val="0.025"/>
          <c:w val="0.413793103448276"/>
          <c:h val="0.95"/>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2019年度三公经费</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因公出国（境）经费</c:v>
                </c:pt>
                <c:pt idx="1">
                  <c:v>公务用车运行维护费</c:v>
                </c:pt>
                <c:pt idx="2">
                  <c:v>公务接待费</c:v>
                </c:pt>
              </c:strCache>
            </c:strRef>
          </c:cat>
          <c:val>
            <c:numRef>
              <c:f>Sheet1!$B$2:$B$4</c:f>
              <c:numCache>
                <c:formatCode>General</c:formatCode>
                <c:ptCount val="3"/>
                <c:pt idx="0">
                  <c:v>7.45</c:v>
                </c:pt>
                <c:pt idx="1">
                  <c:v>68.99</c:v>
                </c:pt>
                <c:pt idx="2">
                  <c:v>3.92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038758231420508"/>
          <c:y val="0.898176967541129"/>
          <c:w val="0.922671683913452"/>
          <c:h val="0.068474877723432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Freesoho</Company>
  <Pages>9</Pages>
  <Words>862</Words>
  <Characters>4918</Characters>
  <Lines>40</Lines>
  <Paragraphs>11</Paragraphs>
  <TotalTime>154</TotalTime>
  <ScaleCrop>false</ScaleCrop>
  <LinksUpToDate>false</LinksUpToDate>
  <CharactersWithSpaces>5769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2015-09-11T05:27:00Z</dcterms:created>
  <dc:creator>lfq</dc:creator>
  <cp:lastModifiedBy>l</cp:lastModifiedBy>
  <cp:lastPrinted>2020-10-10T01:06:00Z</cp:lastPrinted>
  <dcterms:modified xsi:type="dcterms:W3CDTF">2024-04-23T01:47:07Z</dcterms:modified>
  <dc:title>部门决算分析报告撰写提纲（部门用）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2EA94F77AF71428AA3D1936D436FA283</vt:lpwstr>
  </property>
</Properties>
</file>