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宋体" w:eastAsia="微软雅黑"/>
          <w:sz w:val="72"/>
          <w:szCs w:val="72"/>
        </w:rPr>
      </w:pPr>
      <w:bookmarkStart w:id="0" w:name="_Toc15377425"/>
      <w:bookmarkStart w:id="1" w:name="_Toc15378441"/>
      <w:bookmarkStart w:id="2" w:name="_Toc15396475"/>
      <w:bookmarkStart w:id="3" w:name="_Toc15377193"/>
      <w:bookmarkStart w:id="4" w:name="_Toc15396597"/>
      <w:bookmarkStart w:id="5" w:name="_Toc15306267"/>
    </w:p>
    <w:p>
      <w:pPr>
        <w:spacing w:line="600" w:lineRule="exact"/>
        <w:jc w:val="center"/>
        <w:rPr>
          <w:rFonts w:ascii="微软雅黑" w:hAnsi="宋体" w:eastAsia="微软雅黑"/>
          <w:sz w:val="72"/>
          <w:szCs w:val="72"/>
        </w:rPr>
      </w:pPr>
    </w:p>
    <w:p>
      <w:pPr>
        <w:spacing w:line="600" w:lineRule="exact"/>
        <w:jc w:val="center"/>
        <w:rPr>
          <w:rFonts w:ascii="微软雅黑" w:hAnsi="宋体" w:eastAsia="微软雅黑"/>
          <w:sz w:val="72"/>
          <w:szCs w:val="72"/>
        </w:rPr>
      </w:pPr>
    </w:p>
    <w:p>
      <w:pPr>
        <w:adjustRightInd w:val="0"/>
        <w:snapToGrid w:val="0"/>
        <w:spacing w:line="360" w:lineRule="auto"/>
        <w:jc w:val="center"/>
        <w:outlineLvl w:val="0"/>
        <w:rPr>
          <w:rFonts w:ascii="黑体" w:hAnsi="黑体" w:eastAsia="黑体" w:cs="微软雅黑"/>
          <w:sz w:val="72"/>
          <w:szCs w:val="72"/>
        </w:rPr>
      </w:pPr>
      <w:bookmarkStart w:id="6" w:name="_Toc25579"/>
      <w:bookmarkStart w:id="7" w:name="_Toc24636"/>
      <w:r>
        <w:rPr>
          <w:rFonts w:hint="eastAsia" w:ascii="黑体" w:hAnsi="黑体" w:eastAsia="黑体" w:cs="微软雅黑"/>
          <w:sz w:val="72"/>
          <w:szCs w:val="72"/>
        </w:rPr>
        <w:t>2022年度</w:t>
      </w:r>
      <w:bookmarkEnd w:id="0"/>
      <w:bookmarkEnd w:id="1"/>
      <w:bookmarkEnd w:id="2"/>
      <w:bookmarkEnd w:id="3"/>
      <w:bookmarkEnd w:id="4"/>
      <w:bookmarkEnd w:id="6"/>
      <w:bookmarkEnd w:id="7"/>
    </w:p>
    <w:p>
      <w:pPr>
        <w:adjustRightInd w:val="0"/>
        <w:snapToGrid w:val="0"/>
        <w:spacing w:line="360" w:lineRule="auto"/>
        <w:jc w:val="center"/>
        <w:outlineLvl w:val="0"/>
        <w:rPr>
          <w:rFonts w:ascii="黑体" w:hAnsi="黑体" w:eastAsia="黑体" w:cs="微软雅黑"/>
          <w:sz w:val="72"/>
          <w:szCs w:val="72"/>
        </w:rPr>
      </w:pPr>
      <w:bookmarkStart w:id="8" w:name="_Toc15396598"/>
      <w:bookmarkStart w:id="9" w:name="_Toc15378442"/>
      <w:bookmarkStart w:id="10" w:name="_Toc15396476"/>
      <w:bookmarkStart w:id="11" w:name="_Toc15377194"/>
      <w:bookmarkStart w:id="12" w:name="_Toc15377426"/>
      <w:bookmarkStart w:id="13" w:name="_Toc1710"/>
      <w:bookmarkStart w:id="14" w:name="_Toc7548"/>
      <w:r>
        <w:rPr>
          <w:rFonts w:hint="eastAsia" w:ascii="黑体" w:hAnsi="黑体" w:eastAsia="黑体" w:cs="宋体"/>
          <w:sz w:val="72"/>
          <w:szCs w:val="72"/>
          <w:lang w:eastAsia="zh-CN"/>
        </w:rPr>
        <w:t>四川省</w:t>
      </w:r>
      <w:r>
        <w:rPr>
          <w:rFonts w:hint="eastAsia" w:ascii="黑体" w:hAnsi="黑体" w:eastAsia="黑体" w:cs="宋体"/>
          <w:sz w:val="72"/>
          <w:szCs w:val="72"/>
        </w:rPr>
        <w:t>政协</w:t>
      </w:r>
      <w:r>
        <w:rPr>
          <w:rFonts w:hint="eastAsia" w:ascii="黑体" w:hAnsi="黑体" w:eastAsia="黑体" w:cs="微软雅黑"/>
          <w:sz w:val="72"/>
          <w:szCs w:val="72"/>
        </w:rPr>
        <w:t>巴中市</w:t>
      </w:r>
      <w:bookmarkEnd w:id="5"/>
      <w:bookmarkStart w:id="15" w:name="_Toc15306268"/>
      <w:r>
        <w:rPr>
          <w:rFonts w:hint="eastAsia" w:ascii="黑体" w:hAnsi="黑体" w:eastAsia="黑体" w:cs="宋体"/>
          <w:sz w:val="72"/>
          <w:szCs w:val="72"/>
        </w:rPr>
        <w:t>委员会办公室</w:t>
      </w:r>
      <w:r>
        <w:rPr>
          <w:rFonts w:hint="eastAsia" w:ascii="黑体" w:hAnsi="黑体" w:eastAsia="黑体" w:cs="微软雅黑"/>
          <w:sz w:val="72"/>
          <w:szCs w:val="72"/>
        </w:rPr>
        <w:t>部门决算</w:t>
      </w:r>
      <w:bookmarkEnd w:id="8"/>
      <w:bookmarkEnd w:id="9"/>
      <w:bookmarkEnd w:id="10"/>
      <w:bookmarkEnd w:id="11"/>
      <w:bookmarkEnd w:id="12"/>
      <w:bookmarkEnd w:id="13"/>
      <w:bookmarkEnd w:id="14"/>
      <w:bookmarkEnd w:id="15"/>
    </w:p>
    <w:p>
      <w:pPr>
        <w:widowControl/>
        <w:jc w:val="center"/>
        <w:rPr>
          <w:rFonts w:ascii="黑体" w:hAnsi="黑体" w:eastAsia="黑体" w:cstheme="minorBidi"/>
          <w:sz w:val="28"/>
          <w:szCs w:val="28"/>
        </w:rPr>
      </w:pPr>
      <w:r>
        <w:rPr>
          <w:rFonts w:ascii="微软雅黑" w:hAnsi="宋体" w:eastAsia="微软雅黑"/>
          <w:sz w:val="36"/>
          <w:szCs w:val="36"/>
        </w:rPr>
        <w:br w:type="page"/>
      </w:r>
      <w:r>
        <w:rPr>
          <w:rFonts w:hint="eastAsia" w:ascii="黑体" w:hAnsi="黑体" w:eastAsia="黑体"/>
          <w:sz w:val="48"/>
          <w:szCs w:val="48"/>
        </w:rPr>
        <w:t>目录</w:t>
      </w:r>
    </w:p>
    <w:p>
      <w:pPr>
        <w:pStyle w:val="12"/>
      </w:pPr>
      <w:r>
        <w:rPr>
          <w:rFonts w:hint="eastAsia"/>
        </w:rPr>
        <w:t>公开时间：2023年10月1</w:t>
      </w:r>
      <w:r>
        <w:rPr>
          <w:rFonts w:hint="eastAsia"/>
          <w:lang w:val="en-US" w:eastAsia="zh-CN"/>
        </w:rPr>
        <w:t>1</w:t>
      </w:r>
      <w:r>
        <w:rPr>
          <w:rFonts w:hint="eastAsia"/>
        </w:rPr>
        <w:t>日</w:t>
      </w:r>
    </w:p>
    <w:p/>
    <w:sdt>
      <w:sdtPr>
        <w:rPr>
          <w:rFonts w:ascii="宋体" w:hAnsi="宋体"/>
          <w:sz w:val="24"/>
        </w:rPr>
        <w:id w:val="147460794"/>
        <w:docPartObj>
          <w:docPartGallery w:val="Table of Contents"/>
          <w:docPartUnique/>
        </w:docPartObj>
      </w:sdtPr>
      <w:sdtEndPr>
        <w:rPr>
          <w:rFonts w:ascii="宋体" w:hAnsi="宋体"/>
          <w:b/>
          <w:sz w:val="21"/>
        </w:rPr>
      </w:sdtEndPr>
      <w:sdtContent>
        <w:p>
          <w:pPr>
            <w:jc w:val="center"/>
            <w:rPr>
              <w:rFonts w:ascii="Times New Roman" w:hAnsi="Times New Roman" w:eastAsia="宋体" w:cs="Times New Roman"/>
              <w:b/>
              <w:kern w:val="2"/>
              <w:sz w:val="24"/>
              <w:szCs w:val="24"/>
              <w:lang w:val="en-US" w:eastAsia="zh-CN" w:bidi="ar-SA"/>
            </w:rPr>
          </w:pPr>
          <w:bookmarkStart w:id="16" w:name="_Toc15377196"/>
          <w:bookmarkStart w:id="17" w:name="_Toc15396599"/>
          <w:r>
            <w:rPr>
              <w:sz w:val="24"/>
            </w:rPr>
            <w:fldChar w:fldCharType="begin"/>
          </w:r>
          <w:r>
            <w:rPr>
              <w:sz w:val="24"/>
            </w:rPr>
            <w:instrText xml:space="preserve">TOC \o "1-2" \h \u </w:instrText>
          </w:r>
          <w:r>
            <w:rPr>
              <w:sz w:val="24"/>
            </w:rPr>
            <w:fldChar w:fldCharType="separate"/>
          </w:r>
        </w:p>
        <w:p>
          <w:pPr>
            <w:pStyle w:val="12"/>
            <w:tabs>
              <w:tab w:val="right" w:leader="dot" w:pos="8306"/>
              <w:tab w:val="clear" w:pos="8296"/>
            </w:tabs>
          </w:pPr>
          <w:r>
            <w:fldChar w:fldCharType="begin"/>
          </w:r>
          <w:r>
            <w:instrText xml:space="preserve"> HYPERLINK \l _Toc19851 </w:instrText>
          </w:r>
          <w: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_Toc19851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_Toc18058 </w:instrText>
          </w:r>
          <w:r>
            <w:fldChar w:fldCharType="separate"/>
          </w:r>
          <w:r>
            <w:rPr>
              <w:rFonts w:hint="eastAsia" w:ascii="黑体" w:hAnsi="黑体" w:eastAsia="黑体"/>
            </w:rPr>
            <w:t>一、部门职责</w:t>
          </w:r>
          <w:r>
            <w:tab/>
          </w:r>
          <w:r>
            <w:fldChar w:fldCharType="begin"/>
          </w:r>
          <w:r>
            <w:instrText xml:space="preserve"> PAGEREF _Toc18058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_Toc8631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_Toc8631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_Toc22691 </w:instrText>
          </w:r>
          <w:r>
            <w:fldChar w:fldCharType="separate"/>
          </w:r>
          <w:r>
            <w:rPr>
              <w:rFonts w:hint="eastAsia" w:ascii="黑体" w:hAnsi="黑体" w:eastAsia="黑体"/>
            </w:rPr>
            <w:t>第二部分 2022年度</w:t>
          </w:r>
          <w:r>
            <w:rPr>
              <w:rFonts w:hint="eastAsia" w:ascii="黑体" w:hAnsi="黑体" w:eastAsia="黑体"/>
              <w:bCs/>
            </w:rPr>
            <w:t>部门决算情况说明</w:t>
          </w:r>
          <w:r>
            <w:tab/>
          </w:r>
          <w:r>
            <w:fldChar w:fldCharType="begin"/>
          </w:r>
          <w:r>
            <w:instrText xml:space="preserve"> PAGEREF _Toc22691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_Toc18871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_Toc18871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_Toc10077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_Toc10077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_Toc12550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_Toc12550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_Toc1147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_Toc1147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_Toc30856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_Toc30856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_Toc10765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_Toc10765 \h </w:instrText>
          </w:r>
          <w:r>
            <w:fldChar w:fldCharType="separate"/>
          </w:r>
          <w:r>
            <w:t>11</w:t>
          </w:r>
          <w:r>
            <w:fldChar w:fldCharType="end"/>
          </w:r>
          <w:r>
            <w:fldChar w:fldCharType="end"/>
          </w:r>
        </w:p>
        <w:p>
          <w:pPr>
            <w:pStyle w:val="13"/>
            <w:tabs>
              <w:tab w:val="right" w:leader="dot" w:pos="8306"/>
              <w:tab w:val="clear" w:pos="8296"/>
            </w:tabs>
          </w:pPr>
          <w:r>
            <w:fldChar w:fldCharType="begin"/>
          </w:r>
          <w:r>
            <w:instrText xml:space="preserve"> HYPERLINK \l _Toc20137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_Toc20137 \h </w:instrText>
          </w:r>
          <w:r>
            <w:fldChar w:fldCharType="separate"/>
          </w:r>
          <w:r>
            <w:t>13</w:t>
          </w:r>
          <w:r>
            <w:fldChar w:fldCharType="end"/>
          </w:r>
          <w:r>
            <w:fldChar w:fldCharType="end"/>
          </w:r>
        </w:p>
        <w:p>
          <w:pPr>
            <w:pStyle w:val="13"/>
            <w:tabs>
              <w:tab w:val="right" w:leader="dot" w:pos="8306"/>
              <w:tab w:val="clear" w:pos="8296"/>
            </w:tabs>
          </w:pPr>
          <w:r>
            <w:fldChar w:fldCharType="begin"/>
          </w:r>
          <w:r>
            <w:instrText xml:space="preserve"> HYPERLINK \l _Toc3119 </w:instrText>
          </w:r>
          <w:r>
            <w:fldChar w:fldCharType="separate"/>
          </w:r>
          <w:r>
            <w:rPr>
              <w:rFonts w:hint="eastAsia" w:ascii="黑体" w:hAnsi="黑体" w:eastAsia="黑体"/>
            </w:rPr>
            <w:t>九、 国有资本经营预算支出决算情况说明</w:t>
          </w:r>
          <w:r>
            <w:tab/>
          </w:r>
          <w:r>
            <w:fldChar w:fldCharType="begin"/>
          </w:r>
          <w:r>
            <w:instrText xml:space="preserve"> PAGEREF _Toc3119 \h </w:instrText>
          </w:r>
          <w:r>
            <w:fldChar w:fldCharType="separate"/>
          </w:r>
          <w:r>
            <w:t>13</w:t>
          </w:r>
          <w:r>
            <w:fldChar w:fldCharType="end"/>
          </w:r>
          <w:r>
            <w:fldChar w:fldCharType="end"/>
          </w:r>
        </w:p>
        <w:p>
          <w:pPr>
            <w:pStyle w:val="13"/>
            <w:tabs>
              <w:tab w:val="right" w:leader="dot" w:pos="8306"/>
              <w:tab w:val="clear" w:pos="8296"/>
            </w:tabs>
          </w:pPr>
          <w:r>
            <w:fldChar w:fldCharType="begin"/>
          </w:r>
          <w:r>
            <w:instrText xml:space="preserve"> HYPERLINK \l _Toc32127 </w:instrText>
          </w:r>
          <w:r>
            <w:fldChar w:fldCharType="separate"/>
          </w:r>
          <w:r>
            <w:rPr>
              <w:rFonts w:hint="eastAsia" w:ascii="黑体" w:hAnsi="黑体" w:eastAsia="黑体"/>
            </w:rPr>
            <w:t>十、 其他重要事项的情况说明</w:t>
          </w:r>
          <w:r>
            <w:tab/>
          </w:r>
          <w:r>
            <w:fldChar w:fldCharType="begin"/>
          </w:r>
          <w:r>
            <w:instrText xml:space="preserve"> PAGEREF _Toc32127 \h </w:instrText>
          </w:r>
          <w:r>
            <w:fldChar w:fldCharType="separate"/>
          </w:r>
          <w:r>
            <w:t>14</w:t>
          </w:r>
          <w:r>
            <w:fldChar w:fldCharType="end"/>
          </w:r>
          <w:r>
            <w:fldChar w:fldCharType="end"/>
          </w:r>
        </w:p>
        <w:p>
          <w:pPr>
            <w:pStyle w:val="12"/>
            <w:tabs>
              <w:tab w:val="right" w:leader="dot" w:pos="8306"/>
              <w:tab w:val="clear" w:pos="8296"/>
            </w:tabs>
          </w:pPr>
          <w:r>
            <w:fldChar w:fldCharType="begin"/>
          </w:r>
          <w:r>
            <w:instrText xml:space="preserve"> HYPERLINK \l _Toc26649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_Toc26649 \h </w:instrText>
          </w:r>
          <w:r>
            <w:fldChar w:fldCharType="separate"/>
          </w:r>
          <w:r>
            <w:t>16</w:t>
          </w:r>
          <w:r>
            <w:fldChar w:fldCharType="end"/>
          </w:r>
          <w:r>
            <w:fldChar w:fldCharType="end"/>
          </w:r>
        </w:p>
        <w:p>
          <w:pPr>
            <w:pStyle w:val="12"/>
            <w:tabs>
              <w:tab w:val="right" w:leader="dot" w:pos="8306"/>
              <w:tab w:val="clear" w:pos="8296"/>
            </w:tabs>
          </w:pPr>
          <w:r>
            <w:fldChar w:fldCharType="begin"/>
          </w:r>
          <w:r>
            <w:instrText xml:space="preserve"> HYPERLINK \l _Toc30317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_Toc30317 \h </w:instrText>
          </w:r>
          <w:r>
            <w:fldChar w:fldCharType="separate"/>
          </w:r>
          <w:r>
            <w:t>19</w:t>
          </w:r>
          <w:r>
            <w:fldChar w:fldCharType="end"/>
          </w:r>
          <w:r>
            <w:fldChar w:fldCharType="end"/>
          </w:r>
        </w:p>
        <w:p>
          <w:pPr>
            <w:pStyle w:val="13"/>
            <w:tabs>
              <w:tab w:val="right" w:leader="dot" w:pos="8306"/>
              <w:tab w:val="clear" w:pos="8296"/>
            </w:tabs>
          </w:pPr>
          <w:r>
            <w:fldChar w:fldCharType="begin"/>
          </w:r>
          <w:r>
            <w:instrText xml:space="preserve"> HYPERLINK \l _Toc22386 </w:instrText>
          </w:r>
          <w:r>
            <w:fldChar w:fldCharType="separate"/>
          </w:r>
          <w:r>
            <w:rPr>
              <w:rFonts w:hint="eastAsia" w:ascii="黑体" w:hAnsi="黑体" w:eastAsia="黑体" w:cs="黑体"/>
              <w:szCs w:val="32"/>
            </w:rPr>
            <w:t>附件</w:t>
          </w:r>
          <w:r>
            <w:tab/>
          </w:r>
          <w:r>
            <w:fldChar w:fldCharType="begin"/>
          </w:r>
          <w:r>
            <w:instrText xml:space="preserve"> PAGEREF _Toc22386 \h </w:instrText>
          </w:r>
          <w:r>
            <w:fldChar w:fldCharType="separate"/>
          </w:r>
          <w:r>
            <w:t>19</w:t>
          </w:r>
          <w:r>
            <w:fldChar w:fldCharType="end"/>
          </w:r>
          <w:r>
            <w:fldChar w:fldCharType="end"/>
          </w:r>
        </w:p>
        <w:p>
          <w:pPr>
            <w:pStyle w:val="12"/>
            <w:tabs>
              <w:tab w:val="right" w:leader="dot" w:pos="8306"/>
              <w:tab w:val="clear" w:pos="8296"/>
            </w:tabs>
          </w:pPr>
          <w:r>
            <w:fldChar w:fldCharType="begin"/>
          </w:r>
          <w:r>
            <w:instrText xml:space="preserve"> HYPERLINK \l _Toc19428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_Toc19428 \h </w:instrText>
          </w:r>
          <w:r>
            <w:fldChar w:fldCharType="separate"/>
          </w:r>
          <w:r>
            <w:t>53</w:t>
          </w:r>
          <w:r>
            <w:fldChar w:fldCharType="end"/>
          </w:r>
          <w:r>
            <w:fldChar w:fldCharType="end"/>
          </w:r>
        </w:p>
        <w:p>
          <w:pPr>
            <w:pStyle w:val="13"/>
            <w:tabs>
              <w:tab w:val="right" w:leader="dot" w:pos="8306"/>
              <w:tab w:val="clear" w:pos="8296"/>
            </w:tabs>
          </w:pPr>
          <w:r>
            <w:fldChar w:fldCharType="begin"/>
          </w:r>
          <w:r>
            <w:instrText xml:space="preserve"> HYPERLINK \l _Toc32102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_Toc32102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_Toc1859 </w:instrText>
          </w:r>
          <w:r>
            <w:fldChar w:fldCharType="separate"/>
          </w:r>
          <w:r>
            <w:rPr>
              <w:rFonts w:hint="eastAsia" w:ascii="仿宋" w:hAnsi="仿宋" w:eastAsia="仿宋"/>
              <w:lang w:eastAsia="zh-CN"/>
            </w:rPr>
            <w:t>二、</w:t>
          </w:r>
          <w:r>
            <w:rPr>
              <w:rFonts w:hint="eastAsia" w:ascii="仿宋" w:hAnsi="仿宋" w:eastAsia="仿宋"/>
            </w:rPr>
            <w:t>收</w:t>
          </w:r>
          <w:r>
            <w:rPr>
              <w:rFonts w:hint="eastAsia" w:ascii="仿宋" w:hAnsi="仿宋" w:eastAsia="仿宋"/>
              <w:bCs w:val="0"/>
            </w:rPr>
            <w:t>入决算表</w:t>
          </w:r>
          <w:r>
            <w:tab/>
          </w:r>
          <w:r>
            <w:fldChar w:fldCharType="begin"/>
          </w:r>
          <w:r>
            <w:instrText xml:space="preserve"> PAGEREF _Toc1859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_Toc27186 </w:instrText>
          </w:r>
          <w:r>
            <w:fldChar w:fldCharType="separate"/>
          </w:r>
          <w:r>
            <w:rPr>
              <w:rFonts w:hint="eastAsia" w:ascii="仿宋" w:hAnsi="仿宋" w:eastAsia="仿宋"/>
              <w:lang w:eastAsia="zh-CN"/>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_Toc27186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_Toc27841 </w:instrText>
          </w:r>
          <w:r>
            <w:fldChar w:fldCharType="separate"/>
          </w:r>
          <w:r>
            <w:rPr>
              <w:rFonts w:hint="eastAsia" w:ascii="仿宋" w:hAnsi="仿宋" w:eastAsia="仿宋"/>
              <w:lang w:eastAsia="zh-CN"/>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_Toc27841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_Toc7215 </w:instrText>
          </w:r>
          <w:r>
            <w:fldChar w:fldCharType="separate"/>
          </w:r>
          <w:r>
            <w:rPr>
              <w:rFonts w:hint="eastAsia" w:ascii="仿宋" w:hAnsi="仿宋" w:eastAsia="仿宋"/>
              <w:lang w:eastAsia="zh-CN"/>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_Toc7215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_Toc32007 </w:instrText>
          </w:r>
          <w:r>
            <w:fldChar w:fldCharType="separate"/>
          </w:r>
          <w:r>
            <w:rPr>
              <w:rFonts w:hint="eastAsia" w:ascii="仿宋" w:hAnsi="仿宋" w:eastAsia="仿宋"/>
              <w:lang w:eastAsia="zh-CN"/>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_Toc32007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_Toc4044 </w:instrText>
          </w:r>
          <w:r>
            <w:fldChar w:fldCharType="separate"/>
          </w:r>
          <w:r>
            <w:rPr>
              <w:rFonts w:hint="eastAsia" w:ascii="仿宋" w:hAnsi="仿宋" w:eastAsia="仿宋"/>
              <w:lang w:eastAsia="zh-CN"/>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_Toc4044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_Toc28549 </w:instrText>
          </w:r>
          <w:r>
            <w:fldChar w:fldCharType="separate"/>
          </w:r>
          <w:r>
            <w:rPr>
              <w:rFonts w:hint="eastAsia" w:ascii="仿宋" w:hAnsi="仿宋" w:eastAsia="仿宋"/>
              <w:lang w:eastAsia="zh-CN"/>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_Toc28549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_Toc8304 </w:instrText>
          </w:r>
          <w:r>
            <w:fldChar w:fldCharType="separate"/>
          </w:r>
          <w:r>
            <w:rPr>
              <w:rFonts w:hint="eastAsia" w:ascii="仿宋" w:hAnsi="仿宋" w:eastAsia="仿宋"/>
              <w:lang w:eastAsia="zh-CN"/>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_Toc8304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_Toc5339 </w:instrText>
          </w:r>
          <w:r>
            <w:fldChar w:fldCharType="separate"/>
          </w:r>
          <w:r>
            <w:rPr>
              <w:rFonts w:hint="eastAsia" w:ascii="仿宋" w:hAnsi="仿宋" w:eastAsia="仿宋"/>
              <w:lang w:eastAsia="zh-CN"/>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_Toc5339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_Toc31690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_Toc31690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_Toc11612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_Toc11612 \h </w:instrText>
          </w:r>
          <w:r>
            <w:fldChar w:fldCharType="separate"/>
          </w:r>
          <w:r>
            <w:t>54</w:t>
          </w:r>
          <w:r>
            <w:fldChar w:fldCharType="end"/>
          </w:r>
          <w:r>
            <w:fldChar w:fldCharType="end"/>
          </w:r>
        </w:p>
        <w:p>
          <w:pPr>
            <w:pStyle w:val="13"/>
            <w:tabs>
              <w:tab w:val="right" w:leader="dot" w:pos="8306"/>
              <w:tab w:val="clear" w:pos="8296"/>
            </w:tabs>
          </w:pPr>
          <w:r>
            <w:fldChar w:fldCharType="begin"/>
          </w:r>
          <w:r>
            <w:instrText xml:space="preserve"> HYPERLINK \l _Toc3252 </w:instrText>
          </w:r>
          <w:r>
            <w:fldChar w:fldCharType="separate"/>
          </w:r>
          <w:r>
            <w:rPr>
              <w:rFonts w:hint="eastAsia" w:ascii="仿宋" w:hAnsi="仿宋" w:eastAsia="仿宋"/>
              <w:bCs w:val="0"/>
            </w:rPr>
            <w:t>十三、财政拨款“三公”经费支出决算表</w:t>
          </w:r>
          <w:r>
            <w:tab/>
          </w:r>
          <w:r>
            <w:fldChar w:fldCharType="begin"/>
          </w:r>
          <w:r>
            <w:instrText xml:space="preserve"> PAGEREF _Toc3252 \h </w:instrText>
          </w:r>
          <w:r>
            <w:fldChar w:fldCharType="separate"/>
          </w:r>
          <w:r>
            <w:t>54</w:t>
          </w:r>
          <w:r>
            <w:fldChar w:fldCharType="end"/>
          </w:r>
          <w:r>
            <w:fldChar w:fldCharType="end"/>
          </w:r>
        </w:p>
        <w:p>
          <w:pPr>
            <w:jc w:val="center"/>
          </w:pPr>
          <w:r>
            <w:rPr>
              <w:b/>
              <w:sz w:val="24"/>
            </w:rPr>
            <w:fldChar w:fldCharType="end"/>
          </w:r>
        </w:p>
      </w:sdtContent>
    </w:sdt>
    <w:p>
      <w:pPr>
        <w:rPr>
          <w:rFonts w:hint="eastAsia"/>
        </w:rPr>
      </w:pPr>
    </w:p>
    <w:p>
      <w:pPr>
        <w:pStyle w:val="3"/>
        <w:jc w:val="center"/>
        <w:rPr>
          <w:rFonts w:ascii="黑体" w:eastAsia="黑体"/>
          <w:sz w:val="32"/>
          <w:szCs w:val="32"/>
        </w:rPr>
      </w:pPr>
      <w:bookmarkStart w:id="18" w:name="_Toc19851"/>
      <w:r>
        <w:rPr>
          <w:rFonts w:hint="eastAsia" w:ascii="黑体" w:hAnsi="黑体" w:eastAsia="黑体"/>
          <w:b w:val="0"/>
        </w:rPr>
        <w:t xml:space="preserve">第一部分 </w:t>
      </w:r>
      <w:r>
        <w:rPr>
          <w:rStyle w:val="28"/>
          <w:rFonts w:hint="eastAsia" w:ascii="黑体" w:hAnsi="黑体" w:eastAsia="黑体"/>
          <w:b w:val="0"/>
          <w:bCs w:val="0"/>
        </w:rPr>
        <w:t>部门概况</w:t>
      </w:r>
      <w:bookmarkEnd w:id="16"/>
      <w:bookmarkEnd w:id="17"/>
      <w:bookmarkEnd w:id="18"/>
    </w:p>
    <w:p>
      <w:pPr>
        <w:pStyle w:val="4"/>
        <w:pageBreakBefore w:val="0"/>
        <w:kinsoku/>
        <w:wordWrap/>
        <w:overflowPunct/>
        <w:topLinePunct w:val="0"/>
        <w:autoSpaceDE/>
        <w:autoSpaceDN/>
        <w:bidi w:val="0"/>
        <w:spacing w:before="0" w:after="0"/>
        <w:textAlignment w:val="auto"/>
        <w:rPr>
          <w:rFonts w:hint="eastAsia" w:ascii="黑体" w:hAnsi="黑体" w:eastAsia="黑体"/>
          <w:b w:val="0"/>
        </w:rPr>
      </w:pPr>
      <w:bookmarkStart w:id="19" w:name="_Toc15377197"/>
      <w:bookmarkStart w:id="20" w:name="_Toc15396600"/>
      <w:bookmarkStart w:id="21" w:name="_Toc18058"/>
      <w:r>
        <w:rPr>
          <w:rFonts w:hint="eastAsia" w:ascii="黑体" w:hAnsi="黑体" w:eastAsia="黑体"/>
          <w:b w:val="0"/>
        </w:rPr>
        <w:t>一、</w:t>
      </w:r>
      <w:bookmarkEnd w:id="19"/>
      <w:bookmarkEnd w:id="20"/>
      <w:r>
        <w:rPr>
          <w:rFonts w:hint="eastAsia" w:ascii="黑体" w:hAnsi="黑体" w:eastAsia="黑体"/>
          <w:b w:val="0"/>
        </w:rPr>
        <w:t>部门职责</w:t>
      </w:r>
      <w:bookmarkEnd w:id="21"/>
    </w:p>
    <w:p>
      <w:pPr>
        <w:pStyle w:val="2"/>
        <w:pageBreakBefore w:val="0"/>
        <w:widowControl/>
        <w:kinsoku/>
        <w:wordWrap/>
        <w:overflowPunct/>
        <w:topLinePunct w:val="0"/>
        <w:autoSpaceDE/>
        <w:autoSpaceDN/>
        <w:bidi w:val="0"/>
        <w:adjustRightInd w:val="0"/>
        <w:snapToGrid w:val="0"/>
        <w:spacing w:beforeLines="0" w:line="560" w:lineRule="exact"/>
        <w:ind w:firstLine="672" w:firstLineChars="210"/>
        <w:textAlignment w:val="auto"/>
        <w:outlineLvl w:val="2"/>
      </w:pPr>
      <w:r>
        <w:rPr>
          <w:rFonts w:ascii="仿宋" w:hAnsi="仿宋" w:eastAsia="仿宋"/>
          <w:bCs/>
          <w:sz w:val="32"/>
          <w:szCs w:val="32"/>
        </w:rPr>
        <w:t>政协的基本职能</w:t>
      </w:r>
      <w:r>
        <w:rPr>
          <w:rFonts w:hint="eastAsia" w:ascii="仿宋" w:hAnsi="仿宋" w:eastAsia="仿宋"/>
          <w:bCs/>
          <w:sz w:val="32"/>
          <w:szCs w:val="32"/>
          <w:lang w:eastAsia="zh-CN"/>
        </w:rPr>
        <w:t>：</w:t>
      </w:r>
      <w:r>
        <w:rPr>
          <w:rFonts w:hint="eastAsia" w:ascii="仿宋" w:hAnsi="仿宋" w:eastAsia="仿宋"/>
          <w:bCs/>
          <w:sz w:val="32"/>
          <w:szCs w:val="32"/>
          <w:lang w:val="en-US" w:eastAsia="zh-CN"/>
        </w:rPr>
        <w:t>政</w:t>
      </w:r>
      <w:r>
        <w:rPr>
          <w:rFonts w:ascii="仿宋" w:hAnsi="仿宋" w:eastAsia="仿宋"/>
          <w:bCs/>
          <w:sz w:val="32"/>
          <w:szCs w:val="32"/>
        </w:rPr>
        <w:t>治协商、民主监督、参政议政，主要</w:t>
      </w:r>
      <w:r>
        <w:rPr>
          <w:rFonts w:hint="eastAsia" w:ascii="仿宋" w:hAnsi="仿宋" w:eastAsia="仿宋"/>
          <w:bCs/>
          <w:sz w:val="32"/>
          <w:szCs w:val="32"/>
          <w:lang w:eastAsia="zh-CN"/>
        </w:rPr>
        <w:t>负责</w:t>
      </w:r>
      <w:r>
        <w:rPr>
          <w:rFonts w:ascii="仿宋" w:hAnsi="仿宋" w:eastAsia="仿宋"/>
          <w:bCs/>
          <w:sz w:val="32"/>
          <w:szCs w:val="32"/>
        </w:rPr>
        <w:t>召开协商会议、开展民主监督、组织专题调研、开展视察活动、组织撰写提案、反映社情民意、开展民主评议、收集文史资料、宣传政协统战理论实践、开展界别联络联谊、服务中心工作、助推巴中发展。</w:t>
      </w:r>
    </w:p>
    <w:p>
      <w:pPr>
        <w:pStyle w:val="4"/>
        <w:pageBreakBefore w:val="0"/>
        <w:kinsoku/>
        <w:wordWrap/>
        <w:overflowPunct/>
        <w:topLinePunct w:val="0"/>
        <w:autoSpaceDE/>
        <w:autoSpaceDN/>
        <w:bidi w:val="0"/>
        <w:spacing w:before="0" w:after="0"/>
        <w:textAlignment w:val="auto"/>
        <w:rPr>
          <w:rStyle w:val="29"/>
          <w:b w:val="0"/>
          <w:bCs w:val="0"/>
        </w:rPr>
      </w:pPr>
      <w:bookmarkStart w:id="22" w:name="_Toc15377200"/>
      <w:bookmarkStart w:id="23" w:name="_Toc8631"/>
      <w:bookmarkStart w:id="24" w:name="_Toc15396601"/>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22"/>
      <w:bookmarkEnd w:id="23"/>
      <w:bookmarkEnd w:id="24"/>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sz w:val="32"/>
          <w:szCs w:val="32"/>
          <w:lang w:eastAsia="zh-CN"/>
        </w:rPr>
        <w:t>政协巴中市委员会设九委两室，其中：办公室下辖</w:t>
      </w:r>
      <w:r>
        <w:rPr>
          <w:rFonts w:hint="eastAsia" w:ascii="仿宋" w:hAnsi="仿宋" w:eastAsia="仿宋" w:cs="Times New Roman"/>
          <w:sz w:val="32"/>
          <w:szCs w:val="32"/>
          <w:lang w:val="en-US" w:eastAsia="zh-CN"/>
        </w:rPr>
        <w:t>巴中文史编辑部、巴中市智力扶贫中心、巴中市书画院、巴中市办公室信息中心等四个非独立预算事业单位。</w:t>
      </w: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 w:hAnsi="仿宋" w:eastAsia="仿宋" w:cs="Times New Roman"/>
          <w:sz w:val="32"/>
          <w:szCs w:val="32"/>
          <w:lang w:val="en-US" w:eastAsia="zh-CN"/>
        </w:rPr>
      </w:pPr>
    </w:p>
    <w:p>
      <w:pPr>
        <w:pStyle w:val="3"/>
        <w:pageBreakBefore w:val="0"/>
        <w:kinsoku/>
        <w:wordWrap/>
        <w:overflowPunct/>
        <w:topLinePunct w:val="0"/>
        <w:autoSpaceDE/>
        <w:autoSpaceDN/>
        <w:bidi w:val="0"/>
        <w:spacing w:before="0" w:after="0"/>
        <w:ind w:right="440"/>
        <w:jc w:val="center"/>
        <w:textAlignment w:val="auto"/>
      </w:pPr>
      <w:bookmarkStart w:id="25" w:name="_Toc15396602"/>
      <w:bookmarkStart w:id="26" w:name="_Toc22691"/>
      <w:bookmarkStart w:id="27"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25"/>
      <w:bookmarkEnd w:id="26"/>
      <w:bookmarkEnd w:id="27"/>
    </w:p>
    <w:p>
      <w:pPr>
        <w:pStyle w:val="27"/>
        <w:numPr>
          <w:ilvl w:val="0"/>
          <w:numId w:val="2"/>
        </w:numPr>
        <w:spacing w:line="600" w:lineRule="exact"/>
        <w:ind w:firstLineChars="0"/>
        <w:outlineLvl w:val="1"/>
        <w:rPr>
          <w:rStyle w:val="29"/>
          <w:rFonts w:ascii="黑体" w:hAnsi="黑体" w:eastAsia="黑体"/>
          <w:b w:val="0"/>
        </w:rPr>
      </w:pPr>
      <w:bookmarkStart w:id="28" w:name="_Toc18871"/>
      <w:bookmarkStart w:id="29" w:name="_Toc15396603"/>
      <w:bookmarkStart w:id="30"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28"/>
      <w:bookmarkEnd w:id="29"/>
      <w:bookmarkEnd w:id="30"/>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入总计</w:t>
      </w:r>
      <w:r>
        <w:rPr>
          <w:rFonts w:hint="eastAsia" w:ascii="仿宋" w:hAnsi="仿宋" w:eastAsia="仿宋"/>
          <w:sz w:val="32"/>
          <w:szCs w:val="32"/>
          <w:lang w:val="en-US" w:eastAsia="zh-CN"/>
        </w:rPr>
        <w:t>2510.56万元，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2510.56</w:t>
      </w:r>
      <w:r>
        <w:rPr>
          <w:rFonts w:hint="eastAsia" w:ascii="仿宋" w:hAnsi="仿宋" w:eastAsia="仿宋"/>
          <w:sz w:val="32"/>
          <w:szCs w:val="32"/>
        </w:rPr>
        <w:t>万元。与2021年相比，收</w:t>
      </w:r>
      <w:r>
        <w:rPr>
          <w:rFonts w:hint="eastAsia" w:ascii="仿宋" w:hAnsi="仿宋" w:eastAsia="仿宋"/>
          <w:sz w:val="32"/>
          <w:szCs w:val="32"/>
          <w:lang w:eastAsia="zh-CN"/>
        </w:rPr>
        <w:t>入增加</w:t>
      </w:r>
      <w:r>
        <w:rPr>
          <w:rFonts w:hint="eastAsia" w:ascii="仿宋" w:hAnsi="仿宋" w:eastAsia="仿宋"/>
          <w:sz w:val="32"/>
          <w:szCs w:val="32"/>
          <w:lang w:val="en-US" w:eastAsia="zh-CN"/>
        </w:rPr>
        <w:t>418.73万元，增长20%，</w:t>
      </w:r>
      <w:r>
        <w:rPr>
          <w:rFonts w:hint="eastAsia" w:ascii="仿宋" w:hAnsi="仿宋" w:eastAsia="仿宋"/>
          <w:sz w:val="32"/>
          <w:szCs w:val="32"/>
        </w:rPr>
        <w:t>支</w:t>
      </w:r>
      <w:r>
        <w:rPr>
          <w:rFonts w:hint="eastAsia" w:ascii="仿宋" w:hAnsi="仿宋" w:eastAsia="仿宋"/>
          <w:sz w:val="32"/>
          <w:szCs w:val="32"/>
          <w:lang w:eastAsia="zh-CN"/>
        </w:rPr>
        <w:t>出增长</w:t>
      </w:r>
      <w:r>
        <w:rPr>
          <w:rFonts w:hint="eastAsia" w:ascii="仿宋" w:hAnsi="仿宋" w:eastAsia="仿宋"/>
          <w:sz w:val="32"/>
          <w:szCs w:val="32"/>
          <w:lang w:val="en-US" w:eastAsia="zh-CN"/>
        </w:rPr>
        <w:t>433.86万元，增长20.89%。</w:t>
      </w:r>
      <w:r>
        <w:rPr>
          <w:rFonts w:hint="eastAsia" w:ascii="仿宋" w:hAnsi="仿宋" w:eastAsia="仿宋"/>
          <w:sz w:val="32"/>
          <w:szCs w:val="32"/>
        </w:rPr>
        <w:t>主要变动原因是</w:t>
      </w:r>
      <w:r>
        <w:rPr>
          <w:rFonts w:hint="eastAsia" w:ascii="仿宋" w:hAnsi="仿宋" w:eastAsia="仿宋"/>
          <w:sz w:val="32"/>
          <w:szCs w:val="32"/>
          <w:lang w:eastAsia="zh-CN"/>
        </w:rPr>
        <w:t>人员新增、职工调资、基础绩效纳入年度预算及项目推进力度加大等</w:t>
      </w:r>
      <w:r>
        <w:rPr>
          <w:rFonts w:hint="eastAsia" w:ascii="仿宋" w:hAnsi="仿宋" w:eastAsia="仿宋"/>
          <w:sz w:val="32"/>
          <w:szCs w:val="32"/>
        </w:rPr>
        <w:t>。</w:t>
      </w:r>
    </w:p>
    <w:p>
      <w:pPr>
        <w:spacing w:line="600" w:lineRule="exact"/>
        <w:ind w:firstLine="640" w:firstLineChars="200"/>
        <w:jc w:val="center"/>
        <w:rPr>
          <w:rFonts w:hint="eastAsia" w:ascii="仿宋" w:hAnsi="仿宋" w:eastAsia="仿宋"/>
          <w:sz w:val="32"/>
          <w:szCs w:val="32"/>
        </w:rPr>
      </w:pPr>
    </w:p>
    <w:p>
      <w:pPr>
        <w:rPr>
          <w:rFonts w:hint="eastAsia" w:ascii="仿宋" w:hAnsi="仿宋" w:eastAsia="仿宋"/>
          <w:sz w:val="32"/>
          <w:szCs w:val="32"/>
        </w:rPr>
      </w:pPr>
    </w:p>
    <w:p>
      <w:pPr>
        <w:pStyle w:val="6"/>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5550535" cy="3057525"/>
            <wp:effectExtent l="4445" t="4445" r="7620" b="5080"/>
            <wp:docPr id="1" name="图表 1" descr="7b0a202020202263686172745265734964223a202232303437353531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31" w:name="_Toc15396604"/>
      <w:bookmarkStart w:id="32" w:name="_Toc10077"/>
      <w:bookmarkStart w:id="33" w:name="_Toc15377206"/>
      <w:r>
        <w:rPr>
          <w:rFonts w:hint="eastAsia" w:ascii="黑体" w:hAnsi="黑体" w:eastAsia="黑体"/>
          <w:sz w:val="32"/>
          <w:szCs w:val="32"/>
        </w:rPr>
        <w:t>收</w:t>
      </w:r>
      <w:r>
        <w:rPr>
          <w:rStyle w:val="29"/>
          <w:rFonts w:hint="eastAsia" w:ascii="黑体" w:hAnsi="黑体" w:eastAsia="黑体"/>
          <w:b w:val="0"/>
        </w:rPr>
        <w:t>入决算情况说明</w:t>
      </w:r>
      <w:bookmarkEnd w:id="31"/>
      <w:bookmarkEnd w:id="32"/>
      <w:bookmarkEnd w:id="33"/>
    </w:p>
    <w:p>
      <w:pPr>
        <w:spacing w:line="600" w:lineRule="exact"/>
        <w:ind w:firstLine="640" w:firstLineChars="200"/>
        <w:outlineLvl w:val="1"/>
        <w:rPr>
          <w:rFonts w:hint="eastAsia"/>
          <w:lang w:eastAsia="zh-CN"/>
        </w:rPr>
      </w:pPr>
      <w:bookmarkStart w:id="34" w:name="_Toc4707"/>
      <w:bookmarkStart w:id="35" w:name="_Toc25716"/>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2510.56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2510.56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bookmarkEnd w:id="34"/>
      <w:r>
        <w:rPr>
          <w:rFonts w:hint="eastAsia" w:ascii="仿宋" w:hAnsi="仿宋" w:eastAsia="仿宋"/>
          <w:sz w:val="32"/>
          <w:szCs w:val="32"/>
          <w:lang w:eastAsia="zh-CN"/>
        </w:rPr>
        <w:t>。</w:t>
      </w:r>
      <w:bookmarkEnd w:id="35"/>
    </w:p>
    <w:p>
      <w:pPr>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256530" cy="2996565"/>
            <wp:effectExtent l="4445" t="4445" r="15875" b="46990"/>
            <wp:docPr id="2" name="图表 2"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36" w:name="_Toc15377207"/>
      <w:bookmarkStart w:id="37" w:name="_Toc15396605"/>
      <w:bookmarkStart w:id="38" w:name="_Toc12550"/>
      <w:r>
        <w:rPr>
          <w:rFonts w:hint="eastAsia" w:ascii="黑体" w:hAnsi="黑体" w:eastAsia="黑体"/>
          <w:sz w:val="32"/>
          <w:szCs w:val="32"/>
        </w:rPr>
        <w:t>支</w:t>
      </w:r>
      <w:r>
        <w:rPr>
          <w:rStyle w:val="29"/>
          <w:rFonts w:hint="eastAsia" w:ascii="黑体" w:hAnsi="黑体" w:eastAsia="黑体"/>
          <w:b w:val="0"/>
        </w:rPr>
        <w:t>出决算情况说明</w:t>
      </w:r>
      <w:bookmarkEnd w:id="36"/>
      <w:bookmarkEnd w:id="37"/>
      <w:bookmarkEnd w:id="38"/>
    </w:p>
    <w:p>
      <w:pPr>
        <w:spacing w:line="600" w:lineRule="exact"/>
        <w:ind w:firstLine="640" w:firstLineChars="200"/>
        <w:outlineLvl w:val="1"/>
        <w:rPr>
          <w:rFonts w:hint="eastAsia" w:ascii="仿宋" w:hAnsi="仿宋" w:eastAsia="仿宋"/>
          <w:b/>
          <w:sz w:val="32"/>
          <w:szCs w:val="32"/>
          <w:lang w:eastAsia="zh-CN"/>
        </w:rPr>
      </w:pPr>
      <w:bookmarkStart w:id="39" w:name="_Toc10582"/>
      <w:bookmarkStart w:id="40" w:name="_Toc28158"/>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2510.56</w:t>
      </w:r>
      <w:r>
        <w:rPr>
          <w:rFonts w:hint="eastAsia" w:ascii="仿宋" w:hAnsi="仿宋" w:eastAsia="仿宋"/>
          <w:sz w:val="32"/>
          <w:szCs w:val="32"/>
        </w:rPr>
        <w:t>万元，其中：基本支出</w:t>
      </w:r>
      <w:r>
        <w:rPr>
          <w:rFonts w:hint="eastAsia" w:ascii="仿宋" w:hAnsi="仿宋" w:eastAsia="仿宋"/>
          <w:sz w:val="32"/>
          <w:szCs w:val="32"/>
          <w:lang w:val="en-US" w:eastAsia="zh-CN"/>
        </w:rPr>
        <w:t>1812.39</w:t>
      </w:r>
      <w:r>
        <w:rPr>
          <w:rFonts w:hint="eastAsia" w:ascii="仿宋" w:hAnsi="仿宋" w:eastAsia="仿宋"/>
          <w:sz w:val="32"/>
          <w:szCs w:val="32"/>
        </w:rPr>
        <w:t>万元，占</w:t>
      </w:r>
      <w:r>
        <w:rPr>
          <w:rFonts w:hint="eastAsia" w:ascii="仿宋" w:hAnsi="仿宋" w:eastAsia="仿宋"/>
          <w:sz w:val="32"/>
          <w:szCs w:val="32"/>
          <w:lang w:val="en-US" w:eastAsia="zh-CN"/>
        </w:rPr>
        <w:t>72.19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698.17</w:t>
      </w:r>
      <w:r>
        <w:rPr>
          <w:rFonts w:hint="eastAsia" w:ascii="仿宋" w:hAnsi="仿宋" w:eastAsia="仿宋"/>
          <w:sz w:val="32"/>
          <w:szCs w:val="32"/>
        </w:rPr>
        <w:t>万元，占</w:t>
      </w:r>
      <w:r>
        <w:rPr>
          <w:rFonts w:hint="eastAsia" w:ascii="仿宋" w:hAnsi="仿宋" w:eastAsia="仿宋"/>
          <w:sz w:val="32"/>
          <w:szCs w:val="32"/>
          <w:lang w:val="en-US" w:eastAsia="zh-CN"/>
        </w:rPr>
        <w:t>27.81</w:t>
      </w:r>
      <w:r>
        <w:rPr>
          <w:rFonts w:ascii="仿宋" w:hAnsi="仿宋" w:eastAsia="仿宋"/>
          <w:sz w:val="32"/>
          <w:szCs w:val="32"/>
        </w:rPr>
        <w:t>%</w:t>
      </w:r>
      <w:bookmarkEnd w:id="39"/>
      <w:r>
        <w:rPr>
          <w:rFonts w:hint="eastAsia" w:ascii="仿宋" w:hAnsi="仿宋" w:eastAsia="仿宋"/>
          <w:sz w:val="32"/>
          <w:szCs w:val="32"/>
          <w:lang w:eastAsia="zh-CN"/>
        </w:rPr>
        <w:t>。</w:t>
      </w:r>
      <w:bookmarkEnd w:id="40"/>
    </w:p>
    <w:p>
      <w:pPr>
        <w:pStyle w:val="6"/>
      </w:pPr>
      <w:r>
        <w:drawing>
          <wp:inline distT="0" distB="0" distL="114300" distR="114300">
            <wp:extent cx="5256530" cy="2988310"/>
            <wp:effectExtent l="5080" t="4445" r="15240" b="55245"/>
            <wp:docPr id="3" name="图表 3"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9"/>
          <w:rFonts w:ascii="黑体" w:hAnsi="黑体" w:eastAsia="黑体"/>
          <w:b w:val="0"/>
        </w:rPr>
      </w:pPr>
      <w:bookmarkStart w:id="41" w:name="_Toc15396606"/>
      <w:bookmarkStart w:id="42" w:name="_Toc15377208"/>
      <w:bookmarkStart w:id="43" w:name="_Toc1147"/>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41"/>
      <w:bookmarkEnd w:id="42"/>
      <w:bookmarkEnd w:id="4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2510.56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418.73、433.86</w:t>
      </w:r>
      <w:r>
        <w:rPr>
          <w:rFonts w:hint="eastAsia" w:ascii="仿宋" w:hAnsi="仿宋" w:eastAsia="仿宋"/>
          <w:sz w:val="32"/>
          <w:szCs w:val="32"/>
        </w:rPr>
        <w:t>万元，</w:t>
      </w:r>
      <w:r>
        <w:rPr>
          <w:rFonts w:hint="eastAsia" w:ascii="仿宋" w:hAnsi="仿宋" w:eastAsia="仿宋"/>
          <w:sz w:val="32"/>
          <w:szCs w:val="32"/>
          <w:lang w:eastAsia="zh-CN"/>
        </w:rPr>
        <w:t>分别</w:t>
      </w:r>
      <w:r>
        <w:rPr>
          <w:rFonts w:hint="eastAsia" w:ascii="仿宋" w:hAnsi="仿宋" w:eastAsia="仿宋"/>
          <w:sz w:val="32"/>
          <w:szCs w:val="32"/>
        </w:rPr>
        <w:t>增长</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20.89%</w:t>
      </w:r>
      <w:r>
        <w:rPr>
          <w:rFonts w:hint="eastAsia" w:ascii="仿宋" w:hAnsi="仿宋" w:eastAsia="仿宋"/>
          <w:sz w:val="32"/>
          <w:szCs w:val="32"/>
        </w:rPr>
        <w:t>。主要变动原因是</w:t>
      </w:r>
      <w:r>
        <w:rPr>
          <w:rFonts w:hint="eastAsia" w:ascii="仿宋" w:hAnsi="仿宋" w:eastAsia="仿宋"/>
          <w:sz w:val="32"/>
          <w:szCs w:val="32"/>
          <w:lang w:eastAsia="zh-CN"/>
        </w:rPr>
        <w:t>人员新增、职工调资、基础绩效纳入年度预算及项目推进力度加大等</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firstLineChars="200"/>
        <w:rPr>
          <w:rFonts w:hint="eastAsia" w:ascii="仿宋" w:hAnsi="仿宋" w:eastAsia="仿宋"/>
          <w:sz w:val="32"/>
          <w:szCs w:val="32"/>
          <w:lang w:eastAsia="zh-CN"/>
        </w:rPr>
      </w:pPr>
    </w:p>
    <w:p>
      <w:pPr>
        <w:pStyle w:val="6"/>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56530" cy="2988310"/>
            <wp:effectExtent l="5080" t="4445" r="15240" b="17145"/>
            <wp:docPr id="5" name="图表 5" descr="7b0a202020202263686172745265734964223a202232303437353531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9"/>
          <w:rFonts w:ascii="黑体" w:hAnsi="黑体" w:eastAsia="黑体"/>
          <w:b w:val="0"/>
        </w:rPr>
      </w:pPr>
      <w:bookmarkStart w:id="44" w:name="_Toc15396607"/>
      <w:bookmarkStart w:id="45" w:name="_Toc15377209"/>
      <w:bookmarkStart w:id="46" w:name="_Toc30856"/>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sz w:val="32"/>
          <w:szCs w:val="32"/>
        </w:rPr>
      </w:pPr>
      <w:bookmarkStart w:id="47" w:name="_Toc15377210"/>
      <w:r>
        <w:rPr>
          <w:rFonts w:hint="eastAsia" w:ascii="仿宋" w:hAnsi="仿宋" w:eastAsia="仿宋"/>
          <w:b/>
          <w:sz w:val="32"/>
          <w:szCs w:val="32"/>
        </w:rPr>
        <w:t>（一）一般公共预算财政拨款支出决算总体情况</w:t>
      </w:r>
      <w:bookmarkEnd w:id="4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2510.56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433.86</w:t>
      </w:r>
      <w:r>
        <w:rPr>
          <w:rFonts w:hint="eastAsia" w:ascii="仿宋" w:hAnsi="仿宋" w:eastAsia="仿宋"/>
          <w:sz w:val="32"/>
          <w:szCs w:val="32"/>
        </w:rPr>
        <w:t>万元，增长</w:t>
      </w:r>
      <w:r>
        <w:rPr>
          <w:rFonts w:hint="eastAsia" w:ascii="仿宋" w:hAnsi="仿宋" w:eastAsia="仿宋"/>
          <w:sz w:val="32"/>
          <w:szCs w:val="32"/>
          <w:lang w:val="en-US" w:eastAsia="zh-CN"/>
        </w:rPr>
        <w:t>20.89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人员新增、职工调资、基础绩效纳入年度预算及项目推进力度加大等</w:t>
      </w:r>
      <w:r>
        <w:rPr>
          <w:rFonts w:hint="eastAsia" w:ascii="仿宋" w:hAnsi="仿宋" w:eastAsia="仿宋"/>
          <w:sz w:val="32"/>
          <w:szCs w:val="32"/>
        </w:rPr>
        <w:t>。</w:t>
      </w:r>
    </w:p>
    <w:p>
      <w:pPr>
        <w:pStyle w:val="6"/>
      </w:pPr>
      <w:r>
        <w:drawing>
          <wp:inline distT="0" distB="0" distL="114300" distR="114300">
            <wp:extent cx="5066665" cy="2435225"/>
            <wp:effectExtent l="5080" t="4445" r="14605" b="17780"/>
            <wp:docPr id="4" name="图表 4" descr="7b0a202020202263686172745265734964223a202232303437353531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8" w:name="_Toc15377211"/>
      <w:r>
        <w:rPr>
          <w:rFonts w:hint="eastAsia" w:ascii="仿宋" w:hAnsi="仿宋" w:eastAsia="仿宋"/>
          <w:b/>
          <w:sz w:val="32"/>
          <w:szCs w:val="32"/>
        </w:rPr>
        <w:t>（二）一般公共预算财政拨款支出决算结构情况</w:t>
      </w:r>
      <w:bookmarkEnd w:id="48"/>
    </w:p>
    <w:p>
      <w:pPr>
        <w:spacing w:line="600" w:lineRule="exact"/>
        <w:ind w:firstLine="640"/>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2510.56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2113.20</w:t>
      </w:r>
      <w:r>
        <w:rPr>
          <w:rFonts w:hint="eastAsia" w:ascii="仿宋" w:hAnsi="仿宋" w:eastAsia="仿宋"/>
          <w:sz w:val="32"/>
          <w:szCs w:val="32"/>
        </w:rPr>
        <w:t>万元，占</w:t>
      </w:r>
      <w:r>
        <w:rPr>
          <w:rFonts w:hint="eastAsia" w:ascii="仿宋" w:hAnsi="仿宋" w:eastAsia="仿宋"/>
          <w:sz w:val="32"/>
          <w:szCs w:val="32"/>
          <w:lang w:val="en-US" w:eastAsia="zh-CN"/>
        </w:rPr>
        <w:t>84.17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192.7</w:t>
      </w:r>
      <w:r>
        <w:rPr>
          <w:rFonts w:hint="eastAsia" w:ascii="仿宋" w:hAnsi="仿宋" w:eastAsia="仿宋"/>
          <w:sz w:val="32"/>
          <w:szCs w:val="32"/>
        </w:rPr>
        <w:t>万元，占</w:t>
      </w:r>
      <w:r>
        <w:rPr>
          <w:rFonts w:hint="eastAsia" w:ascii="仿宋" w:hAnsi="仿宋" w:eastAsia="仿宋"/>
          <w:sz w:val="32"/>
          <w:szCs w:val="32"/>
          <w:lang w:val="en-US" w:eastAsia="zh-CN"/>
        </w:rPr>
        <w:t>7.68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77.82</w:t>
      </w:r>
      <w:r>
        <w:rPr>
          <w:rFonts w:hint="eastAsia" w:ascii="仿宋" w:hAnsi="仿宋" w:eastAsia="仿宋"/>
          <w:sz w:val="32"/>
          <w:szCs w:val="32"/>
        </w:rPr>
        <w:t>万元，占</w:t>
      </w:r>
      <w:r>
        <w:rPr>
          <w:rFonts w:hint="eastAsia" w:ascii="仿宋" w:hAnsi="仿宋" w:eastAsia="仿宋"/>
          <w:sz w:val="32"/>
          <w:szCs w:val="32"/>
          <w:lang w:val="en-US" w:eastAsia="zh-CN"/>
        </w:rPr>
        <w:t>3.1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126.84</w:t>
      </w:r>
      <w:r>
        <w:rPr>
          <w:rFonts w:hint="eastAsia" w:ascii="仿宋" w:hAnsi="仿宋" w:eastAsia="仿宋"/>
          <w:sz w:val="32"/>
          <w:szCs w:val="32"/>
        </w:rPr>
        <w:t>万元，占</w:t>
      </w:r>
      <w:r>
        <w:rPr>
          <w:rFonts w:hint="eastAsia" w:ascii="仿宋" w:hAnsi="仿宋" w:eastAsia="仿宋"/>
          <w:sz w:val="32"/>
          <w:szCs w:val="32"/>
          <w:lang w:val="en-US" w:eastAsia="zh-CN"/>
        </w:rPr>
        <w:t>5.05</w:t>
      </w:r>
      <w:r>
        <w:rPr>
          <w:rFonts w:ascii="仿宋" w:hAnsi="仿宋" w:eastAsia="仿宋"/>
          <w:sz w:val="32"/>
          <w:szCs w:val="32"/>
        </w:rPr>
        <w:t>%</w:t>
      </w:r>
      <w:r>
        <w:rPr>
          <w:rFonts w:hint="eastAsia" w:ascii="仿宋" w:hAnsi="仿宋" w:eastAsia="仿宋"/>
          <w:sz w:val="32"/>
          <w:szCs w:val="32"/>
        </w:rPr>
        <w:t>。</w:t>
      </w:r>
    </w:p>
    <w:p>
      <w:pP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56530" cy="2988310"/>
            <wp:effectExtent l="5080" t="4445" r="15240" b="55245"/>
            <wp:docPr id="6" name="图表 6"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sz w:val="32"/>
          <w:szCs w:val="32"/>
        </w:rPr>
      </w:pPr>
      <w:bookmarkStart w:id="49" w:name="_Toc15377212"/>
      <w:r>
        <w:rPr>
          <w:rFonts w:hint="eastAsia" w:ascii="仿宋" w:hAnsi="仿宋" w:eastAsia="仿宋"/>
          <w:b/>
          <w:sz w:val="32"/>
          <w:szCs w:val="32"/>
        </w:rPr>
        <w:t>（三）一般公共预算财政拨款支出决算具体情况</w:t>
      </w:r>
      <w:bookmarkEnd w:id="49"/>
    </w:p>
    <w:p>
      <w:pPr>
        <w:spacing w:line="600" w:lineRule="exact"/>
        <w:ind w:firstLine="643" w:firstLineChars="200"/>
        <w:outlineLvl w:val="1"/>
        <w:rPr>
          <w:rFonts w:ascii="仿宋" w:hAnsi="仿宋" w:eastAsia="仿宋"/>
          <w:sz w:val="32"/>
          <w:szCs w:val="32"/>
        </w:rPr>
      </w:pPr>
      <w:bookmarkStart w:id="50" w:name="_Toc15378460"/>
      <w:bookmarkStart w:id="51" w:name="_Toc22214"/>
      <w:bookmarkStart w:id="52" w:name="_Toc31347"/>
      <w:bookmarkStart w:id="53" w:name="_Toc15377444"/>
      <w:bookmarkStart w:id="54"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2510.56</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97.4</w:t>
      </w:r>
      <w:r>
        <w:rPr>
          <w:rStyle w:val="17"/>
          <w:rFonts w:ascii="仿宋" w:hAnsi="仿宋" w:eastAsia="仿宋"/>
          <w:bCs/>
          <w:sz w:val="32"/>
          <w:szCs w:val="32"/>
        </w:rPr>
        <w:t>%</w:t>
      </w:r>
      <w:r>
        <w:rPr>
          <w:rStyle w:val="17"/>
          <w:rFonts w:hint="eastAsia" w:ascii="仿宋" w:hAnsi="仿宋" w:eastAsia="仿宋"/>
          <w:bCs/>
          <w:sz w:val="32"/>
          <w:szCs w:val="32"/>
        </w:rPr>
        <w:t>。其中：</w:t>
      </w:r>
      <w:bookmarkEnd w:id="50"/>
      <w:bookmarkEnd w:id="51"/>
      <w:bookmarkEnd w:id="52"/>
      <w:bookmarkEnd w:id="53"/>
      <w:bookmarkEnd w:id="54"/>
    </w:p>
    <w:p>
      <w:pPr>
        <w:spacing w:line="600" w:lineRule="exact"/>
        <w:ind w:firstLine="643" w:firstLineChars="200"/>
        <w:rPr>
          <w:rFonts w:hint="eastAsia" w:ascii="仿宋" w:hAnsi="仿宋" w:eastAsia="仿宋"/>
          <w:b/>
          <w:sz w:val="32"/>
          <w:szCs w:val="32"/>
          <w:lang w:eastAsia="zh-CN"/>
        </w:rPr>
      </w:pPr>
      <w:r>
        <w:rPr>
          <w:rStyle w:val="17"/>
          <w:rFonts w:ascii="仿宋" w:hAnsi="仿宋" w:eastAsia="仿宋"/>
          <w:bCs/>
          <w:sz w:val="32"/>
          <w:szCs w:val="32"/>
        </w:rPr>
        <w:t>1.</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行政运行</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1281.38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98.95</w:t>
      </w:r>
      <w:r>
        <w:rPr>
          <w:rStyle w:val="17"/>
          <w:rFonts w:ascii="仿宋" w:hAnsi="仿宋" w:eastAsia="仿宋"/>
          <w:b w:val="0"/>
          <w:bCs/>
          <w:sz w:val="32"/>
          <w:szCs w:val="32"/>
        </w:rPr>
        <w:t>%</w:t>
      </w:r>
      <w:r>
        <w:rPr>
          <w:rStyle w:val="17"/>
          <w:rFonts w:hint="eastAsia" w:ascii="仿宋" w:hAnsi="仿宋" w:eastAsia="仿宋"/>
          <w:b w:val="0"/>
          <w:bCs/>
          <w:sz w:val="32"/>
          <w:szCs w:val="32"/>
        </w:rPr>
        <w:t>，决算数小于预算数的主要原因是</w:t>
      </w:r>
      <w:r>
        <w:rPr>
          <w:rStyle w:val="17"/>
          <w:rFonts w:hint="eastAsia" w:ascii="仿宋" w:hAnsi="仿宋" w:eastAsia="仿宋"/>
          <w:b w:val="0"/>
          <w:bCs/>
          <w:sz w:val="32"/>
          <w:szCs w:val="32"/>
          <w:lang w:eastAsia="zh-CN"/>
        </w:rPr>
        <w:t>降低行政成本，控制非生产性支出</w:t>
      </w:r>
      <w:r>
        <w:rPr>
          <w:rStyle w:val="17"/>
          <w:rFonts w:hint="eastAsia" w:ascii="仿宋" w:hAnsi="仿宋" w:eastAsia="仿宋"/>
          <w:b w:val="0"/>
          <w:bCs/>
          <w:sz w:val="32"/>
          <w:szCs w:val="32"/>
        </w:rPr>
        <w:t>。</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一般行政管理事务</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83.64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政协会议</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282.88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委员视察</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参政议政</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47.42</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57.13</w:t>
      </w:r>
      <w:r>
        <w:rPr>
          <w:rStyle w:val="17"/>
          <w:rFonts w:ascii="仿宋" w:hAnsi="仿宋" w:eastAsia="仿宋"/>
          <w:b w:val="0"/>
          <w:bCs/>
          <w:sz w:val="32"/>
          <w:szCs w:val="32"/>
        </w:rPr>
        <w:t>%</w:t>
      </w:r>
      <w:r>
        <w:rPr>
          <w:rStyle w:val="17"/>
          <w:rFonts w:hint="eastAsia" w:ascii="仿宋" w:hAnsi="仿宋" w:eastAsia="仿宋"/>
          <w:b w:val="0"/>
          <w:bCs/>
          <w:sz w:val="32"/>
          <w:szCs w:val="32"/>
        </w:rPr>
        <w:t>，决算数小于预算数的主要原因</w:t>
      </w:r>
      <w:r>
        <w:rPr>
          <w:rStyle w:val="17"/>
          <w:rFonts w:hint="eastAsia" w:ascii="仿宋" w:hAnsi="仿宋" w:eastAsia="仿宋"/>
          <w:b w:val="0"/>
          <w:bCs/>
          <w:sz w:val="32"/>
          <w:szCs w:val="32"/>
          <w:lang w:eastAsia="zh-CN"/>
        </w:rPr>
        <w:t>部分项目资金下达时间较晚，目前项目已全面完成；</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事业运行</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133.64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95.57</w:t>
      </w:r>
      <w:r>
        <w:rPr>
          <w:rStyle w:val="17"/>
          <w:rFonts w:ascii="仿宋" w:hAnsi="仿宋" w:eastAsia="仿宋"/>
          <w:b w:val="0"/>
          <w:bCs/>
          <w:sz w:val="32"/>
          <w:szCs w:val="32"/>
        </w:rPr>
        <w:t>%</w:t>
      </w:r>
      <w:r>
        <w:rPr>
          <w:rStyle w:val="17"/>
          <w:rFonts w:hint="eastAsia" w:ascii="仿宋" w:hAnsi="仿宋" w:eastAsia="仿宋"/>
          <w:b w:val="0"/>
          <w:bCs/>
          <w:sz w:val="32"/>
          <w:szCs w:val="32"/>
        </w:rPr>
        <w:t>，决算数小于预算数的主要原因是</w:t>
      </w:r>
      <w:r>
        <w:rPr>
          <w:rStyle w:val="17"/>
          <w:rFonts w:hint="eastAsia" w:ascii="仿宋" w:hAnsi="仿宋" w:eastAsia="仿宋"/>
          <w:b w:val="0"/>
          <w:bCs/>
          <w:sz w:val="32"/>
          <w:szCs w:val="32"/>
          <w:lang w:eastAsia="zh-CN"/>
        </w:rPr>
        <w:t>降低行政成本，控制非生产性支；</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政协事务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其他政协事务支出</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226.23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98.36</w:t>
      </w:r>
      <w:r>
        <w:rPr>
          <w:rStyle w:val="17"/>
          <w:rFonts w:ascii="仿宋" w:hAnsi="仿宋" w:eastAsia="仿宋"/>
          <w:b w:val="0"/>
          <w:bCs/>
          <w:sz w:val="32"/>
          <w:szCs w:val="32"/>
        </w:rPr>
        <w:t>%</w:t>
      </w:r>
      <w:r>
        <w:rPr>
          <w:rStyle w:val="17"/>
          <w:rFonts w:hint="eastAsia" w:ascii="仿宋" w:hAnsi="仿宋" w:eastAsia="仿宋"/>
          <w:b w:val="0"/>
          <w:bCs/>
          <w:sz w:val="32"/>
          <w:szCs w:val="32"/>
        </w:rPr>
        <w:t>，决算数小于预算数的主要原因是</w:t>
      </w:r>
      <w:r>
        <w:rPr>
          <w:rStyle w:val="17"/>
          <w:rFonts w:hint="eastAsia" w:ascii="仿宋" w:hAnsi="仿宋" w:eastAsia="仿宋"/>
          <w:b w:val="0"/>
          <w:bCs/>
          <w:sz w:val="32"/>
          <w:szCs w:val="32"/>
          <w:lang w:eastAsia="zh-CN"/>
        </w:rPr>
        <w:t>分项目资金下达时间较晚，项目已全面完成；</w:t>
      </w:r>
      <w:r>
        <w:rPr>
          <w:rStyle w:val="17"/>
          <w:rFonts w:hint="eastAsia" w:ascii="仿宋" w:hAnsi="仿宋" w:eastAsia="仿宋"/>
          <w:bCs/>
          <w:sz w:val="32"/>
          <w:szCs w:val="32"/>
        </w:rPr>
        <w:t>一般公共服务（类）</w:t>
      </w:r>
      <w:r>
        <w:rPr>
          <w:rStyle w:val="17"/>
          <w:rFonts w:hint="eastAsia" w:ascii="仿宋" w:hAnsi="仿宋" w:eastAsia="仿宋"/>
          <w:bCs/>
          <w:sz w:val="32"/>
          <w:szCs w:val="32"/>
          <w:lang w:eastAsia="zh-CN"/>
        </w:rPr>
        <w:t>纪检监察事务</w:t>
      </w:r>
      <w:r>
        <w:rPr>
          <w:rStyle w:val="17"/>
          <w:rFonts w:hint="eastAsia" w:ascii="仿宋" w:hAnsi="仿宋" w:eastAsia="仿宋"/>
          <w:bCs/>
          <w:sz w:val="32"/>
          <w:szCs w:val="32"/>
        </w:rPr>
        <w:t>（款）</w:t>
      </w:r>
      <w:r>
        <w:rPr>
          <w:rStyle w:val="17"/>
          <w:rFonts w:hint="eastAsia" w:ascii="仿宋" w:hAnsi="仿宋" w:eastAsia="仿宋"/>
          <w:bCs/>
          <w:sz w:val="32"/>
          <w:szCs w:val="32"/>
          <w:lang w:eastAsia="zh-CN"/>
        </w:rPr>
        <w:t>派驻派出机构</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val="en-US" w:eastAsia="zh-CN"/>
        </w:rPr>
        <w:t>。</w:t>
      </w:r>
    </w:p>
    <w:p>
      <w:pPr>
        <w:spacing w:line="600" w:lineRule="exact"/>
        <w:ind w:firstLine="643" w:firstLineChars="200"/>
        <w:rPr>
          <w:rStyle w:val="17"/>
          <w:rFonts w:hint="eastAsia" w:ascii="仿宋" w:hAnsi="仿宋" w:eastAsia="仿宋"/>
          <w:b w:val="0"/>
          <w:bCs/>
          <w:sz w:val="32"/>
          <w:szCs w:val="32"/>
          <w:lang w:val="en-US" w:eastAsia="zh-CN"/>
        </w:rPr>
      </w:pPr>
      <w:r>
        <w:rPr>
          <w:rStyle w:val="17"/>
          <w:rFonts w:hint="eastAsia" w:ascii="仿宋" w:hAnsi="仿宋" w:eastAsia="仿宋"/>
          <w:bCs/>
          <w:sz w:val="32"/>
          <w:szCs w:val="32"/>
          <w:lang w:val="en-US" w:eastAsia="zh-CN"/>
        </w:rPr>
        <w:t>2</w:t>
      </w:r>
      <w:r>
        <w:rPr>
          <w:rStyle w:val="17"/>
          <w:rFonts w:ascii="仿宋" w:hAnsi="仿宋" w:eastAsia="仿宋"/>
          <w:bCs/>
          <w:sz w:val="32"/>
          <w:szCs w:val="32"/>
        </w:rPr>
        <w:t>.</w:t>
      </w:r>
      <w:r>
        <w:rPr>
          <w:rStyle w:val="17"/>
          <w:rFonts w:hint="eastAsia" w:ascii="仿宋" w:hAnsi="仿宋" w:eastAsia="仿宋"/>
          <w:bCs/>
          <w:sz w:val="32"/>
          <w:szCs w:val="32"/>
        </w:rPr>
        <w:t>社会保障和就业（类）行政事业单位养老支出（款）行政单位离退休（项）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84.55</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98.39</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 w:val="0"/>
          <w:bCs/>
          <w:sz w:val="32"/>
          <w:szCs w:val="32"/>
        </w:rPr>
        <w:t>决算数小于预算数的主要原因</w:t>
      </w:r>
      <w:r>
        <w:rPr>
          <w:rStyle w:val="17"/>
          <w:rFonts w:hint="eastAsia" w:ascii="仿宋" w:hAnsi="仿宋" w:eastAsia="仿宋"/>
          <w:b w:val="0"/>
          <w:bCs/>
          <w:sz w:val="32"/>
          <w:szCs w:val="32"/>
          <w:lang w:eastAsia="zh-CN"/>
        </w:rPr>
        <w:t>是人员调整变化；</w:t>
      </w:r>
      <w:r>
        <w:rPr>
          <w:rStyle w:val="17"/>
          <w:rFonts w:hint="eastAsia" w:ascii="仿宋" w:hAnsi="仿宋" w:eastAsia="仿宋"/>
          <w:bCs/>
          <w:sz w:val="32"/>
          <w:szCs w:val="32"/>
        </w:rPr>
        <w:t>社会保障和就业（类）行政事业单位养老支出（款）机关事业单位基本养老保险缴费支出（项）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106.37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Cs/>
          <w:sz w:val="32"/>
          <w:szCs w:val="32"/>
        </w:rPr>
        <w:t>社会保障和就业（类）行政事业单位养老支出（款）机关事业单位基本养老保险缴费支出（项）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106.37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hint="eastAsia" w:ascii="仿宋" w:hAnsi="仿宋" w:eastAsia="仿宋"/>
          <w:bCs/>
          <w:sz w:val="32"/>
          <w:szCs w:val="32"/>
        </w:rPr>
        <w:t>社会保障和就业（类）行政事业单位养老支出（款）</w:t>
      </w:r>
      <w:r>
        <w:rPr>
          <w:rStyle w:val="17"/>
          <w:rFonts w:hint="eastAsia" w:ascii="仿宋" w:hAnsi="仿宋" w:eastAsia="仿宋"/>
          <w:bCs/>
          <w:sz w:val="32"/>
          <w:szCs w:val="32"/>
          <w:lang w:eastAsia="zh-CN"/>
        </w:rPr>
        <w:t>死亡抚恤</w:t>
      </w:r>
      <w:r>
        <w:rPr>
          <w:rStyle w:val="17"/>
          <w:rFonts w:hint="eastAsia" w:ascii="仿宋" w:hAnsi="仿宋" w:eastAsia="仿宋"/>
          <w:bCs/>
          <w:sz w:val="32"/>
          <w:szCs w:val="32"/>
        </w:rPr>
        <w:t>（项）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0.71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83.52%，</w:t>
      </w:r>
      <w:r>
        <w:rPr>
          <w:rStyle w:val="17"/>
          <w:rFonts w:hint="eastAsia" w:ascii="仿宋" w:hAnsi="仿宋" w:eastAsia="仿宋"/>
          <w:b w:val="0"/>
          <w:bCs/>
          <w:sz w:val="32"/>
          <w:szCs w:val="32"/>
        </w:rPr>
        <w:t>决算数小于预算数的主要原因</w:t>
      </w:r>
      <w:r>
        <w:rPr>
          <w:rStyle w:val="17"/>
          <w:rFonts w:hint="eastAsia" w:ascii="仿宋" w:hAnsi="仿宋" w:eastAsia="仿宋"/>
          <w:b w:val="0"/>
          <w:bCs/>
          <w:sz w:val="32"/>
          <w:szCs w:val="32"/>
          <w:lang w:eastAsia="zh-CN"/>
        </w:rPr>
        <w:t>是人员中途死亡。</w:t>
      </w:r>
      <w:r>
        <w:rPr>
          <w:rStyle w:val="17"/>
          <w:rFonts w:hint="eastAsia" w:ascii="仿宋" w:hAnsi="仿宋" w:eastAsia="仿宋"/>
          <w:bCs/>
          <w:sz w:val="32"/>
          <w:szCs w:val="32"/>
        </w:rPr>
        <w:t>社会保障和就业（类）行政事业单位养老支出（款）</w:t>
      </w:r>
      <w:r>
        <w:rPr>
          <w:rStyle w:val="17"/>
          <w:rFonts w:hint="eastAsia" w:ascii="仿宋" w:hAnsi="仿宋" w:eastAsia="仿宋"/>
          <w:bCs/>
          <w:sz w:val="32"/>
          <w:szCs w:val="32"/>
          <w:lang w:eastAsia="zh-CN"/>
        </w:rPr>
        <w:t>其他社会保障和就业支出（项）支出决</w:t>
      </w:r>
      <w:r>
        <w:rPr>
          <w:rStyle w:val="17"/>
          <w:rFonts w:hint="eastAsia" w:ascii="仿宋" w:hAnsi="仿宋" w:eastAsia="仿宋"/>
          <w:b w:val="0"/>
          <w:bCs/>
          <w:sz w:val="32"/>
          <w:szCs w:val="32"/>
        </w:rPr>
        <w:t>算数</w:t>
      </w:r>
      <w:r>
        <w:rPr>
          <w:rStyle w:val="17"/>
          <w:rFonts w:hint="eastAsia" w:ascii="仿宋" w:hAnsi="仿宋" w:eastAsia="仿宋"/>
          <w:b w:val="0"/>
          <w:bCs/>
          <w:sz w:val="32"/>
          <w:szCs w:val="32"/>
          <w:lang w:val="en-US" w:eastAsia="zh-CN"/>
        </w:rPr>
        <w:t>1.07万元，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hint="eastAsia" w:ascii="仿宋" w:hAnsi="仿宋" w:eastAsia="仿宋"/>
          <w:b w:val="0"/>
          <w:bCs/>
          <w:sz w:val="32"/>
          <w:szCs w:val="32"/>
          <w:lang w:eastAsia="zh-CN"/>
        </w:rPr>
        <w:t>。</w:t>
      </w:r>
    </w:p>
    <w:p>
      <w:pPr>
        <w:spacing w:line="600" w:lineRule="exact"/>
        <w:ind w:firstLine="643" w:firstLineChars="200"/>
        <w:rPr>
          <w:rStyle w:val="17"/>
          <w:rFonts w:hint="eastAsia" w:ascii="仿宋" w:hAnsi="仿宋" w:eastAsia="仿宋"/>
          <w:b w:val="0"/>
          <w:bCs/>
          <w:sz w:val="32"/>
          <w:szCs w:val="32"/>
          <w:lang w:eastAsia="zh-CN"/>
        </w:rPr>
      </w:pPr>
      <w:r>
        <w:rPr>
          <w:rStyle w:val="17"/>
          <w:rFonts w:hint="eastAsia" w:ascii="仿宋" w:hAnsi="仿宋" w:eastAsia="仿宋"/>
          <w:bCs/>
          <w:sz w:val="32"/>
          <w:szCs w:val="32"/>
          <w:lang w:val="en-US" w:eastAsia="zh-CN"/>
        </w:rPr>
        <w:t>3</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（类）行政事业单位医疗（款）行政单位医疗（项）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50.75</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（类）行政事业单位医疗（款）事业单位医疗（项）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8.96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（类）行政事业单位医疗（款）公务员医疗补助（项）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10.44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（类）行政事业单位医疗（款）其他行政事业单位医疗支出（项）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7.67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spacing w:line="600" w:lineRule="exact"/>
        <w:ind w:firstLine="640" w:firstLineChars="200"/>
        <w:rPr>
          <w:rStyle w:val="17"/>
          <w:rFonts w:hint="eastAsia" w:ascii="仿宋" w:hAnsi="仿宋" w:eastAsia="仿宋"/>
          <w:b w:val="0"/>
          <w:bCs w:val="0"/>
          <w:sz w:val="32"/>
          <w:szCs w:val="32"/>
          <w:lang w:val="en-US" w:eastAsia="zh-CN"/>
        </w:rPr>
      </w:pPr>
      <w:r>
        <w:rPr>
          <w:rStyle w:val="17"/>
          <w:rFonts w:hint="eastAsia" w:ascii="仿宋" w:hAnsi="仿宋" w:eastAsia="仿宋"/>
          <w:b w:val="0"/>
          <w:bCs/>
          <w:sz w:val="32"/>
          <w:szCs w:val="32"/>
          <w:lang w:val="en-US" w:eastAsia="zh-CN"/>
        </w:rPr>
        <w:t>4.</w:t>
      </w:r>
      <w:r>
        <w:rPr>
          <w:rFonts w:hint="eastAsia" w:ascii="仿宋" w:hAnsi="仿宋" w:eastAsia="仿宋"/>
          <w:b/>
          <w:bCs/>
          <w:sz w:val="32"/>
          <w:szCs w:val="32"/>
          <w:lang w:eastAsia="zh-CN"/>
        </w:rPr>
        <w:t>住房保障</w:t>
      </w:r>
      <w:r>
        <w:rPr>
          <w:rStyle w:val="17"/>
          <w:rFonts w:hint="eastAsia" w:ascii="仿宋" w:hAnsi="仿宋" w:eastAsia="仿宋"/>
          <w:bCs/>
          <w:sz w:val="32"/>
          <w:szCs w:val="32"/>
        </w:rPr>
        <w:t>（类）</w:t>
      </w:r>
      <w:r>
        <w:rPr>
          <w:rStyle w:val="17"/>
          <w:rFonts w:hint="eastAsia" w:ascii="仿宋" w:hAnsi="仿宋" w:eastAsia="仿宋"/>
          <w:bCs/>
          <w:sz w:val="32"/>
          <w:szCs w:val="32"/>
          <w:lang w:eastAsia="zh-CN"/>
        </w:rPr>
        <w:t>住房改革支出</w:t>
      </w:r>
      <w:r>
        <w:rPr>
          <w:rStyle w:val="17"/>
          <w:rFonts w:hint="eastAsia" w:ascii="仿宋" w:hAnsi="仿宋" w:eastAsia="仿宋"/>
          <w:bCs/>
          <w:sz w:val="32"/>
          <w:szCs w:val="32"/>
        </w:rPr>
        <w:t>（款）住房公积金（项）</w:t>
      </w:r>
      <w:r>
        <w:rPr>
          <w:rStyle w:val="17"/>
          <w:rFonts w:hint="eastAsia" w:ascii="仿宋" w:hAnsi="仿宋" w:eastAsia="仿宋"/>
          <w:b w:val="0"/>
          <w:bCs w:val="0"/>
          <w:sz w:val="32"/>
          <w:szCs w:val="32"/>
          <w:lang w:eastAsia="zh-CN"/>
        </w:rPr>
        <w:t>支出决算</w:t>
      </w:r>
      <w:r>
        <w:rPr>
          <w:rStyle w:val="17"/>
          <w:rFonts w:hint="eastAsia" w:ascii="仿宋" w:hAnsi="仿宋" w:eastAsia="仿宋"/>
          <w:b w:val="0"/>
          <w:bCs w:val="0"/>
          <w:sz w:val="32"/>
          <w:szCs w:val="32"/>
          <w:lang w:val="en-US" w:eastAsia="zh-CN"/>
        </w:rPr>
        <w:t>126.84万元，完成预算100%。</w:t>
      </w:r>
      <w:bookmarkStart w:id="55" w:name="_Toc15396608"/>
      <w:bookmarkStart w:id="56" w:name="_Toc15377214"/>
    </w:p>
    <w:p>
      <w:pPr>
        <w:spacing w:line="600" w:lineRule="exact"/>
        <w:ind w:firstLine="640" w:firstLineChars="200"/>
        <w:rPr>
          <w:rStyle w:val="29"/>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55"/>
      <w:bookmarkEnd w:id="56"/>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1812.39</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1475.8</w:t>
      </w:r>
      <w:r>
        <w:rPr>
          <w:rFonts w:hint="eastAsia" w:ascii="仿宋" w:hAnsi="仿宋" w:eastAsia="仿宋"/>
          <w:sz w:val="32"/>
          <w:szCs w:val="32"/>
        </w:rPr>
        <w:t>万元，主要包括：基本工资、津贴补贴、奖金、绩效工资、机关事业单位基本养老保险缴费、其他社会保障缴费、其他工资福利支出、生活补助、医疗费补助、奖励金、住房公积金、其他对个人和家庭的补助支出等。</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336.59</w:t>
      </w:r>
      <w:r>
        <w:rPr>
          <w:rFonts w:hint="eastAsia" w:ascii="仿宋" w:hAnsi="仿宋" w:eastAsia="仿宋"/>
          <w:sz w:val="32"/>
          <w:szCs w:val="32"/>
        </w:rPr>
        <w:t>万元，主要包括：办公费、印刷费、水费、电费、邮电费、物业管理费、差旅费、维修（护）费、租赁费、会议费、公务接待费、劳务费、工会经费、福利费、公务用车运行维护费、其他交通费、其他商品和服务支出等。</w:t>
      </w:r>
    </w:p>
    <w:p>
      <w:pPr>
        <w:spacing w:line="600" w:lineRule="exact"/>
        <w:ind w:firstLine="640"/>
        <w:outlineLvl w:val="1"/>
        <w:rPr>
          <w:rStyle w:val="29"/>
          <w:rFonts w:ascii="黑体" w:hAnsi="黑体" w:eastAsia="黑体"/>
          <w:b w:val="0"/>
        </w:rPr>
      </w:pPr>
      <w:bookmarkStart w:id="57" w:name="_Toc15377215"/>
      <w:bookmarkStart w:id="58" w:name="_Toc15396609"/>
      <w:bookmarkStart w:id="59" w:name="_Toc1076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57"/>
      <w:bookmarkEnd w:id="58"/>
      <w:bookmarkEnd w:id="59"/>
    </w:p>
    <w:p>
      <w:pPr>
        <w:spacing w:line="600" w:lineRule="exact"/>
        <w:ind w:firstLine="640"/>
        <w:outlineLvl w:val="2"/>
        <w:rPr>
          <w:rFonts w:ascii="仿宋" w:hAnsi="仿宋" w:eastAsia="仿宋"/>
          <w:b/>
          <w:sz w:val="32"/>
          <w:szCs w:val="32"/>
        </w:rPr>
      </w:pPr>
      <w:bookmarkStart w:id="60" w:name="_Toc15377216"/>
      <w:r>
        <w:rPr>
          <w:rFonts w:hint="eastAsia" w:ascii="仿宋" w:hAnsi="仿宋" w:eastAsia="仿宋"/>
          <w:b/>
          <w:sz w:val="32"/>
          <w:szCs w:val="32"/>
        </w:rPr>
        <w:t>（一）“三公”经费财政拨款支出决算总体情况说明</w:t>
      </w:r>
      <w:bookmarkEnd w:id="60"/>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48.22</w:t>
      </w:r>
      <w:r>
        <w:rPr>
          <w:rFonts w:hint="eastAsia" w:ascii="仿宋" w:hAnsi="仿宋" w:eastAsia="仿宋"/>
          <w:sz w:val="32"/>
          <w:szCs w:val="32"/>
        </w:rPr>
        <w:t>万元，完成预算</w:t>
      </w:r>
      <w:r>
        <w:rPr>
          <w:rFonts w:hint="eastAsia" w:ascii="仿宋" w:hAnsi="仿宋" w:eastAsia="仿宋"/>
          <w:sz w:val="32"/>
          <w:szCs w:val="32"/>
          <w:lang w:val="en-US" w:eastAsia="zh-CN"/>
        </w:rPr>
        <w:t>82.60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9.96</w:t>
      </w:r>
      <w:r>
        <w:rPr>
          <w:rFonts w:hint="eastAsia" w:ascii="仿宋" w:hAnsi="仿宋" w:eastAsia="仿宋"/>
          <w:sz w:val="32"/>
          <w:szCs w:val="32"/>
        </w:rPr>
        <w:t>万元，下降</w:t>
      </w:r>
      <w:r>
        <w:rPr>
          <w:rFonts w:hint="eastAsia" w:ascii="仿宋" w:hAnsi="仿宋" w:eastAsia="仿宋"/>
          <w:sz w:val="32"/>
          <w:szCs w:val="32"/>
          <w:lang w:val="en-US" w:eastAsia="zh-CN"/>
        </w:rPr>
        <w:t>17.12</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加强车辆管理，严格控制车辆运行成本，细化公务接待措施，从严控制公务接待</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1" w:name="_Toc15377217"/>
      <w:r>
        <w:rPr>
          <w:rFonts w:hint="eastAsia" w:ascii="仿宋" w:hAnsi="仿宋" w:eastAsia="仿宋"/>
          <w:b/>
          <w:sz w:val="32"/>
          <w:szCs w:val="32"/>
        </w:rPr>
        <w:t>（二）“三公”经费财政拨款支出决算具体情况说明</w:t>
      </w:r>
      <w:bookmarkEnd w:id="6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43.88</w:t>
      </w:r>
      <w:r>
        <w:rPr>
          <w:rFonts w:hint="eastAsia" w:ascii="仿宋" w:hAnsi="仿宋" w:eastAsia="仿宋"/>
          <w:sz w:val="32"/>
          <w:szCs w:val="32"/>
        </w:rPr>
        <w:t>万元，占</w:t>
      </w:r>
      <w:r>
        <w:rPr>
          <w:rFonts w:hint="eastAsia" w:ascii="仿宋" w:hAnsi="仿宋" w:eastAsia="仿宋"/>
          <w:sz w:val="32"/>
          <w:szCs w:val="32"/>
          <w:lang w:val="en-US" w:eastAsia="zh-CN"/>
        </w:rPr>
        <w:t>91</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4.34</w:t>
      </w:r>
      <w:r>
        <w:rPr>
          <w:rFonts w:hint="eastAsia" w:ascii="仿宋" w:hAnsi="仿宋" w:eastAsia="仿宋"/>
          <w:sz w:val="32"/>
          <w:szCs w:val="32"/>
        </w:rPr>
        <w:t>万元，占</w:t>
      </w: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sz w:val="32"/>
          <w:szCs w:val="32"/>
        </w:rPr>
        <w:t>。具体情况如下：</w:t>
      </w:r>
    </w:p>
    <w:p>
      <w:pPr>
        <w:pStyle w:val="6"/>
      </w:pPr>
    </w:p>
    <w:p>
      <w:pPr>
        <w:rPr>
          <w:rFonts w:hint="eastAsia" w:ascii="仿宋" w:hAnsi="仿宋" w:eastAsia="仿宋"/>
          <w:sz w:val="32"/>
          <w:szCs w:val="32"/>
        </w:rPr>
      </w:pPr>
    </w:p>
    <w:p>
      <w:pPr>
        <w:pStyle w:val="6"/>
      </w:pPr>
      <w:r>
        <w:drawing>
          <wp:inline distT="0" distB="0" distL="114300" distR="114300">
            <wp:extent cx="5256530" cy="2988310"/>
            <wp:effectExtent l="5080" t="4445" r="15240" b="55245"/>
            <wp:docPr id="10" name="图表 10"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color w:val="auto"/>
          <w:sz w:val="32"/>
          <w:szCs w:val="32"/>
          <w:highlight w:val="none"/>
        </w:rPr>
        <w:t>因公出国（境）经费支出</w:t>
      </w:r>
      <w:r>
        <w:rPr>
          <w:rFonts w:hint="eastAsia" w:ascii="Times New Roman" w:hAnsi="Times New Roman" w:eastAsia="仿宋_GB2312" w:cs="Times New Roman"/>
          <w:color w:val="auto"/>
          <w:sz w:val="32"/>
          <w:szCs w:val="32"/>
          <w:highlight w:val="none"/>
          <w:lang w:val="en-US" w:eastAsia="zh-CN"/>
        </w:rPr>
        <w:t>0万元，完成预算0%。全年安排因公出国（境）团组0次，出国（境）0人。因公出国（境）支出决算</w:t>
      </w:r>
      <w:r>
        <w:rPr>
          <w:rFonts w:hint="eastAsia"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持平</w:t>
      </w:r>
      <w:r>
        <w:rPr>
          <w:rFonts w:hint="eastAsia" w:ascii="Times New Roman" w:hAnsi="Times New Roman" w:eastAsia="仿宋_GB2312" w:cs="Times New Roman"/>
          <w:color w:val="auto"/>
          <w:sz w:val="32"/>
          <w:szCs w:val="32"/>
          <w:highlight w:val="none"/>
          <w:lang w:val="en-US" w:eastAsia="zh-CN"/>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43.88</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81.41</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14.3</w:t>
      </w:r>
      <w:r>
        <w:rPr>
          <w:rFonts w:hint="eastAsia" w:ascii="仿宋_GB2312" w:eastAsia="仿宋_GB2312"/>
          <w:sz w:val="32"/>
          <w:szCs w:val="32"/>
        </w:rPr>
        <w:t>万元，下降</w:t>
      </w:r>
      <w:r>
        <w:rPr>
          <w:rFonts w:hint="eastAsia" w:ascii="仿宋_GB2312" w:eastAsia="仿宋_GB2312"/>
          <w:sz w:val="32"/>
          <w:szCs w:val="32"/>
          <w:lang w:val="en-US" w:eastAsia="zh-CN"/>
        </w:rPr>
        <w:t>24.58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加强车辆管理，严格控制车辆运行成本</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7</w:t>
      </w:r>
      <w:r>
        <w:rPr>
          <w:rFonts w:hint="eastAsia" w:ascii="仿宋_GB2312" w:eastAsia="仿宋_GB2312"/>
          <w:sz w:val="32"/>
          <w:szCs w:val="32"/>
        </w:rPr>
        <w:t>辆，其中：轿车</w:t>
      </w:r>
      <w:r>
        <w:rPr>
          <w:rFonts w:hint="eastAsia" w:ascii="仿宋_GB2312" w:eastAsia="仿宋_GB2312"/>
          <w:sz w:val="32"/>
          <w:szCs w:val="32"/>
          <w:lang w:val="en-US" w:eastAsia="zh-CN"/>
        </w:rPr>
        <w:t>3</w:t>
      </w:r>
      <w:r>
        <w:rPr>
          <w:rFonts w:hint="eastAsia" w:ascii="仿宋_GB2312" w:eastAsia="仿宋_GB2312"/>
          <w:sz w:val="32"/>
          <w:szCs w:val="32"/>
        </w:rPr>
        <w:t>辆、越野车</w:t>
      </w:r>
      <w:r>
        <w:rPr>
          <w:rFonts w:hint="eastAsia" w:ascii="仿宋_GB2312" w:eastAsia="仿宋_GB2312"/>
          <w:sz w:val="32"/>
          <w:szCs w:val="32"/>
          <w:lang w:val="en-US" w:eastAsia="zh-CN"/>
        </w:rPr>
        <w:t>4</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43.88</w:t>
      </w:r>
      <w:r>
        <w:rPr>
          <w:rFonts w:hint="eastAsia" w:ascii="仿宋_GB2312" w:eastAsia="仿宋_GB2312"/>
          <w:sz w:val="32"/>
          <w:szCs w:val="32"/>
        </w:rPr>
        <w:t>万元。主要用于</w:t>
      </w:r>
      <w:r>
        <w:rPr>
          <w:rFonts w:hint="eastAsia" w:ascii="仿宋_GB2312" w:eastAsia="仿宋_GB2312"/>
          <w:color w:val="000000"/>
          <w:sz w:val="32"/>
          <w:szCs w:val="32"/>
          <w:lang w:eastAsia="zh-CN"/>
        </w:rPr>
        <w:t>视察调研、乡村振兴、聚引帮、疫情防控</w:t>
      </w:r>
      <w:r>
        <w:rPr>
          <w:rFonts w:hint="eastAsia" w:ascii="仿宋_GB2312" w:eastAsia="仿宋_GB2312"/>
          <w:color w:val="000000"/>
          <w:sz w:val="32"/>
          <w:szCs w:val="32"/>
        </w:rPr>
        <w:t>等</w:t>
      </w:r>
      <w:r>
        <w:rPr>
          <w:rFonts w:hint="eastAsia" w:ascii="仿宋_GB2312" w:eastAsia="仿宋_GB2312"/>
          <w:sz w:val="32"/>
          <w:szCs w:val="32"/>
        </w:rPr>
        <w:t>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4.34</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96.88</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0.64</w:t>
      </w:r>
      <w:r>
        <w:rPr>
          <w:rFonts w:hint="eastAsia" w:ascii="仿宋_GB2312" w:eastAsia="仿宋_GB2312"/>
          <w:sz w:val="32"/>
          <w:szCs w:val="32"/>
        </w:rPr>
        <w:t>万元，下降</w:t>
      </w:r>
      <w:r>
        <w:rPr>
          <w:rFonts w:hint="eastAsia" w:ascii="仿宋_GB2312" w:eastAsia="仿宋_GB2312"/>
          <w:sz w:val="32"/>
          <w:szCs w:val="32"/>
          <w:lang w:val="en-US" w:eastAsia="zh-CN"/>
        </w:rPr>
        <w:t>12.8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严格控制接待规模和批次，杜绝非必要的公务接待</w:t>
      </w:r>
      <w:r>
        <w:rPr>
          <w:rFonts w:hint="eastAsia" w:ascii="仿宋_GB2312" w:eastAsia="仿宋_GB2312"/>
          <w:sz w:val="32"/>
          <w:szCs w:val="32"/>
        </w:rPr>
        <w:t>。其中：</w:t>
      </w:r>
    </w:p>
    <w:p>
      <w:pPr>
        <w:numPr>
          <w:ilvl w:val="0"/>
          <w:numId w:val="3"/>
        </w:numPr>
        <w:spacing w:line="600" w:lineRule="exact"/>
        <w:ind w:firstLine="640"/>
        <w:rPr>
          <w:rFonts w:hint="default" w:ascii="仿宋_GB2312" w:eastAsia="仿宋_GB2312"/>
          <w:sz w:val="32"/>
          <w:szCs w:val="32"/>
          <w:lang w:val="en-US"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4.34</w:t>
      </w:r>
      <w:r>
        <w:rPr>
          <w:rFonts w:hint="eastAsia" w:ascii="仿宋_GB2312" w:eastAsia="仿宋_GB2312"/>
          <w:sz w:val="32"/>
          <w:szCs w:val="32"/>
        </w:rPr>
        <w:t>万元，主要用于</w:t>
      </w:r>
      <w:r>
        <w:rPr>
          <w:rFonts w:hint="eastAsia" w:ascii="仿宋_GB2312" w:eastAsia="仿宋_GB2312"/>
          <w:sz w:val="32"/>
          <w:szCs w:val="32"/>
          <w:lang w:eastAsia="zh-CN"/>
        </w:rPr>
        <w:t>接待省市县区单位来巴考察调研、指导推进相关工作等，接待其他市州商会、企业来巴考察项目开支的住宿、餐饮费等</w:t>
      </w:r>
      <w:r>
        <w:rPr>
          <w:rFonts w:hint="eastAsia" w:ascii="仿宋_GB2312" w:eastAsia="仿宋_GB2312"/>
          <w:sz w:val="32"/>
          <w:szCs w:val="32"/>
        </w:rPr>
        <w:t>。国内公务接待</w:t>
      </w:r>
      <w:r>
        <w:rPr>
          <w:rFonts w:hint="eastAsia" w:ascii="仿宋_GB2312" w:eastAsia="仿宋_GB2312"/>
          <w:sz w:val="32"/>
          <w:szCs w:val="32"/>
          <w:lang w:val="en-US" w:eastAsia="zh-CN"/>
        </w:rPr>
        <w:t>22</w:t>
      </w:r>
      <w:r>
        <w:rPr>
          <w:rFonts w:hint="eastAsia" w:ascii="仿宋_GB2312" w:eastAsia="仿宋_GB2312"/>
          <w:sz w:val="32"/>
          <w:szCs w:val="32"/>
        </w:rPr>
        <w:t>批次，</w:t>
      </w:r>
      <w:r>
        <w:rPr>
          <w:rFonts w:hint="eastAsia" w:ascii="仿宋_GB2312" w:eastAsia="仿宋_GB2312"/>
          <w:sz w:val="32"/>
          <w:szCs w:val="32"/>
          <w:lang w:val="en-US" w:eastAsia="zh-CN"/>
        </w:rPr>
        <w:t>240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4.34</w:t>
      </w:r>
      <w:r>
        <w:rPr>
          <w:rFonts w:hint="eastAsia" w:ascii="仿宋_GB2312" w:eastAsia="仿宋_GB2312"/>
          <w:sz w:val="32"/>
          <w:szCs w:val="32"/>
        </w:rPr>
        <w:t>万元，具体内容包括：</w:t>
      </w:r>
      <w:r>
        <w:rPr>
          <w:rFonts w:hint="eastAsia" w:ascii="仿宋_GB2312" w:eastAsia="仿宋_GB2312"/>
          <w:sz w:val="32"/>
          <w:szCs w:val="32"/>
          <w:lang w:eastAsia="zh-CN"/>
        </w:rPr>
        <w:t>区县政协参加省政协召开落实中央和省委政协工作会议精神回头看工作部署“有事来协商”工作推进会、</w:t>
      </w:r>
      <w:r>
        <w:rPr>
          <w:rFonts w:hint="eastAsia" w:ascii="仿宋_GB2312" w:eastAsia="仿宋_GB2312"/>
          <w:sz w:val="32"/>
          <w:szCs w:val="32"/>
          <w:lang w:val="en-US" w:eastAsia="zh-CN"/>
        </w:rPr>
        <w:t>郑州市巴中商会党支部书记一行到市政协汇报“聚引帮”工作、贵州茅台四川省经销商赴“双桥村”开展捐赠活动、亳州市政协来巴考察、福建巴中商会来巴考察投资项目、县区政协参加助推农村集体经济发展界别互动协商工作、木林森股份有限公司副总刘仁一行来巴开展“聚引帮”工作、西北地区巴中籍企业家赴巴中参观考察、市州政协单位来巴调研等。</w:t>
      </w:r>
    </w:p>
    <w:p>
      <w:pPr>
        <w:spacing w:line="600" w:lineRule="exact"/>
        <w:ind w:firstLine="640"/>
        <w:rPr>
          <w:rFonts w:hint="eastAsia" w:eastAsia="仿宋_GB2312" w:cs="Times New Roman"/>
          <w:color w:val="auto"/>
          <w:sz w:val="32"/>
          <w:szCs w:val="32"/>
          <w:highlight w:val="none"/>
          <w:lang w:val="en-US" w:eastAsia="zh-CN"/>
        </w:rPr>
      </w:pPr>
      <w:bookmarkStart w:id="62" w:name="_Toc15396610"/>
      <w:bookmarkStart w:id="63" w:name="_Toc15377218"/>
      <w:bookmarkStart w:id="64" w:name="_Toc20137"/>
      <w:r>
        <w:rPr>
          <w:rFonts w:hint="eastAsia" w:eastAsia="仿宋_GB2312" w:cs="Times New Roman"/>
          <w:b/>
          <w:bCs/>
          <w:color w:val="auto"/>
          <w:sz w:val="32"/>
          <w:szCs w:val="32"/>
          <w:highlight w:val="none"/>
          <w:lang w:val="en-US" w:eastAsia="zh-CN"/>
        </w:rPr>
        <w:t>外事接待支出</w:t>
      </w:r>
      <w:r>
        <w:rPr>
          <w:rFonts w:hint="eastAsia" w:eastAsia="仿宋_GB2312" w:cs="Times New Roman"/>
          <w:color w:val="auto"/>
          <w:sz w:val="32"/>
          <w:szCs w:val="32"/>
          <w:highlight w:val="none"/>
          <w:lang w:val="en-US" w:eastAsia="zh-CN"/>
        </w:rPr>
        <w:t>0万元，外事接待批次0人次，共计支出0万元。</w:t>
      </w: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65" w:name="_Toc15377219"/>
      <w:bookmarkStart w:id="66" w:name="_Toc3119"/>
      <w:bookmarkStart w:id="67" w:name="_Toc15396611"/>
      <w:r>
        <w:rPr>
          <w:rStyle w:val="29"/>
          <w:rFonts w:hint="eastAsia" w:ascii="黑体" w:hAnsi="黑体" w:eastAsia="黑体"/>
          <w:b w:val="0"/>
        </w:rPr>
        <w:t>国有资本经营预算支出决算情况说明</w:t>
      </w:r>
      <w:bookmarkEnd w:id="65"/>
      <w:bookmarkEnd w:id="66"/>
      <w:bookmarkEnd w:id="67"/>
    </w:p>
    <w:p>
      <w:pPr>
        <w:spacing w:line="600" w:lineRule="exact"/>
        <w:ind w:firstLine="640"/>
        <w:rPr>
          <w:rFonts w:ascii="微软雅黑" w:hAnsi="微软雅黑" w:eastAsia="微软雅黑" w:cs="微软雅黑"/>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9"/>
          <w:rFonts w:ascii="黑体" w:hAnsi="黑体" w:eastAsia="黑体"/>
          <w:b w:val="0"/>
        </w:rPr>
      </w:pPr>
      <w:bookmarkStart w:id="68" w:name="_Toc15396612"/>
      <w:bookmarkStart w:id="69" w:name="_Toc15377221"/>
      <w:bookmarkStart w:id="70" w:name="_Toc32127"/>
      <w:r>
        <w:rPr>
          <w:rStyle w:val="29"/>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sz w:val="32"/>
          <w:szCs w:val="32"/>
        </w:rPr>
      </w:pPr>
      <w:bookmarkStart w:id="71" w:name="_Toc15377222"/>
      <w:r>
        <w:rPr>
          <w:rFonts w:hint="eastAsia" w:ascii="仿宋" w:hAnsi="仿宋" w:eastAsia="仿宋"/>
          <w:b/>
          <w:sz w:val="32"/>
          <w:szCs w:val="32"/>
        </w:rPr>
        <w:t>（一）机关运行经费支出情况</w:t>
      </w:r>
      <w:bookmarkEnd w:id="7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lang w:eastAsia="zh-CN"/>
        </w:rPr>
        <w:t>巴中市政协</w:t>
      </w:r>
      <w:r>
        <w:rPr>
          <w:rFonts w:hint="eastAsia" w:ascii="仿宋_GB2312" w:eastAsia="仿宋_GB2312"/>
          <w:sz w:val="32"/>
          <w:szCs w:val="32"/>
        </w:rPr>
        <w:t>机关运行经费支出</w:t>
      </w:r>
      <w:r>
        <w:rPr>
          <w:rFonts w:hint="eastAsia" w:ascii="仿宋_GB2312" w:eastAsia="仿宋_GB2312"/>
          <w:sz w:val="32"/>
          <w:szCs w:val="32"/>
          <w:lang w:val="en-US" w:eastAsia="zh-CN"/>
        </w:rPr>
        <w:t>336.59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55.12</w:t>
      </w:r>
      <w:r>
        <w:rPr>
          <w:rFonts w:hint="eastAsia" w:ascii="仿宋_GB2312" w:eastAsia="仿宋_GB2312"/>
          <w:sz w:val="32"/>
          <w:szCs w:val="32"/>
        </w:rPr>
        <w:t>万元，增长</w:t>
      </w:r>
      <w:r>
        <w:rPr>
          <w:rFonts w:hint="eastAsia" w:ascii="仿宋_GB2312" w:eastAsia="仿宋_GB2312"/>
          <w:sz w:val="32"/>
          <w:szCs w:val="32"/>
          <w:lang w:val="en-US" w:eastAsia="zh-CN"/>
        </w:rPr>
        <w:t>19.59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支出增大</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r>
        <w:rPr>
          <w:rFonts w:hint="eastAsia" w:ascii="仿宋" w:hAnsi="仿宋" w:eastAsia="仿宋"/>
          <w:b/>
          <w:sz w:val="32"/>
          <w:szCs w:val="32"/>
        </w:rPr>
        <w:t>（二）政府采购支出情况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lang w:eastAsia="zh-CN"/>
        </w:rPr>
        <w:t>巴中市政协</w:t>
      </w:r>
      <w:r>
        <w:rPr>
          <w:rFonts w:hint="eastAsia" w:ascii="仿宋_GB2312" w:eastAsia="仿宋_GB2312"/>
          <w:color w:val="000000"/>
          <w:sz w:val="32"/>
          <w:szCs w:val="32"/>
        </w:rPr>
        <w:t>机关</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4"/>
      <w:r>
        <w:rPr>
          <w:rFonts w:hint="eastAsia" w:ascii="仿宋" w:hAnsi="仿宋" w:eastAsia="仿宋"/>
          <w:b/>
          <w:sz w:val="32"/>
          <w:szCs w:val="32"/>
        </w:rPr>
        <w:t>（三）国有资产占有使用情况</w:t>
      </w:r>
      <w:bookmarkEnd w:id="7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lang w:eastAsia="zh-CN"/>
        </w:rPr>
        <w:t>巴中市政协</w:t>
      </w:r>
      <w:r>
        <w:rPr>
          <w:rFonts w:hint="eastAsia" w:ascii="仿宋_GB2312" w:eastAsia="仿宋_GB2312"/>
          <w:color w:val="000000"/>
          <w:sz w:val="32"/>
          <w:szCs w:val="32"/>
        </w:rPr>
        <w:t>机关</w:t>
      </w:r>
      <w:r>
        <w:rPr>
          <w:rFonts w:hint="eastAsia" w:ascii="仿宋_GB2312" w:eastAsia="仿宋_GB2312"/>
          <w:sz w:val="32"/>
          <w:szCs w:val="32"/>
        </w:rPr>
        <w:t>共有车辆</w:t>
      </w:r>
      <w:r>
        <w:rPr>
          <w:rFonts w:hint="eastAsia" w:ascii="仿宋_GB2312" w:eastAsia="仿宋_GB2312"/>
          <w:sz w:val="32"/>
          <w:szCs w:val="32"/>
          <w:lang w:val="en-US" w:eastAsia="zh-CN"/>
        </w:rPr>
        <w:t>7</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7</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根据预算绩效管理要求，本部门在2022年度预算编制阶段，组织对乡村振兴帮扶工作经费</w:t>
      </w:r>
      <w:r>
        <w:rPr>
          <w:rFonts w:hint="eastAsia" w:ascii="仿宋_GB2312" w:hAnsi="仿宋_GB2312" w:eastAsia="仿宋_GB2312" w:cs="仿宋_GB2312"/>
          <w:sz w:val="32"/>
          <w:szCs w:val="32"/>
          <w:lang w:eastAsia="zh-CN"/>
        </w:rPr>
        <w:t>、党建经费、离退休干部活动经费、食堂运行经费、职工体检费、专用内网运行维护费、乡愁记忆及文史资料编辑印刷费、巴中市书画院工作经费、政协会议费、政协委员活动视察经费、界别委员活动经费、“有事来协商”工作经费、提案办理第三方评价经费、运转经费、</w:t>
      </w:r>
      <w:r>
        <w:rPr>
          <w:rFonts w:hint="eastAsia" w:ascii="仿宋_GB2312" w:hAnsi="仿宋_GB2312" w:eastAsia="仿宋_GB2312" w:cs="仿宋_GB2312"/>
          <w:sz w:val="32"/>
          <w:szCs w:val="32"/>
        </w:rPr>
        <w:t>机关专委会经费</w:t>
      </w:r>
      <w:r>
        <w:rPr>
          <w:rFonts w:hint="eastAsia" w:ascii="仿宋_GB2312" w:hAnsi="仿宋_GB2312" w:eastAsia="仿宋_GB2312" w:cs="仿宋_GB2312"/>
          <w:sz w:val="32"/>
          <w:szCs w:val="32"/>
          <w:lang w:eastAsia="zh-CN"/>
        </w:rPr>
        <w:t>、监督执纪问责专项经费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组织对2022年度一般公共预算全面开展绩效自评，形成</w:t>
      </w:r>
      <w:r>
        <w:rPr>
          <w:rFonts w:hint="eastAsia" w:ascii="仿宋_GB2312" w:hAnsi="仿宋_GB2312" w:eastAsia="仿宋_GB2312" w:cs="仿宋_GB2312"/>
          <w:sz w:val="32"/>
          <w:szCs w:val="32"/>
          <w:lang w:eastAsia="zh-CN"/>
        </w:rPr>
        <w:t>政协巴中市委员会办公室</w:t>
      </w:r>
      <w:r>
        <w:rPr>
          <w:rFonts w:hint="eastAsia" w:ascii="仿宋_GB2312" w:hAnsi="仿宋_GB2312" w:eastAsia="仿宋_GB2312" w:cs="仿宋_GB2312"/>
          <w:sz w:val="32"/>
          <w:szCs w:val="32"/>
        </w:rPr>
        <w:t>部门整体绩效自评报告，其中，</w:t>
      </w:r>
      <w:r>
        <w:rPr>
          <w:rFonts w:hint="eastAsia" w:ascii="仿宋_GB2312" w:hAnsi="仿宋_GB2312" w:eastAsia="仿宋_GB2312" w:cs="仿宋_GB2312"/>
          <w:sz w:val="32"/>
          <w:szCs w:val="32"/>
          <w:lang w:eastAsia="zh-CN"/>
        </w:rPr>
        <w:t>政协巴中市委员会办公室</w:t>
      </w:r>
      <w:r>
        <w:rPr>
          <w:rFonts w:hint="eastAsia" w:ascii="仿宋_GB2312" w:hAnsi="仿宋_GB2312" w:eastAsia="仿宋_GB2312" w:cs="仿宋_GB2312"/>
          <w:sz w:val="32"/>
          <w:szCs w:val="32"/>
        </w:rPr>
        <w:t>部门整体绩效自评得分为</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分，绩效自评综述：</w:t>
      </w:r>
      <w:r>
        <w:rPr>
          <w:rFonts w:hAnsi="仿宋_GB2312" w:eastAsia="仿宋_GB2312"/>
          <w:sz w:val="32"/>
          <w:szCs w:val="32"/>
        </w:rPr>
        <w:t>绩效目标设置合理，预算</w:t>
      </w:r>
      <w:r>
        <w:rPr>
          <w:rFonts w:hint="eastAsia" w:hAnsi="仿宋_GB2312" w:eastAsia="仿宋_GB2312"/>
          <w:sz w:val="32"/>
          <w:szCs w:val="32"/>
          <w:lang w:eastAsia="zh-CN"/>
        </w:rPr>
        <w:t>项目</w:t>
      </w:r>
      <w:r>
        <w:rPr>
          <w:rFonts w:hAnsi="仿宋_GB2312" w:eastAsia="仿宋_GB2312"/>
          <w:sz w:val="32"/>
          <w:szCs w:val="32"/>
        </w:rPr>
        <w:t>编制</w:t>
      </w:r>
      <w:r>
        <w:rPr>
          <w:rFonts w:hint="eastAsia" w:hAnsi="仿宋_GB2312" w:eastAsia="仿宋_GB2312"/>
          <w:sz w:val="32"/>
          <w:szCs w:val="32"/>
          <w:lang w:eastAsia="zh-CN"/>
        </w:rPr>
        <w:t>合理</w:t>
      </w:r>
      <w:r>
        <w:rPr>
          <w:rFonts w:hAnsi="仿宋_GB2312" w:eastAsia="仿宋_GB2312"/>
          <w:sz w:val="32"/>
          <w:szCs w:val="32"/>
        </w:rPr>
        <w:t>，</w:t>
      </w:r>
      <w:r>
        <w:rPr>
          <w:rFonts w:hint="eastAsia" w:hAnsi="仿宋_GB2312" w:eastAsia="仿宋_GB2312"/>
          <w:sz w:val="32"/>
          <w:szCs w:val="32"/>
          <w:lang w:eastAsia="zh-CN"/>
        </w:rPr>
        <w:t>绩效</w:t>
      </w:r>
      <w:r>
        <w:rPr>
          <w:rFonts w:hAnsi="仿宋_GB2312" w:eastAsia="仿宋_GB2312"/>
          <w:sz w:val="32"/>
          <w:szCs w:val="32"/>
        </w:rPr>
        <w:t>管理</w:t>
      </w:r>
      <w:r>
        <w:rPr>
          <w:rFonts w:hint="eastAsia" w:hAnsi="仿宋_GB2312" w:eastAsia="仿宋_GB2312"/>
          <w:sz w:val="32"/>
          <w:szCs w:val="32"/>
          <w:lang w:eastAsia="zh-CN"/>
        </w:rPr>
        <w:t>严格</w:t>
      </w:r>
      <w:r>
        <w:rPr>
          <w:rFonts w:hAnsi="仿宋_GB2312" w:eastAsia="仿宋_GB2312"/>
          <w:sz w:val="32"/>
          <w:szCs w:val="32"/>
        </w:rPr>
        <w:t>，</w:t>
      </w:r>
      <w:r>
        <w:rPr>
          <w:rFonts w:hint="eastAsia" w:hAnsi="仿宋_GB2312" w:eastAsia="仿宋_GB2312"/>
          <w:sz w:val="32"/>
          <w:szCs w:val="32"/>
          <w:lang w:eastAsia="zh-CN"/>
        </w:rPr>
        <w:t>财务管理规范有序，资金专款专用</w:t>
      </w:r>
      <w:r>
        <w:rPr>
          <w:rFonts w:hAnsi="仿宋_GB2312" w:eastAsia="仿宋_GB2312"/>
          <w:sz w:val="32"/>
          <w:szCs w:val="32"/>
        </w:rPr>
        <w:t>，充分发挥了财政资金的使用效益，各项数量、质量、成本、</w:t>
      </w:r>
      <w:r>
        <w:rPr>
          <w:rFonts w:hint="eastAsia" w:hAnsi="仿宋_GB2312" w:eastAsia="仿宋_GB2312"/>
          <w:sz w:val="32"/>
          <w:szCs w:val="32"/>
          <w:lang w:eastAsia="zh-CN"/>
        </w:rPr>
        <w:t>时效、</w:t>
      </w:r>
      <w:r>
        <w:rPr>
          <w:rFonts w:hAnsi="仿宋_GB2312" w:eastAsia="仿宋_GB2312"/>
          <w:sz w:val="32"/>
          <w:szCs w:val="32"/>
        </w:rPr>
        <w:t>效益、公众满意度指标全部达到预期效果</w:t>
      </w:r>
      <w:r>
        <w:rPr>
          <w:rFonts w:hint="eastAsia" w:hAnsi="仿宋_GB2312" w:eastAsia="仿宋_GB2312"/>
          <w:sz w:val="32"/>
          <w:szCs w:val="32"/>
          <w:lang w:eastAsia="zh-CN"/>
        </w:rPr>
        <w:t>。</w:t>
      </w: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8"/>
          <w:rFonts w:ascii="黑体" w:hAnsi="黑体" w:eastAsia="黑体"/>
          <w:b w:val="0"/>
        </w:rPr>
      </w:pPr>
      <w:bookmarkStart w:id="74" w:name="_Toc15396613"/>
      <w:bookmarkStart w:id="75" w:name="_Toc15377225"/>
      <w:bookmarkStart w:id="76" w:name="_Toc26649"/>
      <w:r>
        <w:rPr>
          <w:rFonts w:hint="eastAsia" w:ascii="黑体" w:hAnsi="黑体" w:eastAsia="黑体"/>
          <w:sz w:val="44"/>
          <w:szCs w:val="44"/>
        </w:rPr>
        <w:t>名</w:t>
      </w:r>
      <w:r>
        <w:rPr>
          <w:rStyle w:val="28"/>
          <w:rFonts w:hint="eastAsia" w:ascii="黑体" w:hAnsi="黑体" w:eastAsia="黑体"/>
          <w:b w:val="0"/>
        </w:rPr>
        <w:t>词解释</w:t>
      </w:r>
      <w:bookmarkEnd w:id="74"/>
      <w:bookmarkEnd w:id="75"/>
      <w:bookmarkEnd w:id="76"/>
    </w:p>
    <w:p>
      <w:pPr>
        <w:spacing w:line="600" w:lineRule="exact"/>
        <w:jc w:val="left"/>
        <w:rPr>
          <w:rFonts w:ascii="宋体"/>
          <w:b/>
          <w:sz w:val="44"/>
          <w:szCs w:val="44"/>
        </w:rPr>
      </w:pPr>
    </w:p>
    <w:p>
      <w:pPr>
        <w:pStyle w:val="26"/>
        <w:spacing w:line="560" w:lineRule="exact"/>
        <w:ind w:firstLine="640" w:firstLineChars="200"/>
        <w:outlineLvl w:val="1"/>
        <w:rPr>
          <w:rFonts w:ascii="仿宋_GB2312" w:eastAsia="仿宋_GB2312"/>
          <w:color w:val="auto"/>
          <w:sz w:val="32"/>
          <w:szCs w:val="32"/>
        </w:rPr>
      </w:pPr>
      <w:bookmarkStart w:id="77" w:name="_Toc3908"/>
      <w:bookmarkStart w:id="78" w:name="_Toc30742"/>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bookmarkEnd w:id="77"/>
      <w:bookmarkEnd w:id="78"/>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（项）：指</w:t>
      </w:r>
      <w:r>
        <w:rPr>
          <w:rFonts w:hint="eastAsia" w:ascii="仿宋_GB2312" w:eastAsia="仿宋_GB2312"/>
          <w:sz w:val="32"/>
          <w:szCs w:val="32"/>
          <w:lang w:eastAsia="zh-CN"/>
        </w:rPr>
        <w:t>政协机关的基本支出；</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一般行政管理事务</w:t>
      </w:r>
      <w:r>
        <w:rPr>
          <w:rFonts w:hint="eastAsia" w:ascii="仿宋_GB2312" w:eastAsia="仿宋_GB2312"/>
          <w:sz w:val="32"/>
          <w:szCs w:val="32"/>
        </w:rPr>
        <w:t>（项）</w:t>
      </w:r>
      <w:r>
        <w:rPr>
          <w:rFonts w:hint="eastAsia" w:ascii="仿宋_GB2312" w:eastAsia="仿宋_GB2312"/>
          <w:sz w:val="32"/>
          <w:szCs w:val="32"/>
          <w:lang w:eastAsia="zh-CN"/>
        </w:rPr>
        <w:t>：指机关维护正常运转项目支出；</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政协会议</w:t>
      </w:r>
      <w:r>
        <w:rPr>
          <w:rFonts w:hint="eastAsia" w:ascii="仿宋_GB2312" w:eastAsia="仿宋_GB2312"/>
          <w:sz w:val="32"/>
          <w:szCs w:val="32"/>
        </w:rPr>
        <w:t>（项）</w:t>
      </w:r>
      <w:r>
        <w:rPr>
          <w:rFonts w:hint="eastAsia" w:ascii="仿宋_GB2312" w:eastAsia="仿宋_GB2312"/>
          <w:sz w:val="32"/>
          <w:szCs w:val="32"/>
          <w:lang w:eastAsia="zh-CN"/>
        </w:rPr>
        <w:t>召开政治协商会议等专门会议支出；</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委员视察</w:t>
      </w:r>
      <w:r>
        <w:rPr>
          <w:rFonts w:hint="eastAsia" w:ascii="仿宋_GB2312" w:eastAsia="仿宋_GB2312"/>
          <w:sz w:val="32"/>
          <w:szCs w:val="32"/>
        </w:rPr>
        <w:t>（项）</w:t>
      </w:r>
      <w:r>
        <w:rPr>
          <w:rFonts w:hint="eastAsia" w:ascii="仿宋_GB2312" w:eastAsia="仿宋_GB2312"/>
          <w:sz w:val="32"/>
          <w:szCs w:val="32"/>
          <w:lang w:eastAsia="zh-CN"/>
        </w:rPr>
        <w:t>：指政协委员开展各类视察的支出；</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参政议政</w:t>
      </w:r>
      <w:r>
        <w:rPr>
          <w:rFonts w:hint="eastAsia" w:ascii="仿宋_GB2312" w:eastAsia="仿宋_GB2312"/>
          <w:sz w:val="32"/>
          <w:szCs w:val="32"/>
        </w:rPr>
        <w:t>（项）</w:t>
      </w:r>
      <w:r>
        <w:rPr>
          <w:rFonts w:hint="eastAsia" w:ascii="仿宋_GB2312" w:eastAsia="仿宋_GB2312"/>
          <w:sz w:val="32"/>
          <w:szCs w:val="32"/>
          <w:lang w:eastAsia="zh-CN"/>
        </w:rPr>
        <w:t>：指政协为参政议政进行调研、检查等方面的支出；</w:t>
      </w:r>
      <w:r>
        <w:rPr>
          <w:rFonts w:hint="eastAsia" w:ascii="仿宋_GB2312" w:eastAsia="仿宋_GB2312"/>
          <w:sz w:val="32"/>
          <w:szCs w:val="32"/>
        </w:rPr>
        <w:t>一般公共服务（类）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事业运行</w:t>
      </w:r>
      <w:r>
        <w:rPr>
          <w:rFonts w:hint="eastAsia" w:ascii="仿宋_GB2312" w:eastAsia="仿宋_GB2312"/>
          <w:sz w:val="32"/>
          <w:szCs w:val="32"/>
        </w:rPr>
        <w:t>（项）</w:t>
      </w:r>
      <w:r>
        <w:rPr>
          <w:rFonts w:hint="eastAsia" w:ascii="仿宋_GB2312" w:eastAsia="仿宋_GB2312"/>
          <w:sz w:val="32"/>
          <w:szCs w:val="32"/>
          <w:lang w:eastAsia="zh-CN"/>
        </w:rPr>
        <w:t>指：机关事业人员的基本支出；一</w:t>
      </w:r>
      <w:r>
        <w:rPr>
          <w:rFonts w:hint="eastAsia" w:ascii="仿宋_GB2312" w:eastAsia="仿宋_GB2312"/>
          <w:sz w:val="32"/>
          <w:szCs w:val="32"/>
        </w:rPr>
        <w:t>般公共服务（类）</w:t>
      </w:r>
      <w:r>
        <w:rPr>
          <w:rFonts w:hint="eastAsia" w:ascii="仿宋_GB2312" w:eastAsia="仿宋_GB2312"/>
          <w:sz w:val="32"/>
          <w:szCs w:val="32"/>
          <w:lang w:eastAsia="zh-CN"/>
        </w:rPr>
        <w:t>政协事务</w:t>
      </w:r>
      <w:r>
        <w:rPr>
          <w:rFonts w:hint="eastAsia" w:ascii="仿宋_GB2312" w:eastAsia="仿宋_GB2312"/>
          <w:sz w:val="32"/>
          <w:szCs w:val="32"/>
        </w:rPr>
        <w:t>（款）</w:t>
      </w:r>
      <w:r>
        <w:rPr>
          <w:rFonts w:hint="eastAsia" w:ascii="仿宋_GB2312" w:eastAsia="仿宋_GB2312"/>
          <w:sz w:val="32"/>
          <w:szCs w:val="32"/>
          <w:lang w:eastAsia="zh-CN"/>
        </w:rPr>
        <w:t>其他政协事务支出</w:t>
      </w:r>
      <w:r>
        <w:rPr>
          <w:rFonts w:hint="eastAsia" w:ascii="仿宋_GB2312" w:eastAsia="仿宋_GB2312"/>
          <w:sz w:val="32"/>
          <w:szCs w:val="32"/>
        </w:rPr>
        <w:t>（项）</w:t>
      </w:r>
      <w:r>
        <w:rPr>
          <w:rFonts w:hint="eastAsia" w:ascii="仿宋_GB2312" w:eastAsia="仿宋_GB2312"/>
          <w:sz w:val="32"/>
          <w:szCs w:val="32"/>
          <w:lang w:eastAsia="zh-CN"/>
        </w:rPr>
        <w:t>指与政协事务相关的其他支出。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社会保障和就业（类）行政事业单位养老支出（款）行政单位离退休（项）：指</w:t>
      </w:r>
      <w:r>
        <w:rPr>
          <w:rFonts w:hint="eastAsia" w:ascii="仿宋_GB2312" w:eastAsia="仿宋_GB2312"/>
          <w:sz w:val="32"/>
          <w:szCs w:val="32"/>
          <w:lang w:eastAsia="zh-CN"/>
        </w:rPr>
        <w:t>行政单位开支的离退休经费；</w:t>
      </w:r>
      <w:r>
        <w:rPr>
          <w:rFonts w:hint="eastAsia" w:ascii="仿宋_GB2312" w:eastAsia="仿宋_GB2312"/>
          <w:sz w:val="32"/>
          <w:szCs w:val="32"/>
        </w:rPr>
        <w:t>社会保障和就业（类）行政事业单位养老支出（款）机关事业单位基本养老保险缴费支出（项）</w:t>
      </w:r>
      <w:r>
        <w:rPr>
          <w:rFonts w:hint="eastAsia" w:ascii="仿宋_GB2312" w:eastAsia="仿宋_GB2312"/>
          <w:sz w:val="32"/>
          <w:szCs w:val="32"/>
          <w:lang w:eastAsia="zh-CN"/>
        </w:rPr>
        <w:t>：指单位缴纳的基本养老保险费支出；</w:t>
      </w:r>
      <w:r>
        <w:rPr>
          <w:rFonts w:hint="eastAsia" w:ascii="仿宋_GB2312" w:eastAsia="仿宋_GB2312"/>
          <w:sz w:val="32"/>
          <w:szCs w:val="32"/>
        </w:rPr>
        <w:t>社会保障和就业（类）</w:t>
      </w:r>
      <w:r>
        <w:rPr>
          <w:rFonts w:hint="eastAsia" w:ascii="仿宋_GB2312" w:eastAsia="仿宋_GB2312"/>
          <w:sz w:val="32"/>
          <w:szCs w:val="32"/>
          <w:lang w:eastAsia="zh-CN"/>
        </w:rPr>
        <w:t>抚恤</w:t>
      </w:r>
      <w:r>
        <w:rPr>
          <w:rFonts w:hint="eastAsia" w:ascii="仿宋_GB2312" w:eastAsia="仿宋_GB2312"/>
          <w:sz w:val="32"/>
          <w:szCs w:val="32"/>
        </w:rPr>
        <w:t>（款）</w:t>
      </w:r>
      <w:r>
        <w:rPr>
          <w:rFonts w:hint="eastAsia" w:ascii="仿宋_GB2312" w:eastAsia="仿宋_GB2312"/>
          <w:sz w:val="32"/>
          <w:szCs w:val="32"/>
          <w:lang w:eastAsia="zh-CN"/>
        </w:rPr>
        <w:t>死亡抚恤</w:t>
      </w:r>
      <w:r>
        <w:rPr>
          <w:rFonts w:hint="eastAsia" w:ascii="仿宋_GB2312" w:eastAsia="仿宋_GB2312"/>
          <w:sz w:val="32"/>
          <w:szCs w:val="32"/>
        </w:rPr>
        <w:t>（项）</w:t>
      </w:r>
      <w:r>
        <w:rPr>
          <w:rFonts w:hint="eastAsia" w:ascii="仿宋_GB2312" w:eastAsia="仿宋_GB2312"/>
          <w:sz w:val="32"/>
          <w:szCs w:val="32"/>
          <w:lang w:eastAsia="zh-CN"/>
        </w:rPr>
        <w:t>：指病故人员家属的定期抚恤金；</w:t>
      </w:r>
      <w:r>
        <w:rPr>
          <w:rFonts w:hint="eastAsia" w:ascii="仿宋_GB2312" w:eastAsia="仿宋_GB2312"/>
          <w:sz w:val="32"/>
          <w:szCs w:val="32"/>
        </w:rPr>
        <w:t>社会保障和就业（类）</w:t>
      </w:r>
      <w:r>
        <w:rPr>
          <w:rFonts w:hint="eastAsia" w:ascii="仿宋_GB2312" w:eastAsia="仿宋_GB2312"/>
          <w:sz w:val="32"/>
          <w:szCs w:val="32"/>
          <w:lang w:eastAsia="zh-CN"/>
        </w:rPr>
        <w:t>其他社会保障和就业支出</w:t>
      </w:r>
      <w:r>
        <w:rPr>
          <w:rFonts w:hint="eastAsia" w:ascii="仿宋_GB2312" w:eastAsia="仿宋_GB2312"/>
          <w:sz w:val="32"/>
          <w:szCs w:val="32"/>
        </w:rPr>
        <w:t>（款）</w:t>
      </w:r>
      <w:r>
        <w:rPr>
          <w:rFonts w:hint="eastAsia" w:ascii="仿宋_GB2312" w:eastAsia="仿宋_GB2312"/>
          <w:sz w:val="32"/>
          <w:szCs w:val="32"/>
          <w:lang w:eastAsia="zh-CN"/>
        </w:rPr>
        <w:t>其他社会保障和就业支出</w:t>
      </w:r>
      <w:r>
        <w:rPr>
          <w:rFonts w:hint="eastAsia" w:ascii="仿宋_GB2312" w:eastAsia="仿宋_GB2312"/>
          <w:sz w:val="32"/>
          <w:szCs w:val="32"/>
        </w:rPr>
        <w:t>（项）</w:t>
      </w:r>
      <w:r>
        <w:rPr>
          <w:rFonts w:hint="eastAsia" w:ascii="仿宋_GB2312" w:eastAsia="仿宋_GB2312"/>
          <w:sz w:val="32"/>
          <w:szCs w:val="32"/>
          <w:lang w:eastAsia="zh-CN"/>
        </w:rPr>
        <w:t>：指社会保障方面的其他支出事项。</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卫生健康（类）</w:t>
      </w:r>
      <w:r>
        <w:rPr>
          <w:rFonts w:hint="eastAsia" w:ascii="仿宋_GB2312" w:eastAsia="仿宋_GB2312"/>
          <w:sz w:val="32"/>
          <w:szCs w:val="32"/>
          <w:lang w:eastAsia="zh-CN"/>
        </w:rPr>
        <w:t>行政事业单位医疗</w:t>
      </w:r>
      <w:r>
        <w:rPr>
          <w:rFonts w:hint="eastAsia" w:ascii="仿宋_GB2312" w:eastAsia="仿宋_GB2312"/>
          <w:sz w:val="32"/>
          <w:szCs w:val="32"/>
        </w:rPr>
        <w:t>（款）</w:t>
      </w:r>
      <w:r>
        <w:rPr>
          <w:rFonts w:hint="eastAsia" w:ascii="仿宋_GB2312" w:eastAsia="仿宋_GB2312"/>
          <w:sz w:val="32"/>
          <w:szCs w:val="32"/>
          <w:lang w:eastAsia="zh-CN"/>
        </w:rPr>
        <w:t>行政单位医疗</w:t>
      </w:r>
      <w:r>
        <w:rPr>
          <w:rFonts w:hint="eastAsia" w:ascii="仿宋_GB2312" w:eastAsia="仿宋_GB2312"/>
          <w:sz w:val="32"/>
          <w:szCs w:val="32"/>
        </w:rPr>
        <w:t>（项）：指</w:t>
      </w:r>
      <w:r>
        <w:rPr>
          <w:rFonts w:hint="eastAsia" w:ascii="仿宋_GB2312" w:eastAsia="仿宋_GB2312"/>
          <w:sz w:val="32"/>
          <w:szCs w:val="32"/>
          <w:lang w:eastAsia="zh-CN"/>
        </w:rPr>
        <w:t>行政单位基本医疗保险缴费经费；</w:t>
      </w:r>
      <w:r>
        <w:rPr>
          <w:rFonts w:hint="eastAsia" w:ascii="仿宋_GB2312" w:eastAsia="仿宋_GB2312"/>
          <w:sz w:val="32"/>
          <w:szCs w:val="32"/>
        </w:rPr>
        <w:t>卫生健康（类）</w:t>
      </w:r>
      <w:r>
        <w:rPr>
          <w:rFonts w:hint="eastAsia" w:ascii="仿宋_GB2312" w:eastAsia="仿宋_GB2312"/>
          <w:sz w:val="32"/>
          <w:szCs w:val="32"/>
          <w:lang w:eastAsia="zh-CN"/>
        </w:rPr>
        <w:t>行政事业单位医疗</w:t>
      </w:r>
      <w:r>
        <w:rPr>
          <w:rFonts w:hint="eastAsia" w:ascii="仿宋_GB2312" w:eastAsia="仿宋_GB2312"/>
          <w:sz w:val="32"/>
          <w:szCs w:val="32"/>
        </w:rPr>
        <w:t>（款）</w:t>
      </w:r>
      <w:r>
        <w:rPr>
          <w:rFonts w:hint="eastAsia" w:ascii="仿宋_GB2312" w:eastAsia="仿宋_GB2312"/>
          <w:sz w:val="32"/>
          <w:szCs w:val="32"/>
          <w:lang w:eastAsia="zh-CN"/>
        </w:rPr>
        <w:t>事业单位医疗</w:t>
      </w:r>
      <w:r>
        <w:rPr>
          <w:rFonts w:hint="eastAsia" w:ascii="仿宋_GB2312" w:eastAsia="仿宋_GB2312"/>
          <w:sz w:val="32"/>
          <w:szCs w:val="32"/>
        </w:rPr>
        <w:t>（项）</w:t>
      </w:r>
      <w:r>
        <w:rPr>
          <w:rFonts w:hint="eastAsia" w:ascii="仿宋_GB2312" w:eastAsia="仿宋_GB2312"/>
          <w:sz w:val="32"/>
          <w:szCs w:val="32"/>
          <w:lang w:eastAsia="zh-CN"/>
        </w:rPr>
        <w:t>：指事业单位基本医疗缴费经费；</w:t>
      </w:r>
      <w:r>
        <w:rPr>
          <w:rFonts w:hint="eastAsia" w:ascii="仿宋_GB2312" w:eastAsia="仿宋_GB2312"/>
          <w:sz w:val="32"/>
          <w:szCs w:val="32"/>
        </w:rPr>
        <w:t>卫生健康（类）</w:t>
      </w:r>
      <w:r>
        <w:rPr>
          <w:rFonts w:hint="eastAsia" w:ascii="仿宋_GB2312" w:eastAsia="仿宋_GB2312"/>
          <w:sz w:val="32"/>
          <w:szCs w:val="32"/>
          <w:lang w:eastAsia="zh-CN"/>
        </w:rPr>
        <w:t>行政事业单位医疗</w:t>
      </w:r>
      <w:r>
        <w:rPr>
          <w:rFonts w:hint="eastAsia" w:ascii="仿宋_GB2312" w:eastAsia="仿宋_GB2312"/>
          <w:sz w:val="32"/>
          <w:szCs w:val="32"/>
        </w:rPr>
        <w:t>（款）</w:t>
      </w:r>
      <w:r>
        <w:rPr>
          <w:rFonts w:hint="eastAsia" w:ascii="仿宋_GB2312" w:eastAsia="仿宋_GB2312"/>
          <w:sz w:val="32"/>
          <w:szCs w:val="32"/>
          <w:lang w:eastAsia="zh-CN"/>
        </w:rPr>
        <w:t>公务员医疗补助</w:t>
      </w:r>
      <w:r>
        <w:rPr>
          <w:rFonts w:hint="eastAsia" w:ascii="仿宋_GB2312" w:eastAsia="仿宋_GB2312"/>
          <w:sz w:val="32"/>
          <w:szCs w:val="32"/>
        </w:rPr>
        <w:t>（项）</w:t>
      </w:r>
      <w:r>
        <w:rPr>
          <w:rFonts w:hint="eastAsia" w:ascii="仿宋_GB2312" w:eastAsia="仿宋_GB2312"/>
          <w:sz w:val="32"/>
          <w:szCs w:val="32"/>
          <w:lang w:eastAsia="zh-CN"/>
        </w:rPr>
        <w:t>：指公务员医疗补助经费；</w:t>
      </w:r>
      <w:r>
        <w:rPr>
          <w:rFonts w:hint="eastAsia" w:ascii="仿宋_GB2312" w:eastAsia="仿宋_GB2312"/>
          <w:sz w:val="32"/>
          <w:szCs w:val="32"/>
        </w:rPr>
        <w:t>卫生健康（类）</w:t>
      </w:r>
      <w:r>
        <w:rPr>
          <w:rFonts w:hint="eastAsia" w:ascii="仿宋_GB2312" w:eastAsia="仿宋_GB2312"/>
          <w:sz w:val="32"/>
          <w:szCs w:val="32"/>
          <w:lang w:eastAsia="zh-CN"/>
        </w:rPr>
        <w:t>行政事业单位医疗</w:t>
      </w:r>
      <w:r>
        <w:rPr>
          <w:rFonts w:hint="eastAsia" w:ascii="仿宋_GB2312" w:eastAsia="仿宋_GB2312"/>
          <w:sz w:val="32"/>
          <w:szCs w:val="32"/>
        </w:rPr>
        <w:t>（款）</w:t>
      </w:r>
      <w:r>
        <w:rPr>
          <w:rFonts w:hint="eastAsia" w:ascii="仿宋_GB2312" w:eastAsia="仿宋_GB2312"/>
          <w:sz w:val="32"/>
          <w:szCs w:val="32"/>
          <w:lang w:eastAsia="zh-CN"/>
        </w:rPr>
        <w:t>其他行政事业单位医疗支出</w:t>
      </w:r>
      <w:r>
        <w:rPr>
          <w:rFonts w:hint="eastAsia" w:ascii="仿宋_GB2312" w:eastAsia="仿宋_GB2312"/>
          <w:sz w:val="32"/>
          <w:szCs w:val="32"/>
        </w:rPr>
        <w:t>（项）</w:t>
      </w:r>
      <w:r>
        <w:rPr>
          <w:rFonts w:hint="eastAsia" w:ascii="仿宋_GB2312" w:eastAsia="仿宋_GB2312"/>
          <w:sz w:val="32"/>
          <w:szCs w:val="32"/>
          <w:lang w:eastAsia="zh-CN"/>
        </w:rPr>
        <w:t>：指用于行政事业单位医疗方面的其他支出。</w:t>
      </w:r>
    </w:p>
    <w:p>
      <w:pPr>
        <w:ind w:firstLine="640" w:firstLineChars="200"/>
        <w:rPr>
          <w:rFonts w:hint="eastAsia" w:ascii="仿宋_GB2312" w:eastAsia="仿宋"/>
          <w:sz w:val="32"/>
          <w:szCs w:val="32"/>
          <w:lang w:eastAsia="zh-CN"/>
        </w:rPr>
      </w:pPr>
      <w:r>
        <w:rPr>
          <w:rFonts w:hint="eastAsia" w:ascii="仿宋_GB2312" w:eastAsia="仿宋_GB2312"/>
          <w:sz w:val="32"/>
          <w:szCs w:val="32"/>
          <w:lang w:val="en-US" w:eastAsia="zh-CN"/>
        </w:rPr>
        <w:t>7.</w:t>
      </w:r>
      <w:r>
        <w:rPr>
          <w:rFonts w:hint="eastAsia" w:ascii="仿宋" w:hAnsi="仿宋" w:eastAsia="仿宋"/>
          <w:b w:val="0"/>
          <w:bCs w:val="0"/>
          <w:sz w:val="32"/>
          <w:szCs w:val="32"/>
          <w:lang w:eastAsia="zh-CN"/>
        </w:rPr>
        <w:t>住房保障</w:t>
      </w:r>
      <w:r>
        <w:rPr>
          <w:rStyle w:val="17"/>
          <w:rFonts w:hint="eastAsia" w:ascii="仿宋" w:hAnsi="仿宋" w:eastAsia="仿宋"/>
          <w:b w:val="0"/>
          <w:bCs w:val="0"/>
          <w:sz w:val="32"/>
          <w:szCs w:val="32"/>
        </w:rPr>
        <w:t>（类）</w:t>
      </w:r>
      <w:r>
        <w:rPr>
          <w:rStyle w:val="17"/>
          <w:rFonts w:hint="eastAsia" w:ascii="仿宋" w:hAnsi="仿宋" w:eastAsia="仿宋"/>
          <w:b w:val="0"/>
          <w:bCs w:val="0"/>
          <w:sz w:val="32"/>
          <w:szCs w:val="32"/>
          <w:lang w:eastAsia="zh-CN"/>
        </w:rPr>
        <w:t>住房改革支出</w:t>
      </w:r>
      <w:r>
        <w:rPr>
          <w:rStyle w:val="17"/>
          <w:rFonts w:hint="eastAsia" w:ascii="仿宋" w:hAnsi="仿宋" w:eastAsia="仿宋"/>
          <w:b w:val="0"/>
          <w:bCs w:val="0"/>
          <w:sz w:val="32"/>
          <w:szCs w:val="32"/>
        </w:rPr>
        <w:t>（款）住房公积金（项）</w:t>
      </w:r>
      <w:r>
        <w:rPr>
          <w:rStyle w:val="17"/>
          <w:rFonts w:hint="eastAsia" w:ascii="仿宋" w:hAnsi="仿宋" w:eastAsia="仿宋"/>
          <w:b w:val="0"/>
          <w:bCs w:val="0"/>
          <w:sz w:val="32"/>
          <w:szCs w:val="32"/>
          <w:lang w:eastAsia="zh-CN"/>
        </w:rPr>
        <w:t>：指按规定比例为职工缴纳的住房公积金。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sz w:val="44"/>
          <w:szCs w:val="44"/>
        </w:rPr>
      </w:pPr>
      <w:bookmarkStart w:id="79" w:name="_Toc15396614"/>
      <w:bookmarkStart w:id="80" w:name="_Toc15377226"/>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Style w:val="28"/>
          <w:rFonts w:ascii="黑体" w:hAnsi="黑体" w:eastAsia="黑体"/>
          <w:b w:val="0"/>
        </w:rPr>
      </w:pPr>
      <w:bookmarkStart w:id="81" w:name="_Toc30317"/>
      <w:r>
        <w:rPr>
          <w:rFonts w:hint="eastAsia" w:ascii="黑体" w:hAnsi="黑体" w:eastAsia="黑体"/>
          <w:sz w:val="44"/>
          <w:szCs w:val="44"/>
        </w:rPr>
        <w:t>第</w:t>
      </w:r>
      <w:r>
        <w:rPr>
          <w:rStyle w:val="28"/>
          <w:rFonts w:hint="eastAsia" w:ascii="黑体" w:hAnsi="黑体" w:eastAsia="黑体"/>
          <w:b w:val="0"/>
        </w:rPr>
        <w:t>四部分 附件</w:t>
      </w:r>
      <w:bookmarkEnd w:id="79"/>
      <w:bookmarkEnd w:id="81"/>
    </w:p>
    <w:p>
      <w:pPr>
        <w:spacing w:line="572" w:lineRule="exact"/>
        <w:jc w:val="left"/>
        <w:outlineLvl w:val="1"/>
        <w:rPr>
          <w:rFonts w:ascii="微软雅黑" w:hAnsi="微软雅黑" w:eastAsia="微软雅黑" w:cs="微软雅黑"/>
          <w:sz w:val="44"/>
          <w:szCs w:val="44"/>
        </w:rPr>
      </w:pPr>
      <w:bookmarkStart w:id="82" w:name="_Toc22386"/>
      <w:r>
        <w:rPr>
          <w:rFonts w:hint="eastAsia" w:ascii="黑体" w:hAnsi="黑体" w:eastAsia="黑体" w:cs="黑体"/>
          <w:sz w:val="32"/>
          <w:szCs w:val="32"/>
        </w:rPr>
        <w:t>附件</w:t>
      </w:r>
      <w:bookmarkEnd w:id="82"/>
    </w:p>
    <w:p>
      <w:pPr>
        <w:pageBreakBefore w:val="0"/>
        <w:kinsoku/>
        <w:wordWrap/>
        <w:overflowPunct/>
        <w:topLinePunct w:val="0"/>
        <w:bidi w:val="0"/>
        <w:spacing w:line="560" w:lineRule="exact"/>
        <w:jc w:val="center"/>
        <w:textAlignment w:val="auto"/>
        <w:rPr>
          <w:rFonts w:hint="eastAsia" w:ascii="微软雅黑" w:hAnsi="宋体" w:eastAsia="微软雅黑"/>
          <w:color w:val="000000"/>
          <w:kern w:val="0"/>
          <w:sz w:val="40"/>
          <w:szCs w:val="44"/>
        </w:rPr>
      </w:pPr>
      <w:r>
        <w:rPr>
          <w:rFonts w:hint="eastAsia" w:ascii="微软雅黑" w:hAnsi="宋体" w:eastAsia="微软雅黑" w:cs="Times New Roman"/>
          <w:color w:val="000000"/>
          <w:kern w:val="0"/>
          <w:sz w:val="40"/>
          <w:szCs w:val="44"/>
          <w:lang w:val="zh-CN" w:eastAsia="zh-CN"/>
        </w:rPr>
        <w:t>政协巴中市委员会办公室</w:t>
      </w:r>
      <w:r>
        <w:rPr>
          <w:rFonts w:ascii="微软雅黑" w:hAnsi="宋体" w:eastAsia="微软雅黑"/>
          <w:color w:val="000000"/>
          <w:kern w:val="0"/>
          <w:sz w:val="40"/>
          <w:szCs w:val="44"/>
        </w:rPr>
        <w:t>202</w:t>
      </w:r>
      <w:r>
        <w:rPr>
          <w:rFonts w:hint="eastAsia" w:ascii="微软雅黑" w:hAnsi="宋体" w:eastAsia="微软雅黑"/>
          <w:color w:val="000000"/>
          <w:kern w:val="0"/>
          <w:sz w:val="40"/>
          <w:szCs w:val="44"/>
          <w:lang w:val="en-US" w:eastAsia="zh-CN"/>
        </w:rPr>
        <w:t>2</w:t>
      </w:r>
      <w:r>
        <w:rPr>
          <w:rFonts w:hint="eastAsia" w:ascii="微软雅黑" w:hAnsi="宋体" w:eastAsia="微软雅黑"/>
          <w:color w:val="000000"/>
          <w:kern w:val="0"/>
          <w:sz w:val="40"/>
          <w:szCs w:val="44"/>
        </w:rPr>
        <w:t>年</w:t>
      </w:r>
      <w:r>
        <w:rPr>
          <w:rFonts w:hint="eastAsia" w:ascii="微软雅黑" w:hAnsi="宋体" w:eastAsia="微软雅黑"/>
          <w:color w:val="000000"/>
          <w:kern w:val="0"/>
          <w:sz w:val="40"/>
          <w:szCs w:val="44"/>
          <w:lang w:eastAsia="zh-CN"/>
        </w:rPr>
        <w:t>度</w:t>
      </w:r>
      <w:r>
        <w:rPr>
          <w:rFonts w:hint="eastAsia" w:ascii="微软雅黑" w:hAnsi="宋体" w:eastAsia="微软雅黑"/>
          <w:color w:val="000000"/>
          <w:kern w:val="0"/>
          <w:sz w:val="40"/>
          <w:szCs w:val="44"/>
        </w:rPr>
        <w:t>部门</w:t>
      </w:r>
    </w:p>
    <w:p>
      <w:pPr>
        <w:pageBreakBefore w:val="0"/>
        <w:kinsoku/>
        <w:wordWrap/>
        <w:overflowPunct/>
        <w:topLinePunct w:val="0"/>
        <w:bidi w:val="0"/>
        <w:spacing w:line="560" w:lineRule="exact"/>
        <w:jc w:val="center"/>
        <w:textAlignment w:val="auto"/>
        <w:rPr>
          <w:rFonts w:hint="eastAsia" w:ascii="微软雅黑" w:hAnsi="宋体" w:eastAsia="微软雅黑"/>
          <w:color w:val="000000"/>
          <w:kern w:val="0"/>
          <w:sz w:val="40"/>
          <w:szCs w:val="44"/>
          <w:lang w:val="zh-CN"/>
        </w:rPr>
      </w:pPr>
      <w:r>
        <w:rPr>
          <w:rFonts w:hint="eastAsia" w:ascii="微软雅黑" w:hAnsi="宋体" w:eastAsia="微软雅黑"/>
          <w:color w:val="000000"/>
          <w:kern w:val="0"/>
          <w:sz w:val="40"/>
          <w:szCs w:val="44"/>
          <w:lang w:val="zh-CN"/>
        </w:rPr>
        <w:t>整体支出绩效评价报告</w:t>
      </w:r>
    </w:p>
    <w:p>
      <w:pPr>
        <w:pageBreakBefore w:val="0"/>
        <w:kinsoku/>
        <w:wordWrap/>
        <w:overflowPunct/>
        <w:topLinePunct w:val="0"/>
        <w:bidi w:val="0"/>
        <w:spacing w:line="560" w:lineRule="exact"/>
        <w:jc w:val="center"/>
        <w:textAlignment w:val="auto"/>
        <w:rPr>
          <w:rFonts w:hint="eastAsia" w:ascii="微软雅黑" w:hAnsi="宋体" w:eastAsia="微软雅黑"/>
          <w:color w:val="000000"/>
          <w:kern w:val="0"/>
          <w:sz w:val="40"/>
          <w:szCs w:val="44"/>
          <w:lang w:val="zh-CN"/>
        </w:rPr>
      </w:pPr>
    </w:p>
    <w:p>
      <w:pPr>
        <w:widowControl/>
        <w:numPr>
          <w:ilvl w:val="0"/>
          <w:numId w:val="6"/>
        </w:numPr>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83" w:name="_Toc11126"/>
      <w:bookmarkStart w:id="84" w:name="_Toc3865"/>
      <w:r>
        <w:rPr>
          <w:rFonts w:hint="eastAsia" w:ascii="黑体" w:hAnsi="宋体" w:eastAsia="黑体" w:cs="宋体"/>
          <w:kern w:val="0"/>
          <w:sz w:val="32"/>
          <w:szCs w:val="32"/>
          <w:shd w:val="clear" w:color="auto" w:fill="FFFFFF"/>
          <w:lang w:val="zh-CN"/>
        </w:rPr>
        <w:t>部门（单位）基本情况</w:t>
      </w:r>
      <w:bookmarkEnd w:id="83"/>
      <w:bookmarkEnd w:id="84"/>
    </w:p>
    <w:p>
      <w:pPr>
        <w:widowControl/>
        <w:numPr>
          <w:ilvl w:val="0"/>
          <w:numId w:val="7"/>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pStyle w:val="2"/>
        <w:rPr>
          <w:rFonts w:hint="eastAsia"/>
          <w:lang w:val="zh-CN"/>
        </w:rPr>
      </w:pPr>
      <w:r>
        <w:rPr>
          <w:rFonts w:hint="eastAsia"/>
          <w:lang w:val="zh-CN"/>
        </w:rPr>
        <w:t>政协巴中市委员会机构组成为九委两室，即办公室、研究室、提案委、经济委、人口资源环境委、教科卫体委、社会法制委、文化文史和学习委、委员工作委、农业和农村委、民族宗教和港澳台侨委。直属单位4个，即巴中文史编辑部、巴中市智力扶贫中心、巴中市书画院、巴中市办公室信息中心。</w:t>
      </w:r>
    </w:p>
    <w:p>
      <w:pPr>
        <w:pStyle w:val="2"/>
        <w:rPr>
          <w:rFonts w:hint="eastAsia"/>
          <w:lang w:val="zh-CN"/>
        </w:rPr>
      </w:pPr>
      <w:r>
        <w:rPr>
          <w:rFonts w:hint="eastAsia"/>
          <w:lang w:val="zh-CN"/>
        </w:rPr>
        <w:t>（二）机构职能和人员概况</w:t>
      </w:r>
    </w:p>
    <w:p>
      <w:pPr>
        <w:pStyle w:val="2"/>
        <w:rPr>
          <w:rFonts w:hint="eastAsia"/>
          <w:lang w:val="zh-CN"/>
        </w:rPr>
      </w:pPr>
      <w:r>
        <w:rPr>
          <w:rFonts w:hint="eastAsia"/>
          <w:lang w:val="zh-CN"/>
        </w:rPr>
        <w:t>中国人民政治协商会议全国委员会和地方委员会的主要职能是政治协商、民主监督、参政议政。依照《中国人民政治协商会议章程》，履行政协协商、民主监督、参政议政职能，聚焦党委、政府中心工作献计出力。工作原则是：坚持中国共产党领导，坚持人民政协性质定位，坚持大团结大联合，坚持发扬社会主义民主。</w:t>
      </w:r>
    </w:p>
    <w:p>
      <w:pPr>
        <w:pStyle w:val="2"/>
        <w:rPr>
          <w:rFonts w:hint="eastAsia"/>
          <w:lang w:val="zh-CN"/>
        </w:rPr>
      </w:pPr>
      <w:r>
        <w:rPr>
          <w:rFonts w:hint="eastAsia"/>
          <w:lang w:val="zh-CN"/>
        </w:rPr>
        <w:t>2022年底在职职工67人，公务员47人、事业人员14人、机关工勤6人。</w:t>
      </w:r>
    </w:p>
    <w:p>
      <w:pPr>
        <w:pStyle w:val="2"/>
        <w:rPr>
          <w:rFonts w:hint="eastAsia"/>
          <w:lang w:val="zh-CN"/>
        </w:rPr>
      </w:pPr>
      <w:r>
        <w:rPr>
          <w:rFonts w:hint="eastAsia"/>
          <w:lang w:val="zh-CN"/>
        </w:rPr>
        <w:t>（二）年度主要工作任务</w:t>
      </w:r>
    </w:p>
    <w:p>
      <w:pPr>
        <w:pStyle w:val="2"/>
        <w:rPr>
          <w:rFonts w:hint="eastAsia"/>
          <w:lang w:val="zh-CN"/>
        </w:rPr>
      </w:pPr>
      <w:r>
        <w:rPr>
          <w:rFonts w:hint="eastAsia"/>
          <w:lang w:val="zh-CN"/>
        </w:rPr>
        <w:t>聚焦改革创新参政议政。围绕“一府两院”工作开展全体会议集中协商，市委市政府领导与委员共商改革发展大计。紧扣全面深化改革，开展“文旅新区建设和发展”专题协商。发出践行绿色低碳理念倡议，牵头成立关爱森林活动组委会。聚焦产业发展调研协商。紧扣全市“1+3”主导产业体系，围绕实施种养业优势大品种计划等开展主席会议协商。围绕全市工业发展开展专题协商，在挖潜增效、项目支撑、纾困惠企等方面提出建议。围绕建设成渝地区产业协作配套基地、国家级经开区创建等召开常委会议集中协商、主席会议专题协商。全年组织协商议政24场次，报送协商成果16篇。聚焦市域治理民主监督。围绕推进市域社会治理现代化、落实教育“双减”政策等开展专题视察监督，助推党政决策部署落地落实。扎实开展提案监督，优化提案办理第三方评价和市级领导领衔督办重点提案机制。对教育卫生、文明城市创建、困难群体关爱等开展常态化社情民意信息监督。聚焦风险防控献计助力。向医卫等界别委员发出倡议，号召在救治病患、复工复产等方面履职尽责、献计出力。建立涉疫社情民意信息直报机制，报送的《关于加强我市疫情防控的建议》等被采纳落实。面对高温和限电双重考验，发出节约用电倡议书，组织主席会议成员深入挂联企业和项目、产业开展走访调研，协调解决具体问题80余个。</w:t>
      </w:r>
    </w:p>
    <w:p>
      <w:pPr>
        <w:pStyle w:val="2"/>
        <w:rPr>
          <w:rFonts w:hint="eastAsia"/>
          <w:lang w:val="zh-CN"/>
        </w:rPr>
      </w:pPr>
      <w:r>
        <w:rPr>
          <w:rFonts w:hint="eastAsia"/>
          <w:lang w:val="zh-CN"/>
        </w:rPr>
        <w:t>“小微协商”纾解民生难点。争取市委出台《关于深入开展“有事来协商·巴事好商量”工作实施方案》，规范提升全市546个“巴事好商量”协商平台，协商解决民生实事难事1202个，化解基层矛盾1623件，推动基层协商的广度和受众不断延伸。“双助”活动助推乡村振兴。引导广大委员积极投身“双助”实践，全市建立“双助”专项活动工作组39个、委员“双助”服务站39个、“双助”委员工作室176个、委员工作小组528个，协调解决农业农村问题1217个。促成贵州茅台四川省经销商联谊会来巴开展“双助”和村企支部共建。“聚引帮”活动增添经济活力。市政协主席会议成员走访在外委员和企业家乡友70余人次，协助招引众鑫隆包装制品有限公司等落户巴中，促成亳州市药通信息咨询等12家企业来巴洽谈，帮助飞霞实业有限公司等20余家企业解决具体问题30余个。全市政协8名机关干部、50余名委员在外驻点招商，协助招引企业、项目30余家（个）落地。</w:t>
      </w:r>
    </w:p>
    <w:p>
      <w:pPr>
        <w:pStyle w:val="2"/>
        <w:rPr>
          <w:rFonts w:hint="eastAsia"/>
          <w:lang w:val="zh-CN"/>
        </w:rPr>
      </w:pPr>
      <w:r>
        <w:rPr>
          <w:rFonts w:hint="eastAsia"/>
          <w:lang w:val="zh-CN"/>
        </w:rPr>
        <w:t>扩大政治参与广汇众智。及时向全体委员和党派团体通报年度协商计划、重点工作安排和市委市政府重大决策部署。支持党派团体通过政协渠道参政议政，各党派团体提交集体提案、社情民意信息90余件（条），在各类协商会议作现场发言40余人次，提交的《关于切实解决巴城中小学校校门交通安全的建议》等6篇社情民意信息，被相关部门采纳落实。强化文史宣传广聚人心。制定《全市政协文化文史工作五年规划》，编印《巴中文史》6期，推出“纪念川陕革命根据地创建90周年”特刊，出版《巴中民风民俗》《巴中乡愁记忆》文史资料专辑，开展《巴中地区成立建设亲历者说》《巴中国宝》《巴中老红军讲述》等6本文史资料专辑征编工作。增进联络联谊广添助力。积极争取住川全国政协委员，围绕汉巴南及成巴安高铁等内容，向全国政协提交提案17件。组织住巴省政协委员，围绕重大项目建设等内容，向省政协提交提案25件。与亳州市政协缔结友好合作协议，达成产业共助等6项共识。</w:t>
      </w:r>
    </w:p>
    <w:p>
      <w:pPr>
        <w:pStyle w:val="2"/>
        <w:rPr>
          <w:rFonts w:hint="eastAsia"/>
          <w:lang w:val="zh-CN"/>
        </w:rPr>
      </w:pPr>
      <w:r>
        <w:rPr>
          <w:rFonts w:hint="eastAsia"/>
          <w:lang w:val="zh-CN"/>
        </w:rPr>
        <w:t>强化委员担当。制定《委员视察考察工作管理办法》，完善《巴中市政协委员履职考核办法》，开办委员大讲堂，组建“巴山参政议政人才库”，举办新任委员培训班，表扬先进、约谈警示，争做“六有”委员的浓厚氛围正在形成。汇聚履职合力。建立市政协主席会议成员挂包联系县级政协工作制度，开展市县（区）政协联合调研协商监督48次。根据市委安排，组织开展中央政协工作会议精神贯彻落实“回头看”专项督导，推动4个县（区）政协增设理论研究室，巴中市破解“两个薄弱”经验做法在全省政协推广。延伸工作触角。成立驻县（区）市政协委员联络组，新建市、县、乡三层级委员工作室55个和市律师协会协商议事室、经济界等行业、界别委员工作室9个。协调县（区）党委支持，设立乡镇（街道）政协工委。将市、县（区）政协委员全部下沉乡镇（街道）和产业园区，政协工作实现更广范围覆盖。提升机关效能。制定《政协巴中市委员会工作运行规则》《政协巴中市委员会机关管理制度》，推进人民政协履行职能制度化、规范化、程序化。常态化举行周五学习会、月度工作例会，开展为期2个月的纪律作风教育专项活动，推动“六型”政协机关建设持续深入。</w:t>
      </w:r>
    </w:p>
    <w:p>
      <w:pPr>
        <w:widowControl/>
        <w:numPr>
          <w:ilvl w:val="0"/>
          <w:numId w:val="8"/>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部门整体支出绩效目标</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202</w:t>
      </w:r>
      <w:r>
        <w:rPr>
          <w:rFonts w:hint="eastAsia" w:ascii="仿宋_GB2312" w:hAnsi="仿宋_GB2312" w:eastAsia="仿宋_GB2312" w:cs="仿宋_GB2312"/>
          <w:b w:val="0"/>
          <w:bCs w:val="0"/>
          <w:kern w:val="0"/>
          <w:sz w:val="32"/>
          <w:szCs w:val="32"/>
          <w:shd w:val="clear" w:color="auto" w:fill="FFFFFF"/>
          <w:lang w:val="en-US" w:eastAsia="zh-CN"/>
        </w:rPr>
        <w:t>2</w:t>
      </w:r>
      <w:r>
        <w:rPr>
          <w:rFonts w:hint="eastAsia" w:ascii="仿宋_GB2312" w:hAnsi="仿宋_GB2312" w:eastAsia="仿宋_GB2312" w:cs="仿宋_GB2312"/>
          <w:b w:val="0"/>
          <w:bCs w:val="0"/>
          <w:kern w:val="0"/>
          <w:sz w:val="32"/>
          <w:szCs w:val="32"/>
          <w:shd w:val="clear" w:color="auto" w:fill="FFFFFF"/>
          <w:lang w:val="zh-CN"/>
        </w:rPr>
        <w:t>年市政协积极践行政治协商、民主监督、参政议政三大职能，维护核心，汇聚力量，服务大局，创新履职，紧扣市委市政府中心工作，围绕乡村振兴、文旅融合、县域经济等主题，开展协商调研视察监督评议，积极反映社情民意，完成</w:t>
      </w:r>
      <w:r>
        <w:rPr>
          <w:rFonts w:hint="eastAsia" w:ascii="仿宋_GB2312" w:hAnsi="仿宋_GB2312" w:eastAsia="仿宋_GB2312" w:cs="仿宋_GB2312"/>
          <w:b w:val="0"/>
          <w:bCs w:val="0"/>
          <w:kern w:val="0"/>
          <w:sz w:val="32"/>
          <w:szCs w:val="32"/>
          <w:shd w:val="clear" w:color="auto" w:fill="FFFFFF"/>
          <w:lang w:val="en-US" w:eastAsia="zh-CN"/>
        </w:rPr>
        <w:t>70名在职职工、31名退休职工经费保障，完成调研课题20个、调研报告19篇，组织调研视察协商监督活动50次，</w:t>
      </w:r>
      <w:r>
        <w:rPr>
          <w:rFonts w:hint="eastAsia" w:ascii="仿宋_GB2312" w:hAnsi="仿宋_GB2312" w:eastAsia="仿宋_GB2312" w:cs="仿宋_GB2312"/>
          <w:b w:val="0"/>
          <w:bCs w:val="0"/>
          <w:kern w:val="0"/>
          <w:sz w:val="32"/>
          <w:szCs w:val="32"/>
          <w:shd w:val="clear" w:color="auto" w:fill="FFFFFF"/>
          <w:lang w:val="zh-CN"/>
        </w:rPr>
        <w:t>为建设“三市两地一枢纽”贡献政协力量。</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85" w:name="_Toc26780"/>
      <w:bookmarkStart w:id="86" w:name="_Toc1790"/>
      <w:r>
        <w:rPr>
          <w:rFonts w:hint="eastAsia" w:ascii="黑体" w:hAnsi="宋体" w:eastAsia="黑体" w:cs="宋体"/>
          <w:kern w:val="0"/>
          <w:sz w:val="32"/>
          <w:szCs w:val="32"/>
          <w:shd w:val="clear" w:color="auto" w:fill="FFFFFF"/>
        </w:rPr>
        <w:t>二、部门资金收支情况</w:t>
      </w:r>
      <w:bookmarkEnd w:id="85"/>
      <w:bookmarkEnd w:id="86"/>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pStyle w:val="2"/>
        <w:rPr>
          <w:rFonts w:hint="eastAsia"/>
        </w:rPr>
      </w:pPr>
      <w:r>
        <w:rPr>
          <w:rFonts w:hint="eastAsia"/>
        </w:rPr>
        <w:t>2022年度各项总收入2510.56万元，其中：一般公共服务支出2113.19万元，占总收入84.18%；社会保障与就业支出192.70万元，占总收入7.67%；卫生健康支出77.83万元，占总收入3.1%；住房公积金126.84万元，占总收入5.05%。</w:t>
      </w:r>
    </w:p>
    <w:p>
      <w:pPr>
        <w:pStyle w:val="2"/>
        <w:rPr>
          <w:rFonts w:hint="eastAsia"/>
        </w:rPr>
      </w:pPr>
      <w:r>
        <w:rPr>
          <w:rFonts w:hint="eastAsia"/>
        </w:rPr>
        <w:t>2.部门总体支出情况</w:t>
      </w:r>
    </w:p>
    <w:p>
      <w:pPr>
        <w:pStyle w:val="2"/>
        <w:rPr>
          <w:rFonts w:hint="eastAsia"/>
        </w:rPr>
      </w:pPr>
      <w:r>
        <w:rPr>
          <w:rFonts w:hint="eastAsia"/>
        </w:rPr>
        <w:t>2022年度各项支出2510.56万元，占总支出100%，其中：一般公共服务支出2113.19万元，占总支出84.18%；社会保障和就业支出192.7万元，占总支出7.67%；卫生健康支出77.83万元占总支出3.1%；住房公积金126.84万元，占总支出5.05%。</w:t>
      </w:r>
    </w:p>
    <w:p>
      <w:pPr>
        <w:pStyle w:val="2"/>
        <w:rPr>
          <w:rFonts w:hint="eastAsia"/>
        </w:rPr>
      </w:pPr>
      <w:r>
        <w:rPr>
          <w:rFonts w:hint="eastAsia"/>
        </w:rPr>
        <w:t>3.部门总体结转结余情况</w:t>
      </w:r>
    </w:p>
    <w:p>
      <w:pPr>
        <w:pStyle w:val="2"/>
        <w:rPr>
          <w:rFonts w:hint="eastAsia"/>
        </w:rPr>
      </w:pPr>
      <w:r>
        <w:rPr>
          <w:rFonts w:hint="eastAsia"/>
        </w:rPr>
        <w:t>本年度部门收支平衡，无结转结余。</w:t>
      </w:r>
    </w:p>
    <w:p>
      <w:pPr>
        <w:pStyle w:val="2"/>
        <w:rPr>
          <w:rFonts w:hint="eastAsia"/>
        </w:rPr>
      </w:pPr>
      <w:r>
        <w:rPr>
          <w:rFonts w:hint="eastAsia"/>
        </w:rPr>
        <w:t>（二）部门财政拨款收支情况。</w:t>
      </w:r>
    </w:p>
    <w:p>
      <w:pPr>
        <w:pStyle w:val="2"/>
        <w:rPr>
          <w:rFonts w:hint="eastAsia"/>
        </w:rPr>
      </w:pPr>
      <w:r>
        <w:rPr>
          <w:rFonts w:hint="eastAsia"/>
        </w:rPr>
        <w:t>1.部门财政拨款收入情况</w:t>
      </w:r>
    </w:p>
    <w:p>
      <w:pPr>
        <w:pStyle w:val="2"/>
        <w:rPr>
          <w:rFonts w:hint="eastAsia"/>
        </w:rPr>
      </w:pPr>
      <w:r>
        <w:rPr>
          <w:rFonts w:hint="eastAsia"/>
        </w:rPr>
        <w:t>2022年度各项财政拨款收入2510.56万元，占总收入2510.56万元的100%，其中：一般公共服务支出2113.19万元，占总收入84.18%；社会保障与就业支出192.70万元，占总收入7.67%；卫生健康支出77.83万元，占总收入3.1%；住房公积金126.84万元，占总收入5.05%。</w:t>
      </w:r>
    </w:p>
    <w:p>
      <w:pPr>
        <w:pStyle w:val="2"/>
        <w:rPr>
          <w:rFonts w:hint="eastAsia"/>
        </w:rPr>
      </w:pPr>
      <w:r>
        <w:rPr>
          <w:rFonts w:hint="eastAsia"/>
        </w:rPr>
        <w:t>2.部门财政拨款支出情况</w:t>
      </w:r>
    </w:p>
    <w:p>
      <w:pPr>
        <w:pStyle w:val="2"/>
        <w:rPr>
          <w:rFonts w:hint="eastAsia"/>
        </w:rPr>
      </w:pPr>
      <w:r>
        <w:rPr>
          <w:rFonts w:hint="eastAsia"/>
        </w:rPr>
        <w:t>2022年度财政拨款支出2510.56万元，占总支出100%，其中：一般公共服务支出2113.19万元，占总支出84.18%；社会保障和就业支出192.7万元，占总支出7.67%；卫生健康支出77.83万元占总支出3.1%；住房公积金126.84万元，占总支出5.05%。</w:t>
      </w:r>
    </w:p>
    <w:p>
      <w:pPr>
        <w:pStyle w:val="2"/>
        <w:rPr>
          <w:rFonts w:hint="eastAsia"/>
        </w:rPr>
      </w:pPr>
      <w:r>
        <w:rPr>
          <w:rFonts w:hint="eastAsia"/>
        </w:rPr>
        <w:t>3.部门财政拨款结转结余情况</w:t>
      </w:r>
    </w:p>
    <w:p>
      <w:pPr>
        <w:pStyle w:val="2"/>
        <w:rPr>
          <w:rFonts w:hint="eastAsia"/>
        </w:rPr>
      </w:pPr>
      <w:r>
        <w:rPr>
          <w:rFonts w:hint="eastAsia"/>
        </w:rPr>
        <w:t>本年度部门财政拨款收支平衡，无结转结余。</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巴中市政协2022年度部门有在职职工70名，退休职工31名，根据人员实际情况编制了项目预算，目标设置科学合理，按月按期支付，执行率98%以上，未执行完的原因是人员调整变化，全面实现目标任务，资金结余率为2%，支付符合相关流程和规定，无违纪违规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pStyle w:val="2"/>
      </w:pPr>
      <w:r>
        <w:rPr>
          <w:rFonts w:hint="eastAsia"/>
        </w:rPr>
        <w:t>巴中市政协2022年度设有食堂运行经费、党建经费、乡村振兴帮扶工作经费、离退休干部活动经费、职工体检费等共5个运转类项目，合理编制数量指标、质量指标、时效指标、成本指标，据细精准地预算到人到事的指标值。资金到位率100%，执行率达到99%以上，结余率为1%，资金使用严格按照专项资金管理办法执行，做到了专款专用，均按时按质完成了目标任务，实现了预期目标。</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pStyle w:val="2"/>
      </w:pPr>
      <w:r>
        <w:rPr>
          <w:rFonts w:hint="eastAsia"/>
        </w:rPr>
        <w:t>巴中市政协2022年度设有专用内网运行维护费、乡愁记忆及文史资料编辑印刷费、巴中市书画院工作经费、政协会议费、政协委员活动视察经费、界别委员活动经费、“有事来协商”工作经费、机关专委会经费、提案办理第三方评价经费、运转经费、监督执纪问责专项经费等11个特定目标类项目，数量指标、质量指标、时效指标、成本指标均结合单位工作任务和工作目标编制，符合单位实际情况。资金到位率100%，执行率达到98%以上，资金结余率2%，严格按照专项资金管理办法和流程支付，坚持专款专用，无违纪违规情况，公众满意率达95%以上。</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2022年度，巴中市政协为充分发挥</w:t>
      </w:r>
      <w:r>
        <w:rPr>
          <w:rFonts w:hint="eastAsia" w:ascii="仿宋_GB2312" w:hAnsi="仿宋_GB2312" w:eastAsia="仿宋_GB2312" w:cs="仿宋_GB2312"/>
          <w:b w:val="0"/>
          <w:bCs w:val="0"/>
          <w:kern w:val="0"/>
          <w:sz w:val="32"/>
          <w:szCs w:val="32"/>
          <w:shd w:val="clear" w:color="auto" w:fill="FFFFFF"/>
          <w:lang w:val="zh-CN"/>
        </w:rPr>
        <w:t>践行政治协商、民主监督、参政议政三大职能，维护核心，汇聚力量，服务大局，创新履职，紧扣市委市政府中心工作，围绕乡村振兴、文旅融合、县域经济等主题，开展协商调研视察监督评议，积极反映社情民意等职责，保障政协机关正常运转，完成工作目标任务，</w:t>
      </w:r>
      <w:r>
        <w:rPr>
          <w:rFonts w:hint="eastAsia" w:ascii="仿宋_GB2312" w:hAnsi="仿宋_GB2312" w:eastAsia="仿宋_GB2312" w:cs="仿宋_GB2312"/>
          <w:kern w:val="0"/>
          <w:sz w:val="32"/>
          <w:szCs w:val="32"/>
          <w:shd w:val="clear" w:color="auto" w:fill="FFFFFF"/>
          <w:lang w:val="en-US" w:eastAsia="zh-CN"/>
        </w:rPr>
        <w:t>设有人员类项目、5个运转类项目、11个特定目标类项目。</w:t>
      </w:r>
    </w:p>
    <w:p>
      <w:pPr>
        <w:pStyle w:val="14"/>
        <w:spacing w:line="560" w:lineRule="exact"/>
        <w:ind w:left="0" w:leftChars="0" w:firstLine="0" w:firstLineChars="0"/>
        <w:rPr>
          <w:rFonts w:hint="eastAsia"/>
          <w:sz w:val="32"/>
          <w:lang w:val="zh-CN"/>
        </w:rPr>
      </w:pPr>
      <w:r>
        <w:rPr>
          <w:rFonts w:hint="eastAsia"/>
          <w:sz w:val="32"/>
          <w:lang w:val="zh-CN"/>
        </w:rPr>
        <w:t>2022年度，巴中市政协积极履行职能职责，主动作为，创新参政议政，纾解民生难点，扩大政治参与，汇聚履职合力，提升机关效能，推动“六型”政协机关建设，全面完成了工作任务，实现了预期目标。</w:t>
      </w:r>
    </w:p>
    <w:p>
      <w:pPr>
        <w:pStyle w:val="14"/>
        <w:spacing w:line="560" w:lineRule="exact"/>
        <w:ind w:left="0" w:leftChars="0" w:firstLine="0" w:firstLineChars="0"/>
        <w:rPr>
          <w:rFonts w:hint="eastAsia"/>
          <w:sz w:val="32"/>
          <w:lang w:val="zh-CN"/>
        </w:rPr>
      </w:pPr>
      <w:r>
        <w:rPr>
          <w:rFonts w:hint="eastAsia"/>
          <w:sz w:val="32"/>
          <w:lang w:val="zh-CN"/>
        </w:rPr>
        <w:t>全面加强绩效管理，将绩效目标全面纳入绩效管理，按资金和项目管理要求及项目实施进度，严格审核把关，对所有的预算执行和绩效项目目标进行全方面、全过程、常态化的监督管理，实现了财政性资金管控全覆盖。切实保障了70名职工的人员类经费按期支付和机关正常运转，保证了重点支出和法定支出的需要。解决了70名在职职工工作就餐，保障了70名在职职工、31名退休职工体检，完成乡村振兴帮扶2个，订阅党报党刊70余份，开展主题党日活动12次，组织离退休干部活动4次。维护了4条专网正常运行，开展调研活动30次、调研课题20个，举行采风写生、名师讲座4次，宣传研讨活动15次，编辑乡愁记忆及文史资料6期，组织召开大型政协会议6次，开展“有事来协商”活动20次。资金到位率100%，执行率平均达到了98%以上，公众满意度全面提升。</w:t>
      </w:r>
    </w:p>
    <w:p>
      <w:pPr>
        <w:pStyle w:val="14"/>
        <w:spacing w:line="560" w:lineRule="exact"/>
        <w:ind w:left="0" w:leftChars="0" w:firstLine="0" w:firstLineChars="0"/>
        <w:rPr>
          <w:rFonts w:hint="eastAsia"/>
          <w:sz w:val="32"/>
          <w:lang w:val="zh-CN"/>
        </w:rPr>
      </w:pPr>
      <w:r>
        <w:rPr>
          <w:rFonts w:hint="eastAsia"/>
          <w:sz w:val="32"/>
          <w:lang w:val="zh-CN"/>
        </w:rPr>
        <w:t>（二）结果应用情况</w:t>
      </w:r>
    </w:p>
    <w:p>
      <w:pPr>
        <w:pStyle w:val="14"/>
        <w:spacing w:line="560" w:lineRule="exact"/>
        <w:ind w:left="0" w:leftChars="0" w:firstLine="0" w:firstLineChars="0"/>
        <w:rPr>
          <w:rFonts w:hint="eastAsia"/>
          <w:sz w:val="32"/>
          <w:lang w:val="zh-CN"/>
        </w:rPr>
      </w:pPr>
      <w:r>
        <w:rPr>
          <w:rFonts w:hint="eastAsia"/>
          <w:sz w:val="32"/>
          <w:lang w:val="zh-CN"/>
        </w:rPr>
        <w:t>积极开展绩效目标自评，将自评结果全面公开，对存在的问题，限期相关科室整改，及时反馈，并与年终评优评先相结合。</w:t>
      </w:r>
    </w:p>
    <w:p>
      <w:pPr>
        <w:pStyle w:val="14"/>
        <w:spacing w:line="560" w:lineRule="exact"/>
        <w:ind w:left="0" w:leftChars="0" w:firstLine="0" w:firstLineChars="0"/>
        <w:rPr>
          <w:rFonts w:hint="eastAsia"/>
          <w:sz w:val="32"/>
          <w:lang w:val="zh-CN"/>
        </w:rPr>
      </w:pPr>
      <w:r>
        <w:rPr>
          <w:rFonts w:hint="eastAsia"/>
          <w:sz w:val="32"/>
          <w:lang w:val="zh-CN"/>
        </w:rPr>
        <w:t>（四）自评质量。</w:t>
      </w:r>
    </w:p>
    <w:p>
      <w:pPr>
        <w:pStyle w:val="14"/>
        <w:spacing w:line="560" w:lineRule="exact"/>
        <w:ind w:left="0" w:leftChars="0" w:firstLine="0" w:firstLineChars="0"/>
        <w:rPr>
          <w:rFonts w:hint="eastAsia"/>
          <w:sz w:val="32"/>
          <w:lang w:val="zh-CN"/>
        </w:rPr>
      </w:pPr>
      <w:r>
        <w:rPr>
          <w:rFonts w:hint="eastAsia"/>
          <w:sz w:val="32"/>
          <w:lang w:val="zh-CN"/>
        </w:rPr>
        <w:t>通过全面开展自评，评价结果准确，符合单位实际情况，自评质量客观、真实、有效。</w:t>
      </w:r>
    </w:p>
    <w:p>
      <w:pPr>
        <w:pStyle w:val="14"/>
        <w:spacing w:line="560" w:lineRule="exact"/>
        <w:ind w:left="0" w:leftChars="0" w:firstLine="0" w:firstLineChars="0"/>
        <w:rPr>
          <w:rFonts w:hint="eastAsia"/>
          <w:sz w:val="32"/>
          <w:lang w:val="zh-CN"/>
        </w:rPr>
      </w:pPr>
      <w:r>
        <w:rPr>
          <w:rFonts w:hint="eastAsia"/>
          <w:sz w:val="32"/>
          <w:lang w:val="zh-CN"/>
        </w:rPr>
        <w:t>四、评价结论及建议</w:t>
      </w:r>
    </w:p>
    <w:p>
      <w:pPr>
        <w:pStyle w:val="14"/>
        <w:spacing w:line="560" w:lineRule="exact"/>
        <w:ind w:left="0" w:leftChars="0" w:firstLine="0" w:firstLineChars="0"/>
        <w:rPr>
          <w:rFonts w:hint="eastAsia"/>
          <w:sz w:val="32"/>
          <w:lang w:val="zh-CN"/>
        </w:rPr>
      </w:pPr>
      <w:r>
        <w:rPr>
          <w:rFonts w:hint="eastAsia"/>
          <w:sz w:val="32"/>
          <w:lang w:val="zh-CN"/>
        </w:rPr>
        <w:t>（一）评价结论</w:t>
      </w:r>
    </w:p>
    <w:p>
      <w:pPr>
        <w:pStyle w:val="14"/>
        <w:spacing w:line="560" w:lineRule="exact"/>
        <w:ind w:left="0" w:leftChars="0" w:firstLine="0" w:firstLineChars="0"/>
        <w:rPr>
          <w:rFonts w:hint="eastAsia"/>
          <w:sz w:val="32"/>
          <w:lang w:val="zh-CN"/>
        </w:rPr>
      </w:pPr>
      <w:r>
        <w:rPr>
          <w:rFonts w:hint="eastAsia"/>
          <w:sz w:val="32"/>
          <w:lang w:val="zh-CN"/>
        </w:rPr>
        <w:t>结合工作完成情况， 经过认真自评，实现总体得分97分， 评价结论等次为优秀。</w:t>
      </w:r>
    </w:p>
    <w:p>
      <w:pPr>
        <w:pStyle w:val="14"/>
        <w:spacing w:line="560" w:lineRule="exact"/>
        <w:ind w:left="0" w:leftChars="0" w:firstLine="0" w:firstLineChars="0"/>
        <w:rPr>
          <w:rFonts w:hint="eastAsia"/>
          <w:sz w:val="32"/>
          <w:lang w:val="zh-CN"/>
        </w:rPr>
      </w:pPr>
      <w:r>
        <w:rPr>
          <w:rFonts w:hint="eastAsia"/>
          <w:sz w:val="32"/>
          <w:lang w:val="zh-CN"/>
        </w:rPr>
        <w:t>（二）存在问题</w:t>
      </w:r>
    </w:p>
    <w:p>
      <w:pPr>
        <w:pStyle w:val="14"/>
        <w:spacing w:line="560" w:lineRule="exact"/>
        <w:ind w:left="0" w:leftChars="0" w:firstLine="0" w:firstLineChars="0"/>
        <w:rPr>
          <w:rFonts w:hint="eastAsia"/>
          <w:sz w:val="32"/>
          <w:lang w:val="zh-CN"/>
        </w:rPr>
      </w:pPr>
      <w:r>
        <w:rPr>
          <w:rFonts w:hint="eastAsia"/>
          <w:sz w:val="32"/>
          <w:lang w:val="zh-CN"/>
        </w:rPr>
        <w:t>通过自评，还存在未建立资产信息管理系统，绩效管理存在一定差距；极少部分项目尚未执行完毕。</w:t>
      </w:r>
    </w:p>
    <w:p>
      <w:pPr>
        <w:pStyle w:val="14"/>
        <w:spacing w:line="560" w:lineRule="exact"/>
        <w:ind w:left="0" w:leftChars="0" w:firstLine="0" w:firstLineChars="0"/>
        <w:rPr>
          <w:rFonts w:hint="eastAsia"/>
          <w:sz w:val="32"/>
          <w:lang w:val="zh-CN"/>
        </w:rPr>
      </w:pPr>
      <w:r>
        <w:rPr>
          <w:rFonts w:hint="eastAsia"/>
          <w:sz w:val="32"/>
          <w:lang w:val="zh-CN"/>
        </w:rPr>
        <w:t>（三）改进建议</w:t>
      </w:r>
    </w:p>
    <w:p>
      <w:pPr>
        <w:pStyle w:val="14"/>
        <w:spacing w:line="560" w:lineRule="exact"/>
        <w:ind w:left="0" w:leftChars="0" w:firstLine="0" w:firstLineChars="0"/>
        <w:rPr>
          <w:rFonts w:hint="eastAsia"/>
          <w:sz w:val="32"/>
          <w:lang w:val="zh-CN"/>
        </w:rPr>
      </w:pPr>
      <w:r>
        <w:rPr>
          <w:rFonts w:hint="eastAsia"/>
          <w:sz w:val="32"/>
          <w:lang w:val="zh-CN"/>
        </w:rPr>
        <w:t>切实加强资产管理，积极争取建立资产信息管理系统，将资产纳入信息化管理；加快项目推进，确保资金支付率100%；强化绩效目标管理，科学编制预算项目，加强日常监督管理，责任追踪问效，确保项目工作顺利推进。</w:t>
      </w:r>
    </w:p>
    <w:p>
      <w:pPr>
        <w:pStyle w:val="14"/>
        <w:spacing w:line="560" w:lineRule="exact"/>
        <w:ind w:left="0" w:leftChars="0" w:firstLine="0" w:firstLineChars="0"/>
        <w:rPr>
          <w:rFonts w:hint="eastAsia"/>
          <w:sz w:val="32"/>
          <w:lang w:val="zh-CN"/>
        </w:rPr>
      </w:pPr>
    </w:p>
    <w:p>
      <w:pPr>
        <w:pStyle w:val="14"/>
        <w:spacing w:line="560" w:lineRule="exact"/>
        <w:ind w:left="0" w:leftChars="0" w:firstLine="0" w:firstLineChars="0"/>
        <w:rPr>
          <w:sz w:val="32"/>
          <w:lang w:val="zh-CN"/>
        </w:rPr>
      </w:pPr>
      <w:r>
        <w:rPr>
          <w:rFonts w:hint="eastAsia"/>
          <w:sz w:val="32"/>
          <w:lang w:val="zh-CN"/>
        </w:rPr>
        <w:t>附表：部门预算项目支出绩效自评表（2022年度）</w:t>
      </w:r>
    </w:p>
    <w:p>
      <w:pPr>
        <w:pStyle w:val="14"/>
        <w:spacing w:line="560" w:lineRule="exact"/>
        <w:ind w:left="0" w:leftChars="0" w:firstLine="0" w:firstLineChars="0"/>
        <w:rPr>
          <w:sz w:val="32"/>
          <w:lang w:val="zh-CN"/>
        </w:rPr>
      </w:pP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017"/>
        <w:gridCol w:w="822"/>
        <w:gridCol w:w="1197"/>
        <w:gridCol w:w="401"/>
        <w:gridCol w:w="756"/>
        <w:gridCol w:w="396"/>
        <w:gridCol w:w="848"/>
        <w:gridCol w:w="576"/>
        <w:gridCol w:w="576"/>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51190021T000000149707-界别委员活动经费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参加各界别联组组织的界别特色活动</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积极组织参加各界别联组组织的界别特色活动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组织参加互动学习10次，宣传研讨活动15次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4.94</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98.88%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4.94</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98.88%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互动学习</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宣传研讨活动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按时按质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极大增强</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团结和民主</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自评得分99分，资金尚未执行完毕，扣1分，实现了预期目标任务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资金执行率未达到100%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优化活动，加快支付进度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51190021T000000149722-政协委员活动视察经费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委员调研、视察</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全面完成委员调研视察工作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完成调研活动30次，视察活动12次，为</w:t>
            </w:r>
            <w:r>
              <w:rPr>
                <w:rFonts w:hint="eastAsia" w:ascii="宋体" w:hAnsi="宋体" w:cs="宋体"/>
                <w:i w:val="0"/>
                <w:iCs w:val="0"/>
                <w:color w:val="000000"/>
                <w:kern w:val="0"/>
                <w:sz w:val="18"/>
                <w:szCs w:val="18"/>
                <w:u w:val="none"/>
                <w:lang w:val="en-US" w:eastAsia="zh-CN" w:bidi="ar"/>
              </w:rPr>
              <w:t>参政</w:t>
            </w:r>
            <w:r>
              <w:rPr>
                <w:rFonts w:ascii="宋体" w:hAnsi="宋体" w:eastAsia="宋体" w:cs="宋体"/>
                <w:i w:val="0"/>
                <w:iCs w:val="0"/>
                <w:color w:val="000000"/>
                <w:kern w:val="0"/>
                <w:sz w:val="18"/>
                <w:szCs w:val="18"/>
                <w:u w:val="none"/>
                <w:lang w:val="en-US" w:eastAsia="zh-CN" w:bidi="ar"/>
              </w:rPr>
              <w:t>议证提供决策依据。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调研活动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视察活动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立法工作</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委员视察活动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委员调研活动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参政议政力度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市民认可度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市民对委员视察调研工作满意度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调研频次偏少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进一步加大委员调研视察频率，提高调研水平和质量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51190021T000000149733-提案办理第三方评价经费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针对当年的提案办理，聘请第三方进行评价</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聘请专业机构1家，开展第三方评价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主办单位覆盖率达100%，办理提案300余条，实现了预期目标。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主办单位覆盖率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提案数量</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督办评价及时性</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助推经济建设</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推动解决民生问题</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助推生态文明建设</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提高社会对政协提案工作满意度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市民对提案办理工作满意度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资金量偏少，机构遴选受局限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建议加大资金投入，提高评价质量。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51190021T000000149766-巴中市书画院工作经费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服务机关文化建设、服务群众、服务巴中书画人才</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积极服务机关文化建设，为群众服务，培养书画人才。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开展名师讲座和培训4次，组织采风写生5次，全面实现了目标任务。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名师讲座、培训</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4</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采风、写生</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书画创作</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采风、写生</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万元/每项目</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名师讲座、培训</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宣传推荐巴中</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培养书画人才</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讲座、培训频率偏小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加大名师聘请和人才培训培养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51190021T000000149816-乡愁记忆及文史资料编辑印刷费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征集资料、编辑印刷巴中文史期刊</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全面征集资料，组织编辑文史期刊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编辑印刷巴中文史期刊6期，合法规范出版，按时发行，全面完成目标任务。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编辑印刷</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期/年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出版物合法性</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版面和文字规范性</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按时发行刊物</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编辑</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印刷、邮寄</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宣传推荐巴中</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存史</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出版期刊数量偏少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进一步加大期刊出版期数，提高出版质量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51190022R000004692548-工资性支出（行政）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严格执行工资政策，足额按时发放，保障了职工的合法权益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按照财政部门要求，均按月足额发放职工工资，发放率100%，保障率100%。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522.10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597.74</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590.98</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98.87%</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522.10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597.74</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590.98</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98.87%</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0.13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自评得分100分，保障职工工资按时足额发放，各项工作目标顺利推进，全面完成各项工作任务。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51190022R000004692824-工资性支出（事业）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严格执行工资政策，足额按时发放，保障了职工的合法权益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按时足额发放，发放率100%，保障率100%，实现了预期目标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93.31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93.31</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87.27</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93.31</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93.31</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87.27</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6.47</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自评得分98分，保障了工资足额按时发放，各项工作目标顺利推进，全面完成各项工作任务。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人员调整变化，资金有结余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更加精细精准编制预算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51190022R000004693151-基本养老保险（行政）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严格执行相关政策，保障基本养老保险按时足额支付，预算编制科学合理，无结余资金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按时足额缴纳，发放率100%，保障率100%，实现了预期目标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83.53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91.43</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91.43</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83.53</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91.43</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91.43</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自评得分100分，养老保险按时足额保障，各项工作目标顺利推进，全面完成各项工作任务。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51190022R000006415807-2022年3月发放市本级在职人员基础绩效奖和年度考核奖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严格执行相关政策，保障基础绩效奖和年度考核奖按时足额发放，预算编制科学合理，无结余资金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按时足额发放，发放率100%，保障率100%，实现了预期目标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391.47</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391.47</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391.47</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391.47</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自评得分100分，基础绩效奖和年度考核奖按时足额保障，各项工作目标顺利推进，全面完成各项工作任务。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51190022R000006416035-2022年3月发放市本级离退休人员生活补助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严格执行相关政策，保障离退休人员生活补助按时足额发放，预算编制科学合理，无结余资金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按时足额发放，发放率100%，保障率100%，实现了预期目标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自评得分100分，离退休人员生活补助按时足额保障，各项工作目标顺利推进，全面完成各项工作任务。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51190022T000004971939-监督执纪问责专项经费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保障市纪委监委派驻纪检监察组开展纪检监督工作</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全面保障了市纪委监委派驻纪检监察组开展纪检监督工作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切实保障了市纪委监委派驻纪检监察组开展纪检监督工作，树立了良好的政治生态环境，实现了预期目标。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派驻纪检监察组人数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派驻纪检监察组监督执纪工作完成率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政治生态环境</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正清廉洁</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派驻纪检监察组人员满意度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自评得分100分，全面保障了市纪委监委派驻纪检监察组开展纪检监督工作，各项工作目标顺利推进，全面完成各项工作任务。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51190022T000004971964-专用内网运行维护费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保障政协委员提案办理系统维护及专用网络正常运行使用；保障保密室专用网络正常运行；保障金财网络、党政网正常运行使用。</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保障了政协委员提案办理系统专用、保密网、金财网、党政网正常运行与维护，确保了网络正常运行。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保障了4条网络正常运行，确保了提案系统400人、专用网络90人正常使用，实现了预期目标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提案系统使用人数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400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专用内网使用人数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提案办理系统及专用网络正常使用率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提案办理完成率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合同约定金额执行率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对政协系统未来可持续发展的影响</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提案系统及专用网络使用人满意度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自评得分100分，4条网络有效运行，各项工作目标顺利推进，全面完成各项工作任务。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51190022T000005074571-机关专委会经费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开展调研活动不少于24次/年，完成调研课题18个/年。</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积极开展调研活动，组织完成各类调研课题，全面完成工作任务。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2022年度组织调研活动30次，高质量完成调研课题20个，实现了预期目标任务。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调研课题</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调研活动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调研报告质效</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年度工作任务完成率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差旅费、活动经费</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增进思想认同</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市民认可度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政协委员对专委会工作满意度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自评得分100分，有效有力推进机关专委工作，各项工作目标顺利推进，全面完成各项工作任务。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51190022T000005074823-政协会议费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年度召开政协全会1次，政协常委会不少于5次。</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全面完成预期目标，积极组织各类会议，顺利完成各项会议任务。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组织各类常委会5次，高质量高标准完成会议议程，实现了预期目标和会议任务，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政协常委会</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参会人员到会率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既定议程完成率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预期效果实现度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会议召开的及时性、</w:t>
            </w:r>
            <w:r>
              <w:rPr>
                <w:rFonts w:hint="eastAsia" w:ascii="宋体" w:hAnsi="宋体" w:cs="宋体"/>
                <w:i w:val="0"/>
                <w:iCs w:val="0"/>
                <w:color w:val="000000"/>
                <w:kern w:val="0"/>
                <w:sz w:val="18"/>
                <w:szCs w:val="18"/>
                <w:u w:val="none"/>
                <w:lang w:val="en-US" w:eastAsia="zh-CN" w:bidi="ar"/>
              </w:rPr>
              <w:t>针对性</w:t>
            </w:r>
            <w:bookmarkStart w:id="114" w:name="_GoBack"/>
            <w:bookmarkEnd w:id="114"/>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人均住宿及生活费标准</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元/天</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530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场地租赁费</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社会关注度、认可度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会议精神落实到位率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参会人员满意度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自评得分100分，各类会议圆满完成，各项工作目标顺利推进，全面完成各项工作任务。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51190022Y000000342585-食堂运行经费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保障职工工作用餐</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切实保障了政协机关干部用工作用餐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解决了70名在职职工工作用餐，保障了机关食堂正常运转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16.80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满足70人就餐</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菜品新鲜度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每人每月200元</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环境卫生干净整洁度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全年无安全事故</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厉行节约率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提高职工幸福指数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自评得分100分，机关食堂全正常运转，实现了预期目标。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51190022Y000000342595-乡村振兴帮扶工作经费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通过驻村工作队和驻村第一书记帮扶工作，完成加强基层组织、发展集体经济、为民办事服务等。</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积极开展对挂联村帮扶活动，完成乡村振兴帮扶任务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2022年派驻第一书记1名，积极帮助挂联村发展产业，加强基层组织建设，完成了各项帮扶任务。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99.78%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99.78%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派驻第一书记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月驻村天数</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驻村年度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12</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差旅费、房租费、车费、意外保险等</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4</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持续带动村集体经济增长率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村容村貌美化整洁长期持续影响</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持续增加壮大村集体产业</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自评得分100分，乡村振兴帮扶工作有序推进，实现了预期目标任务。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51190022Y000004690162-离退休干部活动经费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保障31名离退休干部相关活动经费</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积极组织开展离退休干部活动，提高他们对社会建设的参与度。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2022年，单位组织31名离退休干部积极参与社会活动，共计2次，实现了预期目标。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开展活动</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离退休人员参与率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预算资金执行率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离退休人员积极参与社会服务，为巴中政商环境建设持续做贡献</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自评得分100分，组织开展离退休老干部活动有序开展，达到了预期目标。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不存在相关问题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没有相关改进措施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51190022Y000004775456-职工体检费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中国人民政治协商会议巴中市委员会办公室部门</w:t>
            </w:r>
          </w:p>
        </w:tc>
        <w:tc>
          <w:tcPr>
            <w:tcW w:w="49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中国人民政治协商会议巴中市委员会办公室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2022年机关干部职工体检（含退休）</w:t>
            </w:r>
          </w:p>
        </w:tc>
        <w:tc>
          <w:tcPr>
            <w:tcW w:w="196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及时组织机关干部和退休干部的身体健康检查，确保了干部职工身体健康。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组织在职70名职工、31名退休干部健康体检，实现了预期目标任务。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职工覆盖率</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体检费标准</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提高职工身心健康水平</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职工满意度</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2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自评得分100分，职工健康体检有序开展，实现了预期目标任务。</w:t>
            </w:r>
          </w:p>
        </w:tc>
      </w:tr>
      <w:tr>
        <w:tblPrEx>
          <w:shd w:val="clear" w:color="auto" w:fill="auto"/>
          <w:tblCellMar>
            <w:top w:w="0" w:type="dxa"/>
            <w:left w:w="108" w:type="dxa"/>
            <w:bottom w:w="0" w:type="dxa"/>
            <w:right w:w="108" w:type="dxa"/>
          </w:tblCellMar>
        </w:tblPrEx>
        <w:trPr>
          <w:trHeight w:val="572"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职工体检费预算标准偏低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进一步提高预算标准，加大资金投入。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项目负责人：王俊岭</w:t>
            </w:r>
          </w:p>
        </w:tc>
        <w:tc>
          <w:tcPr>
            <w:tcW w:w="26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pStyle w:val="14"/>
        <w:spacing w:line="560" w:lineRule="exact"/>
        <w:ind w:left="0" w:leftChars="0" w:firstLine="0" w:firstLineChars="0"/>
        <w:rPr>
          <w:sz w:val="32"/>
          <w:lang w:val="zh-CN"/>
        </w:rPr>
      </w:pPr>
    </w:p>
    <w:p>
      <w:pPr>
        <w:spacing w:line="600" w:lineRule="exact"/>
        <w:jc w:val="center"/>
        <w:outlineLvl w:val="0"/>
        <w:rPr>
          <w:rFonts w:hint="eastAsia" w:ascii="黑体" w:hAnsi="黑体" w:eastAsia="黑体"/>
          <w:sz w:val="44"/>
          <w:szCs w:val="44"/>
        </w:rPr>
      </w:pPr>
      <w:bookmarkStart w:id="87" w:name="_Toc15396618"/>
    </w:p>
    <w:p>
      <w:pPr>
        <w:spacing w:line="600" w:lineRule="exact"/>
        <w:jc w:val="center"/>
        <w:outlineLvl w:val="0"/>
        <w:rPr>
          <w:rFonts w:ascii="仿宋" w:hAnsi="仿宋" w:eastAsia="仿宋"/>
        </w:rPr>
      </w:pPr>
      <w:bookmarkStart w:id="88" w:name="_Toc19428"/>
      <w:r>
        <w:rPr>
          <w:rFonts w:hint="eastAsia" w:ascii="黑体" w:hAnsi="黑体" w:eastAsia="黑体"/>
          <w:sz w:val="44"/>
          <w:szCs w:val="44"/>
        </w:rPr>
        <w:t>第</w:t>
      </w:r>
      <w:r>
        <w:rPr>
          <w:rStyle w:val="28"/>
          <w:rFonts w:hint="eastAsia" w:ascii="黑体" w:hAnsi="黑体" w:eastAsia="黑体"/>
          <w:b w:val="0"/>
        </w:rPr>
        <w:t>五部分 附表</w:t>
      </w:r>
      <w:bookmarkEnd w:id="80"/>
      <w:bookmarkEnd w:id="87"/>
      <w:bookmarkEnd w:id="88"/>
      <w:bookmarkStart w:id="89" w:name="_Toc15396619"/>
    </w:p>
    <w:p>
      <w:pPr>
        <w:pStyle w:val="4"/>
        <w:rPr>
          <w:rStyle w:val="29"/>
          <w:rFonts w:hint="eastAsia" w:ascii="仿宋" w:hAnsi="仿宋" w:eastAsia="仿宋"/>
          <w:b w:val="0"/>
          <w:bCs w:val="0"/>
        </w:rPr>
      </w:pPr>
      <w:bookmarkStart w:id="90" w:name="_Toc32102"/>
      <w:r>
        <w:rPr>
          <w:rFonts w:hint="eastAsia" w:ascii="仿宋" w:hAnsi="仿宋" w:eastAsia="仿宋"/>
          <w:b w:val="0"/>
        </w:rPr>
        <w:t>一、收</w:t>
      </w:r>
      <w:r>
        <w:rPr>
          <w:rStyle w:val="29"/>
          <w:rFonts w:hint="eastAsia" w:ascii="仿宋" w:hAnsi="仿宋" w:eastAsia="仿宋"/>
          <w:b w:val="0"/>
          <w:bCs w:val="0"/>
        </w:rPr>
        <w:t>入支出决算总表</w:t>
      </w:r>
      <w:bookmarkEnd w:id="89"/>
      <w:bookmarkEnd w:id="90"/>
    </w:p>
    <w:p>
      <w:pPr>
        <w:pStyle w:val="4"/>
        <w:numPr>
          <w:ilvl w:val="0"/>
          <w:numId w:val="0"/>
        </w:numPr>
        <w:rPr>
          <w:rStyle w:val="29"/>
          <w:rFonts w:hint="eastAsia" w:ascii="仿宋" w:hAnsi="仿宋" w:eastAsia="仿宋"/>
          <w:b w:val="0"/>
          <w:bCs w:val="0"/>
        </w:rPr>
      </w:pPr>
      <w:bookmarkStart w:id="91" w:name="_Toc15396620"/>
      <w:bookmarkStart w:id="92" w:name="_Toc1859"/>
      <w:r>
        <w:rPr>
          <w:rFonts w:hint="eastAsia" w:ascii="仿宋" w:hAnsi="仿宋" w:eastAsia="仿宋"/>
          <w:b w:val="0"/>
          <w:lang w:eastAsia="zh-CN"/>
        </w:rPr>
        <w:t>二、</w:t>
      </w:r>
      <w:r>
        <w:rPr>
          <w:rFonts w:hint="eastAsia" w:ascii="仿宋" w:hAnsi="仿宋" w:eastAsia="仿宋"/>
          <w:b w:val="0"/>
        </w:rPr>
        <w:t>收</w:t>
      </w:r>
      <w:r>
        <w:rPr>
          <w:rStyle w:val="29"/>
          <w:rFonts w:hint="eastAsia" w:ascii="仿宋" w:hAnsi="仿宋" w:eastAsia="仿宋"/>
          <w:b w:val="0"/>
          <w:bCs w:val="0"/>
        </w:rPr>
        <w:t>入决算表</w:t>
      </w:r>
      <w:bookmarkEnd w:id="91"/>
      <w:bookmarkEnd w:id="92"/>
    </w:p>
    <w:p>
      <w:pPr>
        <w:pStyle w:val="4"/>
        <w:numPr>
          <w:ilvl w:val="0"/>
          <w:numId w:val="0"/>
        </w:numPr>
        <w:rPr>
          <w:rFonts w:hint="eastAsia"/>
        </w:rPr>
      </w:pPr>
      <w:bookmarkStart w:id="93" w:name="_Toc15396621"/>
      <w:bookmarkStart w:id="94" w:name="_Toc27186"/>
      <w:r>
        <w:rPr>
          <w:rFonts w:hint="eastAsia" w:ascii="仿宋" w:hAnsi="仿宋" w:eastAsia="仿宋"/>
          <w:b w:val="0"/>
          <w:lang w:eastAsia="zh-CN"/>
        </w:rPr>
        <w:t>三、</w:t>
      </w:r>
      <w:r>
        <w:rPr>
          <w:rFonts w:hint="eastAsia" w:ascii="仿宋" w:hAnsi="仿宋" w:eastAsia="仿宋"/>
          <w:b w:val="0"/>
        </w:rPr>
        <w:t>支</w:t>
      </w:r>
      <w:r>
        <w:rPr>
          <w:rStyle w:val="29"/>
          <w:rFonts w:hint="eastAsia" w:ascii="仿宋" w:hAnsi="仿宋" w:eastAsia="仿宋"/>
          <w:b w:val="0"/>
          <w:bCs w:val="0"/>
        </w:rPr>
        <w:t>出决算表</w:t>
      </w:r>
      <w:bookmarkEnd w:id="93"/>
      <w:bookmarkEnd w:id="94"/>
    </w:p>
    <w:p>
      <w:pPr>
        <w:pStyle w:val="4"/>
        <w:numPr>
          <w:ilvl w:val="0"/>
          <w:numId w:val="0"/>
        </w:numPr>
        <w:rPr>
          <w:rStyle w:val="29"/>
          <w:rFonts w:hint="eastAsia" w:ascii="仿宋" w:hAnsi="仿宋" w:eastAsia="仿宋"/>
          <w:b w:val="0"/>
          <w:bCs w:val="0"/>
        </w:rPr>
      </w:pPr>
      <w:bookmarkStart w:id="95" w:name="_Toc27841"/>
      <w:bookmarkStart w:id="96" w:name="_Toc15396622"/>
      <w:r>
        <w:rPr>
          <w:rFonts w:hint="eastAsia" w:ascii="仿宋" w:hAnsi="仿宋" w:eastAsia="仿宋"/>
          <w:b w:val="0"/>
          <w:lang w:eastAsia="zh-CN"/>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95"/>
      <w:bookmarkEnd w:id="96"/>
    </w:p>
    <w:p>
      <w:pPr>
        <w:pStyle w:val="4"/>
        <w:numPr>
          <w:ilvl w:val="0"/>
          <w:numId w:val="0"/>
        </w:numPr>
      </w:pPr>
      <w:bookmarkStart w:id="97" w:name="_Toc7215"/>
      <w:bookmarkStart w:id="98" w:name="_Toc15396623"/>
      <w:r>
        <w:rPr>
          <w:rFonts w:hint="eastAsia" w:ascii="仿宋" w:hAnsi="仿宋" w:eastAsia="仿宋"/>
          <w:b w:val="0"/>
          <w:lang w:eastAsia="zh-CN"/>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97"/>
      <w:bookmarkEnd w:id="98"/>
      <w:bookmarkStart w:id="99" w:name="_Toc15396624"/>
    </w:p>
    <w:p>
      <w:pPr>
        <w:pStyle w:val="4"/>
        <w:numPr>
          <w:ilvl w:val="0"/>
          <w:numId w:val="0"/>
        </w:numPr>
        <w:rPr>
          <w:rStyle w:val="29"/>
          <w:rFonts w:hint="eastAsia" w:ascii="仿宋" w:hAnsi="仿宋" w:eastAsia="仿宋"/>
          <w:b w:val="0"/>
          <w:bCs w:val="0"/>
        </w:rPr>
      </w:pPr>
      <w:bookmarkStart w:id="100" w:name="_Toc32007"/>
      <w:r>
        <w:rPr>
          <w:rFonts w:hint="eastAsia" w:ascii="仿宋" w:hAnsi="仿宋" w:eastAsia="仿宋"/>
          <w:b w:val="0"/>
          <w:lang w:eastAsia="zh-CN"/>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99"/>
      <w:bookmarkEnd w:id="100"/>
    </w:p>
    <w:p>
      <w:pPr>
        <w:pStyle w:val="4"/>
        <w:numPr>
          <w:ilvl w:val="0"/>
          <w:numId w:val="0"/>
        </w:numPr>
        <w:rPr>
          <w:rStyle w:val="29"/>
          <w:rFonts w:hint="eastAsia" w:ascii="仿宋" w:hAnsi="仿宋" w:eastAsia="仿宋"/>
          <w:b w:val="0"/>
          <w:bCs w:val="0"/>
        </w:rPr>
      </w:pPr>
      <w:bookmarkStart w:id="101" w:name="_Toc15396625"/>
      <w:bookmarkStart w:id="102" w:name="_Toc4044"/>
      <w:r>
        <w:rPr>
          <w:rFonts w:hint="eastAsia" w:ascii="仿宋" w:hAnsi="仿宋" w:eastAsia="仿宋"/>
          <w:b w:val="0"/>
          <w:lang w:eastAsia="zh-CN"/>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101"/>
      <w:bookmarkEnd w:id="102"/>
    </w:p>
    <w:p>
      <w:pPr>
        <w:pStyle w:val="4"/>
        <w:rPr>
          <w:rStyle w:val="29"/>
          <w:rFonts w:hint="eastAsia" w:ascii="仿宋" w:hAnsi="仿宋" w:eastAsia="仿宋"/>
          <w:b w:val="0"/>
          <w:bCs w:val="0"/>
        </w:rPr>
      </w:pPr>
      <w:bookmarkStart w:id="103" w:name="_Toc15396626"/>
      <w:bookmarkStart w:id="104" w:name="_Toc28549"/>
      <w:r>
        <w:rPr>
          <w:rFonts w:hint="eastAsia" w:ascii="仿宋" w:hAnsi="仿宋" w:eastAsia="仿宋"/>
          <w:b w:val="0"/>
          <w:lang w:eastAsia="zh-CN"/>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103"/>
      <w:bookmarkEnd w:id="104"/>
      <w:bookmarkStart w:id="105" w:name="_Toc15396627"/>
    </w:p>
    <w:p>
      <w:pPr>
        <w:pStyle w:val="4"/>
        <w:numPr>
          <w:ilvl w:val="0"/>
          <w:numId w:val="0"/>
        </w:numPr>
        <w:rPr>
          <w:rStyle w:val="29"/>
          <w:rFonts w:hint="eastAsia" w:ascii="仿宋" w:hAnsi="仿宋" w:eastAsia="仿宋"/>
          <w:b w:val="0"/>
          <w:bCs w:val="0"/>
        </w:rPr>
      </w:pPr>
      <w:bookmarkStart w:id="106" w:name="_Toc8304"/>
      <w:r>
        <w:rPr>
          <w:rFonts w:hint="eastAsia" w:ascii="仿宋" w:hAnsi="仿宋" w:eastAsia="仿宋"/>
          <w:b w:val="0"/>
          <w:lang w:eastAsia="zh-CN"/>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105"/>
      <w:bookmarkEnd w:id="106"/>
    </w:p>
    <w:p>
      <w:pPr>
        <w:pStyle w:val="4"/>
        <w:numPr>
          <w:ilvl w:val="0"/>
          <w:numId w:val="0"/>
        </w:numPr>
      </w:pPr>
      <w:bookmarkStart w:id="107" w:name="_Toc5339"/>
      <w:r>
        <w:rPr>
          <w:rFonts w:hint="eastAsia" w:ascii="仿宋" w:hAnsi="仿宋" w:eastAsia="仿宋"/>
          <w:b w:val="0"/>
          <w:lang w:eastAsia="zh-CN"/>
        </w:rPr>
        <w:t>十、</w:t>
      </w:r>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107"/>
    </w:p>
    <w:p>
      <w:pPr>
        <w:pStyle w:val="4"/>
        <w:rPr>
          <w:rFonts w:ascii="仿宋" w:hAnsi="仿宋" w:eastAsia="仿宋"/>
        </w:rPr>
      </w:pPr>
      <w:bookmarkStart w:id="108" w:name="_Toc15396629"/>
      <w:bookmarkStart w:id="109" w:name="_Toc31690"/>
      <w:r>
        <w:rPr>
          <w:rStyle w:val="29"/>
          <w:rFonts w:hint="eastAsia" w:ascii="仿宋" w:hAnsi="仿宋" w:eastAsia="仿宋"/>
          <w:b w:val="0"/>
          <w:bCs w:val="0"/>
        </w:rPr>
        <w:t>十一、</w:t>
      </w:r>
      <w:bookmarkEnd w:id="108"/>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109"/>
    </w:p>
    <w:p>
      <w:pPr>
        <w:pStyle w:val="4"/>
        <w:rPr>
          <w:rFonts w:ascii="仿宋" w:hAnsi="仿宋" w:eastAsia="仿宋"/>
        </w:rPr>
      </w:pPr>
      <w:bookmarkStart w:id="110" w:name="_Toc15396630"/>
      <w:bookmarkStart w:id="111" w:name="_Toc11612"/>
      <w:r>
        <w:rPr>
          <w:rStyle w:val="29"/>
          <w:rFonts w:hint="eastAsia" w:ascii="仿宋" w:hAnsi="仿宋" w:eastAsia="仿宋"/>
          <w:b w:val="0"/>
          <w:bCs w:val="0"/>
        </w:rPr>
        <w:t>十二、</w:t>
      </w:r>
      <w:bookmarkEnd w:id="110"/>
      <w:r>
        <w:rPr>
          <w:rStyle w:val="29"/>
          <w:rFonts w:hint="eastAsia" w:ascii="仿宋" w:hAnsi="仿宋" w:eastAsia="仿宋"/>
          <w:b w:val="0"/>
          <w:bCs w:val="0"/>
        </w:rPr>
        <w:t>国有资本经营预算财政拨款支出决算表</w:t>
      </w:r>
      <w:bookmarkEnd w:id="111"/>
    </w:p>
    <w:p>
      <w:pPr>
        <w:pStyle w:val="4"/>
        <w:rPr>
          <w:rStyle w:val="29"/>
          <w:rFonts w:hint="eastAsia" w:ascii="仿宋" w:hAnsi="仿宋" w:eastAsia="仿宋"/>
          <w:b w:val="0"/>
          <w:bCs w:val="0"/>
        </w:rPr>
      </w:pPr>
      <w:bookmarkStart w:id="112" w:name="_Toc15396631"/>
      <w:bookmarkStart w:id="113" w:name="_Toc3252"/>
      <w:r>
        <w:rPr>
          <w:rStyle w:val="29"/>
          <w:rFonts w:hint="eastAsia" w:ascii="仿宋" w:hAnsi="仿宋" w:eastAsia="仿宋"/>
          <w:b w:val="0"/>
          <w:bCs w:val="0"/>
        </w:rPr>
        <w:t>十三、</w:t>
      </w:r>
      <w:bookmarkEnd w:id="112"/>
      <w:r>
        <w:rPr>
          <w:rStyle w:val="29"/>
          <w:rFonts w:hint="eastAsia" w:ascii="仿宋" w:hAnsi="仿宋" w:eastAsia="仿宋"/>
          <w:b w:val="0"/>
          <w:bCs w:val="0"/>
        </w:rPr>
        <w:t>财政拨款“三公”经费支出决算表</w:t>
      </w:r>
      <w:bookmarkEnd w:id="113"/>
    </w:p>
    <w:p>
      <w:pPr>
        <w:bidi w:val="0"/>
        <w:jc w:val="left"/>
      </w:pP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FF6308-990E-45EC-99EA-A8EB065077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2BC8CD5E-8302-4D3D-9BA3-6AD3A2554440}"/>
  </w:font>
  <w:font w:name="仿宋_GB2312">
    <w:panose1 w:val="02010609030101010101"/>
    <w:charset w:val="86"/>
    <w:family w:val="modern"/>
    <w:pitch w:val="default"/>
    <w:sig w:usb0="00000001" w:usb1="080E0000" w:usb2="00000000" w:usb3="00000000" w:csb0="00040000" w:csb1="00000000"/>
    <w:embedRegular r:id="rId3" w:fontKey="{962DE71A-7B0C-4F42-8D55-4CC789BBB429}"/>
  </w:font>
  <w:font w:name="仿宋">
    <w:panose1 w:val="02010609060101010101"/>
    <w:charset w:val="86"/>
    <w:family w:val="modern"/>
    <w:pitch w:val="default"/>
    <w:sig w:usb0="800002BF" w:usb1="38CF7CFA" w:usb2="00000016" w:usb3="00000000" w:csb0="00040001" w:csb1="00000000"/>
    <w:embedRegular r:id="rId4" w:fontKey="{5A136A47-50AA-4476-8F6A-332A34A85EB2}"/>
  </w:font>
  <w:font w:na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embedRegular r:id="rId5" w:fontKey="{BA9C26C6-F206-422B-8000-B87770BE221A}"/>
  </w:font>
  <w:font w:name="楷体_GB2312">
    <w:panose1 w:val="02010609030101010101"/>
    <w:charset w:val="86"/>
    <w:family w:val="auto"/>
    <w:pitch w:val="default"/>
    <w:sig w:usb0="00000001" w:usb1="080E0000" w:usb2="00000000" w:usb3="00000000" w:csb0="00040000" w:csb1="00000000"/>
    <w:embedRegular r:id="rId6" w:fontKey="{93DC7013-851D-448C-AFE5-B2EBB81BE954}"/>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spacing w:before="72"/>
                </w:pP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2DA6EF8"/>
    <w:multiLevelType w:val="singleLevel"/>
    <w:tmpl w:val="22DA6EF8"/>
    <w:lvl w:ilvl="0" w:tentative="0">
      <w:start w:val="4"/>
      <w:numFmt w:val="chineseCounting"/>
      <w:suff w:val="nothing"/>
      <w:lvlText w:val="（%1）"/>
      <w:lvlJc w:val="left"/>
      <w:rPr>
        <w:rFonts w:hint="eastAsia"/>
      </w:rPr>
    </w:lvl>
  </w:abstractNum>
  <w:abstractNum w:abstractNumId="5">
    <w:nsid w:val="3E530046"/>
    <w:multiLevelType w:val="singleLevel"/>
    <w:tmpl w:val="3E530046"/>
    <w:lvl w:ilvl="0" w:tentative="0">
      <w:start w:val="1"/>
      <w:numFmt w:val="decimal"/>
      <w:suff w:val="nothing"/>
      <w:lvlText w:val="%1、"/>
      <w:lvlJc w:val="left"/>
    </w:lvl>
  </w:abstractNum>
  <w:abstractNum w:abstractNumId="6">
    <w:nsid w:val="479B57DF"/>
    <w:multiLevelType w:val="multilevel"/>
    <w:tmpl w:val="479B57DF"/>
    <w:lvl w:ilvl="0" w:tentative="0">
      <w:start w:val="1"/>
      <w:numFmt w:val="chineseCountingThousand"/>
      <w:suff w:val="nothing"/>
      <w:lvlText w:val="第%1章"/>
      <w:lvlJc w:val="left"/>
      <w:pPr>
        <w:ind w:left="0" w:firstLine="0"/>
      </w:pPr>
      <w:rPr>
        <w:rFonts w:hint="eastAsia" w:ascii="宋体" w:eastAsia="宋体"/>
        <w:b/>
        <w:i w:val="0"/>
        <w:sz w:val="32"/>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
    <w:nsid w:val="6E9F586C"/>
    <w:multiLevelType w:val="singleLevel"/>
    <w:tmpl w:val="6E9F586C"/>
    <w:lvl w:ilvl="0" w:tentative="0">
      <w:start w:val="1"/>
      <w:numFmt w:val="chineseCounting"/>
      <w:suff w:val="nothing"/>
      <w:lvlText w:val="（%1）"/>
      <w:lvlJc w:val="left"/>
      <w:rPr>
        <w:rFonts w:hint="eastAsia"/>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Q2ZmMyMGQzNmZlNTM3YmNjYmYzZGJlZDVmMGE2N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2EFD"/>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7CAA"/>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6027"/>
    <w:rsid w:val="00F602DF"/>
    <w:rsid w:val="00F754A1"/>
    <w:rsid w:val="00F81FD9"/>
    <w:rsid w:val="00F841AA"/>
    <w:rsid w:val="00F84A94"/>
    <w:rsid w:val="00F87E96"/>
    <w:rsid w:val="00FA23E8"/>
    <w:rsid w:val="00FD3CC1"/>
    <w:rsid w:val="00FF1E02"/>
    <w:rsid w:val="00FF30B4"/>
    <w:rsid w:val="015975B8"/>
    <w:rsid w:val="01952A05"/>
    <w:rsid w:val="02143E91"/>
    <w:rsid w:val="02926899"/>
    <w:rsid w:val="04512CD4"/>
    <w:rsid w:val="04B70785"/>
    <w:rsid w:val="04EB11F6"/>
    <w:rsid w:val="066E0107"/>
    <w:rsid w:val="07996F6E"/>
    <w:rsid w:val="0A2032A3"/>
    <w:rsid w:val="0F98263C"/>
    <w:rsid w:val="101860EC"/>
    <w:rsid w:val="10C055FF"/>
    <w:rsid w:val="118107EC"/>
    <w:rsid w:val="13D50BC4"/>
    <w:rsid w:val="148C38DB"/>
    <w:rsid w:val="16BB723D"/>
    <w:rsid w:val="1A50725A"/>
    <w:rsid w:val="1BE8440E"/>
    <w:rsid w:val="1D155CEE"/>
    <w:rsid w:val="1FAE1B69"/>
    <w:rsid w:val="1FB97E2D"/>
    <w:rsid w:val="1FF35744"/>
    <w:rsid w:val="21F13A8B"/>
    <w:rsid w:val="230A0ECC"/>
    <w:rsid w:val="23860B96"/>
    <w:rsid w:val="240371BF"/>
    <w:rsid w:val="262D3F98"/>
    <w:rsid w:val="26727C5E"/>
    <w:rsid w:val="29FD04D3"/>
    <w:rsid w:val="2C8A61B5"/>
    <w:rsid w:val="2DF04E50"/>
    <w:rsid w:val="2F040D46"/>
    <w:rsid w:val="313A7EC4"/>
    <w:rsid w:val="319F7F4E"/>
    <w:rsid w:val="3304709D"/>
    <w:rsid w:val="36AA5135"/>
    <w:rsid w:val="376D39B2"/>
    <w:rsid w:val="37A85F73"/>
    <w:rsid w:val="37E16F03"/>
    <w:rsid w:val="387602DD"/>
    <w:rsid w:val="38D469F0"/>
    <w:rsid w:val="3AD04388"/>
    <w:rsid w:val="3C946CED"/>
    <w:rsid w:val="3D98207C"/>
    <w:rsid w:val="3E78745D"/>
    <w:rsid w:val="424224D6"/>
    <w:rsid w:val="44E268DA"/>
    <w:rsid w:val="49302655"/>
    <w:rsid w:val="49BC05A4"/>
    <w:rsid w:val="4A627F82"/>
    <w:rsid w:val="4B0E749A"/>
    <w:rsid w:val="4B4F25DA"/>
    <w:rsid w:val="4BE068DB"/>
    <w:rsid w:val="4D2B3334"/>
    <w:rsid w:val="4D577224"/>
    <w:rsid w:val="4E8D7931"/>
    <w:rsid w:val="4EAB630A"/>
    <w:rsid w:val="4ECE2238"/>
    <w:rsid w:val="4F985ED7"/>
    <w:rsid w:val="50ED0DD9"/>
    <w:rsid w:val="537E6D0A"/>
    <w:rsid w:val="550178B7"/>
    <w:rsid w:val="559B2FF3"/>
    <w:rsid w:val="564F4740"/>
    <w:rsid w:val="573338E1"/>
    <w:rsid w:val="596029C2"/>
    <w:rsid w:val="5AF92295"/>
    <w:rsid w:val="5BB86200"/>
    <w:rsid w:val="5C401F83"/>
    <w:rsid w:val="5CD71FC4"/>
    <w:rsid w:val="5F31409D"/>
    <w:rsid w:val="614020FE"/>
    <w:rsid w:val="66D00AD7"/>
    <w:rsid w:val="67A53559"/>
    <w:rsid w:val="68A74AFF"/>
    <w:rsid w:val="6C4A05C8"/>
    <w:rsid w:val="6E7E3605"/>
    <w:rsid w:val="6F8D5F31"/>
    <w:rsid w:val="6FF5CC65"/>
    <w:rsid w:val="715C0E4B"/>
    <w:rsid w:val="722E2675"/>
    <w:rsid w:val="72734D90"/>
    <w:rsid w:val="73297C92"/>
    <w:rsid w:val="732A0A8C"/>
    <w:rsid w:val="73AD73D5"/>
    <w:rsid w:val="73B6EB34"/>
    <w:rsid w:val="744731E5"/>
    <w:rsid w:val="74F63F29"/>
    <w:rsid w:val="75000568"/>
    <w:rsid w:val="759609E5"/>
    <w:rsid w:val="76E3355F"/>
    <w:rsid w:val="778769C8"/>
    <w:rsid w:val="79EE5BA4"/>
    <w:rsid w:val="7A894339"/>
    <w:rsid w:val="7CB93960"/>
    <w:rsid w:val="7E6F60A9"/>
    <w:rsid w:val="7EEF11D3"/>
    <w:rsid w:val="7FA30C79"/>
    <w:rsid w:val="7FB7269E"/>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adjustRightInd w:val="0"/>
      <w:snapToGrid w:val="0"/>
      <w:spacing w:before="280" w:after="290" w:line="376" w:lineRule="auto"/>
      <w:outlineLvl w:val="3"/>
    </w:pPr>
    <w:rPr>
      <w:rFonts w:ascii="Arial" w:hAnsi="Arial" w:eastAsia="黑体"/>
      <w:b/>
      <w:snapToGrid w:val="0"/>
      <w:kern w:val="0"/>
      <w:sz w:val="28"/>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cap="all" spc="150" baseline="0">
                <a:solidFill>
                  <a:schemeClr val="tx1"/>
                </a:solidFill>
                <a:latin typeface="+mn-lt"/>
                <a:ea typeface="+mn-ea"/>
                <a:cs typeface="+mn-cs"/>
              </a:defRPr>
            </a:pPr>
            <a:r>
              <a:t>图1：收、支决算总计变动图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rgbClr val="1F497D"/>
            </a:solidFill>
            <a:ln>
              <a:solidFill>
                <a:schemeClr val="accent1"/>
              </a:solidFill>
            </a:ln>
            <a:effectLst>
              <a:innerShdw blurRad="114300">
                <a:schemeClr val="accent1"/>
              </a:inn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2021年</c:v>
                </c:pt>
                <c:pt idx="1">
                  <c:v>2022年</c:v>
                </c:pt>
              </c:strCache>
            </c:strRef>
          </c:cat>
          <c:val>
            <c:numRef>
              <c:f>Sheet1!$B$2:$B$3</c:f>
              <c:numCache>
                <c:formatCode>General</c:formatCode>
                <c:ptCount val="2"/>
                <c:pt idx="0">
                  <c:v>2091.83</c:v>
                </c:pt>
                <c:pt idx="1">
                  <c:v>2510.56</c:v>
                </c:pt>
              </c:numCache>
            </c:numRef>
          </c:val>
        </c:ser>
        <c:ser>
          <c:idx val="1"/>
          <c:order val="1"/>
          <c:tx>
            <c:strRef>
              <c:f>Sheet1!$C$1</c:f>
              <c:strCache>
                <c:ptCount val="1"/>
                <c:pt idx="0">
                  <c:v>支出</c:v>
                </c:pt>
              </c:strCache>
            </c:strRef>
          </c:tx>
          <c:spPr>
            <a:solidFill>
              <a:srgbClr val="F79646"/>
            </a:solidFill>
            <a:ln>
              <a:noFill/>
            </a:ln>
            <a:effectLst>
              <a:innerShdw blurRad="114300">
                <a:schemeClr val="accent2"/>
              </a:inn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2021年</c:v>
                </c:pt>
                <c:pt idx="1">
                  <c:v>2022年</c:v>
                </c:pt>
              </c:strCache>
            </c:strRef>
          </c:cat>
          <c:val>
            <c:numRef>
              <c:f>Sheet1!$C$2:$C$3</c:f>
              <c:numCache>
                <c:formatCode>General</c:formatCode>
                <c:ptCount val="2"/>
                <c:pt idx="0">
                  <c:v>2076.7</c:v>
                </c:pt>
                <c:pt idx="1">
                  <c:v>2510.56</c:v>
                </c:pt>
              </c:numCache>
            </c:numRef>
          </c:val>
        </c:ser>
        <c:ser>
          <c:idx val="2"/>
          <c:order val="2"/>
          <c:tx>
            <c:strRef>
              <c:f>Sheet1!#REF!</c:f>
              <c:strCache>
                <c:ptCount val="1"/>
                <c:pt idx="0">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64"/>
        <c:overlap val="-22"/>
        <c:axId val="417309772"/>
        <c:axId val="541430976"/>
      </c:barChart>
      <c:catAx>
        <c:axId val="4173097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541430976"/>
        <c:crosses val="autoZero"/>
        <c:auto val="1"/>
        <c:lblAlgn val="ctr"/>
        <c:lblOffset val="100"/>
        <c:noMultiLvlLbl val="0"/>
      </c:catAx>
      <c:valAx>
        <c:axId val="54143097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417309772"/>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图2：收入决算结构图</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列1</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图</a:t>
            </a:r>
            <a:r>
              <a:rPr lang="en-US" altLang="zh-CN"/>
              <a:t>3</a:t>
            </a:r>
            <a:r>
              <a:rPr altLang="en-US"/>
              <a:t>：</a:t>
            </a:r>
            <a:r>
              <a:t>支出决算结构图</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列1</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8.2</c:v>
                </c:pt>
                <c:pt idx="1">
                  <c:v>3.2</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cap="all" spc="150" baseline="0">
                <a:solidFill>
                  <a:schemeClr val="tx1"/>
                </a:solidFill>
                <a:latin typeface="+mn-lt"/>
                <a:ea typeface="+mn-ea"/>
                <a:cs typeface="+mn-cs"/>
              </a:defRPr>
            </a:pPr>
            <a:r>
              <a:t>图</a:t>
            </a:r>
            <a:r>
              <a:rPr lang="en-US" altLang="zh-CN"/>
              <a:t>4</a:t>
            </a:r>
            <a:r>
              <a:rPr altLang="en-US"/>
              <a:t>：</a:t>
            </a:r>
            <a:r>
              <a:t>财政拨款收、支决算总计变动情况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rgbClr val="1F497D"/>
            </a:solidFill>
            <a:ln>
              <a:solidFill>
                <a:schemeClr val="accent1"/>
              </a:solidFill>
            </a:ln>
            <a:effectLst>
              <a:innerShdw blurRad="114300">
                <a:schemeClr val="accent1"/>
              </a:inn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2021年</c:v>
                </c:pt>
                <c:pt idx="1">
                  <c:v>2022年</c:v>
                </c:pt>
              </c:strCache>
            </c:strRef>
          </c:cat>
          <c:val>
            <c:numRef>
              <c:f>Sheet1!$B$2:$B$3</c:f>
              <c:numCache>
                <c:formatCode>General</c:formatCode>
                <c:ptCount val="2"/>
                <c:pt idx="0">
                  <c:v>2091.83</c:v>
                </c:pt>
                <c:pt idx="1">
                  <c:v>2510.56</c:v>
                </c:pt>
              </c:numCache>
            </c:numRef>
          </c:val>
        </c:ser>
        <c:ser>
          <c:idx val="1"/>
          <c:order val="1"/>
          <c:tx>
            <c:strRef>
              <c:f>Sheet1!$C$1</c:f>
              <c:strCache>
                <c:ptCount val="1"/>
                <c:pt idx="0">
                  <c:v>财政拨款支出</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2021年</c:v>
                </c:pt>
                <c:pt idx="1">
                  <c:v>2022年</c:v>
                </c:pt>
              </c:strCache>
            </c:strRef>
          </c:cat>
          <c:val>
            <c:numRef>
              <c:f>Sheet1!$C$2:$C$3</c:f>
              <c:numCache>
                <c:formatCode>General</c:formatCode>
                <c:ptCount val="2"/>
                <c:pt idx="0">
                  <c:v>2076.7</c:v>
                </c:pt>
                <c:pt idx="1">
                  <c:v>2510.56</c:v>
                </c:pt>
              </c:numCache>
            </c:numRef>
          </c:val>
        </c:ser>
        <c:ser>
          <c:idx val="2"/>
          <c:order val="2"/>
          <c:tx>
            <c:strRef>
              <c:f>Sheet1!#REF!</c:f>
              <c:strCache>
                <c:ptCount val="1"/>
                <c:pt idx="0">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64"/>
        <c:overlap val="-22"/>
        <c:axId val="639342911"/>
        <c:axId val="785725177"/>
      </c:barChart>
      <c:catAx>
        <c:axId val="63934291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785725177"/>
        <c:crosses val="autoZero"/>
        <c:auto val="1"/>
        <c:lblAlgn val="ctr"/>
        <c:lblOffset val="100"/>
        <c:noMultiLvlLbl val="0"/>
      </c:catAx>
      <c:valAx>
        <c:axId val="78572517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639342911"/>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图5：一般公共预算财政拨款支出决算变动情况</c:v>
                </c:pt>
              </c:strCache>
            </c:strRef>
          </c:tx>
          <c:spPr>
            <a:solidFill>
              <a:srgbClr val="C0504D"/>
            </a:solidFill>
            <a:ln>
              <a:solidFill>
                <a:schemeClr val="accent1"/>
              </a:solidFill>
            </a:ln>
            <a:effectLst>
              <a:innerShdw blurRad="114300">
                <a:schemeClr val="accent1"/>
              </a:inn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2021年</c:v>
                </c:pt>
                <c:pt idx="1">
                  <c:v>2022年</c:v>
                </c:pt>
              </c:strCache>
            </c:strRef>
          </c:cat>
          <c:val>
            <c:numRef>
              <c:f>Sheet1!$B$2:$B$5</c:f>
              <c:numCache>
                <c:formatCode>General</c:formatCode>
                <c:ptCount val="4"/>
                <c:pt idx="0">
                  <c:v>2076.7</c:v>
                </c:pt>
                <c:pt idx="1">
                  <c:v>2510.56</c:v>
                </c:pt>
              </c:numCache>
            </c:numRef>
          </c:val>
        </c:ser>
        <c:ser>
          <c:idx val="1"/>
          <c:order val="1"/>
          <c:tx>
            <c:strRef>
              <c:f>Sheet1!#REF!</c:f>
              <c:strCache>
                <c:ptCount val="1"/>
                <c:pt idx="0">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elete val="1"/>
          </c:dLbls>
          <c:cat>
            <c:strRef>
              <c:f>Sheet1!$A$2:$A$5</c:f>
              <c:strCache>
                <c:ptCount val="4"/>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elete val="1"/>
          </c:dLbls>
          <c:cat>
            <c:strRef>
              <c:f>Sheet1!$A$2:$A$5</c:f>
              <c:strCache>
                <c:ptCount val="4"/>
                <c:pt idx="0">
                  <c:v>2021年</c:v>
                </c:pt>
                <c:pt idx="1">
                  <c:v>2022年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64"/>
        <c:overlap val="-22"/>
        <c:axId val="680803833"/>
        <c:axId val="431266865"/>
      </c:barChart>
      <c:catAx>
        <c:axId val="68080383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431266865"/>
        <c:crosses val="autoZero"/>
        <c:auto val="1"/>
        <c:lblAlgn val="ctr"/>
        <c:lblOffset val="100"/>
        <c:noMultiLvlLbl val="0"/>
      </c:catAx>
      <c:valAx>
        <c:axId val="43126686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680803833"/>
        <c:crosses val="autoZero"/>
        <c:crossBetween val="between"/>
      </c:valAx>
      <c:spPr>
        <a:noFill/>
        <a:ln>
          <a:noFill/>
        </a:ln>
        <a:effectLst/>
      </c:spPr>
    </c:plotArea>
    <c:legend>
      <c:legendPos val="t"/>
      <c:legendEntry>
        <c:idx val="1"/>
        <c:delete val="1"/>
      </c:legendEntry>
      <c:legendEntry>
        <c:idx val="2"/>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图</a:t>
            </a:r>
            <a:r>
              <a:rPr lang="en-US" altLang="zh-CN"/>
              <a:t>6</a:t>
            </a:r>
            <a:r>
              <a:rPr altLang="en-US"/>
              <a:t>：</a:t>
            </a:r>
            <a:r>
              <a:t>一般</a:t>
            </a:r>
            <a:r>
              <a:rPr lang="en-US" altLang="zh-CN"/>
              <a:t> </a:t>
            </a:r>
            <a:r>
              <a:rPr altLang="en-US"/>
              <a:t>公共预算财政拨款支出决算结构图</a:t>
            </a:r>
            <a:endParaRPr altLang="en-US"/>
          </a:p>
        </c:rich>
      </c:tx>
      <c:layout>
        <c:manualLayout>
          <c:xMode val="edge"/>
          <c:yMode val="edge"/>
          <c:x val="0.292220343078038"/>
          <c:y val="0.00637484062898428"/>
        </c:manualLayout>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图6：一般公共预算财政拨款支出决算结构</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Pt>
            <c:idx val="3"/>
            <c:bubble3D val="0"/>
            <c:spPr>
              <a:solidFill>
                <a:srgbClr val="F8AC41">
                  <a:alpha val="67000"/>
                </a:srgbClr>
              </a:solidFill>
              <a:ln w="19050" cap="rnd">
                <a:noFill/>
                <a:round/>
              </a:ln>
              <a:effectLst/>
            </c:spPr>
          </c:dPt>
          <c:dLbls>
            <c:dLbl>
              <c:idx val="1"/>
              <c:layout>
                <c:manualLayout>
                  <c:x val="-0.110982041439103"/>
                  <c:y val="0.08534297689110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0929421786717"/>
                  <c:y val="-0.00106314154183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7762302090791"/>
                  <c:y val="0.01213713411960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0.8417</c:v>
                </c:pt>
                <c:pt idx="1">
                  <c:v>0.0768</c:v>
                </c:pt>
                <c:pt idx="2">
                  <c:v>0.031</c:v>
                </c:pt>
                <c:pt idx="3">
                  <c:v>0.0505</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图</a:t>
            </a:r>
            <a:r>
              <a:rPr lang="en-US" altLang="zh-CN"/>
              <a:t>7</a:t>
            </a:r>
            <a:r>
              <a:rPr altLang="en-US"/>
              <a:t>：</a:t>
            </a:r>
            <a:r>
              <a:rPr lang="en-US" altLang="zh-CN"/>
              <a:t>“</a:t>
            </a:r>
            <a:r>
              <a:rPr altLang="en-US"/>
              <a:t>三公</a:t>
            </a:r>
            <a:r>
              <a:rPr lang="en-US" altLang="zh-CN"/>
              <a:t>”</a:t>
            </a:r>
            <a:r>
              <a:rPr altLang="en-US"/>
              <a:t>经费财政拨款支出结构图</a:t>
            </a:r>
            <a:endParaRPr altLang="en-US"/>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图7：“三公”经费财政拨款支出结构</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公务接待费支出</c:v>
                </c:pt>
                <c:pt idx="1">
                  <c:v>公务用车购置及运行维护费支出</c:v>
                </c:pt>
              </c:strCache>
            </c:strRef>
          </c:cat>
          <c:val>
            <c:numRef>
              <c:f>Sheet1!$B$2:$B$3</c:f>
              <c:numCache>
                <c:formatCode>0%</c:formatCode>
                <c:ptCount val="2"/>
                <c:pt idx="0">
                  <c:v>0.09</c:v>
                </c:pt>
                <c:pt idx="1">
                  <c:v>0.91</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1481</Words>
  <Characters>8443</Characters>
  <Lines>70</Lines>
  <Paragraphs>19</Paragraphs>
  <TotalTime>6</TotalTime>
  <ScaleCrop>false</ScaleCrop>
  <LinksUpToDate>false</LinksUpToDate>
  <CharactersWithSpaces>9905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Hey</cp:lastModifiedBy>
  <cp:lastPrinted>2023-07-31T02:35:00Z</cp:lastPrinted>
  <dcterms:modified xsi:type="dcterms:W3CDTF">2023-10-23T07:18:48Z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890C28EDF7EA48CB940EEFCAD2DBFF04_12</vt:lpwstr>
  </property>
</Properties>
</file>