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仿宋_GB2312"/>
          <w:sz w:val="72"/>
          <w:szCs w:val="72"/>
        </w:rPr>
      </w:pPr>
      <w:bookmarkStart w:id="0" w:name="_Toc15396475"/>
      <w:bookmarkStart w:id="1" w:name="_Toc15378441"/>
      <w:bookmarkStart w:id="2" w:name="_Toc15396597"/>
      <w:bookmarkStart w:id="3" w:name="_Toc15377193"/>
      <w:bookmarkStart w:id="4" w:name="_Toc15377425"/>
      <w:bookmarkStart w:id="5" w:name="_Toc15306267"/>
    </w:p>
    <w:p>
      <w:pPr>
        <w:spacing w:line="600" w:lineRule="exact"/>
        <w:jc w:val="center"/>
        <w:rPr>
          <w:rFonts w:eastAsia="仿宋_GB2312"/>
          <w:sz w:val="72"/>
          <w:szCs w:val="72"/>
        </w:rPr>
      </w:pPr>
    </w:p>
    <w:p>
      <w:pPr>
        <w:spacing w:line="600" w:lineRule="exact"/>
        <w:jc w:val="center"/>
        <w:rPr>
          <w:rFonts w:eastAsia="仿宋_GB2312"/>
          <w:sz w:val="72"/>
          <w:szCs w:val="72"/>
        </w:rPr>
      </w:pPr>
    </w:p>
    <w:p>
      <w:pPr>
        <w:adjustRightInd w:val="0"/>
        <w:snapToGrid w:val="0"/>
        <w:spacing w:line="1000" w:lineRule="exact"/>
        <w:jc w:val="center"/>
        <w:outlineLvl w:val="0"/>
        <w:rPr>
          <w:rFonts w:eastAsia="方正小标宋简体"/>
          <w:b/>
          <w:sz w:val="72"/>
          <w:szCs w:val="72"/>
        </w:rPr>
      </w:pPr>
      <w:bookmarkStart w:id="6" w:name="_Toc24636"/>
      <w:r>
        <w:rPr>
          <w:rFonts w:eastAsia="方正小标宋简体"/>
          <w:b/>
          <w:sz w:val="72"/>
          <w:szCs w:val="72"/>
        </w:rPr>
        <w:t>2022年度</w:t>
      </w:r>
      <w:bookmarkEnd w:id="0"/>
      <w:bookmarkEnd w:id="1"/>
      <w:bookmarkEnd w:id="2"/>
      <w:bookmarkEnd w:id="3"/>
      <w:bookmarkEnd w:id="4"/>
      <w:bookmarkEnd w:id="6"/>
    </w:p>
    <w:p>
      <w:pPr>
        <w:adjustRightInd w:val="0"/>
        <w:snapToGrid w:val="0"/>
        <w:spacing w:line="1000" w:lineRule="exact"/>
        <w:jc w:val="center"/>
        <w:outlineLvl w:val="0"/>
        <w:rPr>
          <w:rFonts w:eastAsia="方正小标宋简体"/>
          <w:b/>
          <w:sz w:val="72"/>
          <w:szCs w:val="72"/>
        </w:rPr>
      </w:pPr>
      <w:bookmarkStart w:id="7" w:name="_Toc15396476"/>
      <w:bookmarkStart w:id="8" w:name="_Toc1710"/>
      <w:bookmarkStart w:id="9" w:name="_Toc15396598"/>
      <w:bookmarkStart w:id="10" w:name="_Toc15377426"/>
      <w:bookmarkStart w:id="11" w:name="_Toc15378442"/>
      <w:bookmarkStart w:id="12" w:name="_Toc15377194"/>
      <w:r>
        <w:rPr>
          <w:rFonts w:eastAsia="方正小标宋简体"/>
          <w:b/>
          <w:sz w:val="72"/>
          <w:szCs w:val="72"/>
        </w:rPr>
        <w:t>巴中市</w:t>
      </w:r>
      <w:bookmarkEnd w:id="5"/>
      <w:bookmarkStart w:id="13" w:name="_Toc15306268"/>
      <w:r>
        <w:rPr>
          <w:rFonts w:eastAsia="方正小标宋简体"/>
          <w:b/>
          <w:sz w:val="72"/>
          <w:szCs w:val="72"/>
        </w:rPr>
        <w:t>人民政府办公室</w:t>
      </w:r>
    </w:p>
    <w:p>
      <w:pPr>
        <w:adjustRightInd w:val="0"/>
        <w:snapToGrid w:val="0"/>
        <w:spacing w:line="1000" w:lineRule="exact"/>
        <w:jc w:val="center"/>
        <w:outlineLvl w:val="0"/>
        <w:rPr>
          <w:rFonts w:eastAsia="方正小标宋简体"/>
          <w:b/>
          <w:sz w:val="72"/>
          <w:szCs w:val="72"/>
        </w:rPr>
      </w:pPr>
      <w:r>
        <w:rPr>
          <w:rFonts w:eastAsia="方正小标宋简体"/>
          <w:b/>
          <w:sz w:val="72"/>
          <w:szCs w:val="72"/>
        </w:rPr>
        <w:t>部门决算</w:t>
      </w:r>
      <w:bookmarkEnd w:id="7"/>
      <w:bookmarkEnd w:id="8"/>
      <w:bookmarkEnd w:id="9"/>
      <w:bookmarkEnd w:id="10"/>
      <w:bookmarkEnd w:id="11"/>
      <w:bookmarkEnd w:id="12"/>
      <w:bookmarkEnd w:id="13"/>
    </w:p>
    <w:p>
      <w:pPr>
        <w:jc w:val="center"/>
        <w:rPr>
          <w:rFonts w:eastAsia="方正小标宋简体"/>
          <w:b/>
          <w:sz w:val="28"/>
          <w:szCs w:val="28"/>
        </w:rPr>
      </w:pPr>
      <w:r>
        <w:rPr>
          <w:rFonts w:eastAsia="仿宋_GB2312"/>
          <w:sz w:val="36"/>
          <w:szCs w:val="36"/>
        </w:rPr>
        <w:pict>
          <v:shape id="_x0000_s2050" o:spid="_x0000_s2050" o:spt="202" type="#_x0000_t202" style="position:absolute;left:0pt;margin-left:413.35pt;margin-top:454.5pt;height:18pt;width:43.5pt;z-index:251659264;mso-width-relative:page;mso-height-relative:page;" stroked="t" coordsize="21600,21600">
            <v:path/>
            <v:fill focussize="0,0"/>
            <v:stroke color="#FFFFFF" joinstyle="miter"/>
            <v:imagedata o:title=""/>
            <o:lock v:ext="edit"/>
            <v:textbox>
              <w:txbxContent>
                <w:p/>
              </w:txbxContent>
            </v:textbox>
          </v:shape>
        </w:pict>
      </w:r>
      <w:r>
        <w:rPr>
          <w:rFonts w:eastAsia="仿宋_GB2312"/>
          <w:sz w:val="36"/>
          <w:szCs w:val="36"/>
        </w:rPr>
        <w:br w:type="page"/>
      </w:r>
      <w:r>
        <w:rPr>
          <w:rFonts w:eastAsia="方正小标宋简体"/>
          <w:b/>
          <w:sz w:val="48"/>
          <w:szCs w:val="48"/>
        </w:rPr>
        <w:t>目录</w:t>
      </w:r>
    </w:p>
    <w:p>
      <w:pPr>
        <w:pStyle w:val="11"/>
        <w:rPr>
          <w:rFonts w:ascii="Times New Roman" w:eastAsia="仿宋_GB2312"/>
        </w:rPr>
      </w:pPr>
      <w:r>
        <w:rPr>
          <w:rFonts w:ascii="Times New Roman" w:eastAsia="仿宋_GB2312"/>
        </w:rPr>
        <w:t>公开时间：2023年10月1</w:t>
      </w:r>
      <w:r>
        <w:rPr>
          <w:rFonts w:hint="eastAsia" w:ascii="Times New Roman" w:eastAsia="仿宋_GB2312"/>
          <w:lang w:val="en-US" w:eastAsia="zh-CN"/>
        </w:rPr>
        <w:t>1</w:t>
      </w:r>
      <w:r>
        <w:rPr>
          <w:rFonts w:ascii="Times New Roman" w:eastAsia="仿宋_GB2312"/>
        </w:rPr>
        <w:t>日</w:t>
      </w:r>
    </w:p>
    <w:p>
      <w:pPr>
        <w:rPr>
          <w:rFonts w:eastAsia="仿宋_GB2312"/>
        </w:rPr>
      </w:pPr>
    </w:p>
    <w:sdt>
      <w:sdtPr>
        <w:rPr>
          <w:rFonts w:eastAsia="仿宋_GB2312"/>
          <w:sz w:val="24"/>
        </w:rPr>
        <w:id w:val="1124276709"/>
        <w:docPartObj>
          <w:docPartGallery w:val="Table of Contents"/>
          <w:docPartUnique/>
        </w:docPartObj>
      </w:sdtPr>
      <w:sdtEndPr>
        <w:rPr>
          <w:rFonts w:eastAsia="仿宋_GB2312"/>
          <w:b/>
          <w:sz w:val="21"/>
        </w:rPr>
      </w:sdtEndPr>
      <w:sdtContent>
        <w:p>
          <w:pPr>
            <w:jc w:val="center"/>
            <w:rPr>
              <w:rFonts w:eastAsia="仿宋_GB2312"/>
              <w:b/>
              <w:sz w:val="24"/>
            </w:rPr>
          </w:pPr>
          <w:bookmarkStart w:id="14" w:name="_Toc15396599"/>
          <w:bookmarkStart w:id="15" w:name="_Toc15377196"/>
          <w:r>
            <w:rPr>
              <w:rFonts w:eastAsia="仿宋_GB2312"/>
              <w:sz w:val="24"/>
            </w:rPr>
            <w:fldChar w:fldCharType="begin"/>
          </w:r>
          <w:r>
            <w:rPr>
              <w:rFonts w:eastAsia="仿宋_GB2312"/>
              <w:sz w:val="24"/>
            </w:rPr>
            <w:instrText xml:space="preserve">TOC \o "1-2" \h \u </w:instrText>
          </w:r>
          <w:r>
            <w:rPr>
              <w:rFonts w:eastAsia="仿宋_GB2312"/>
              <w:sz w:val="24"/>
            </w:rPr>
            <w:fldChar w:fldCharType="separate"/>
          </w:r>
        </w:p>
        <w:p>
          <w:pPr>
            <w:pStyle w:val="29"/>
            <w:widowControl w:val="0"/>
            <w:tabs>
              <w:tab w:val="right" w:leader="dot" w:pos="8306"/>
            </w:tabs>
            <w:rPr>
              <w:rFonts w:ascii="Times New Roman" w:hAnsi="Times New Roman" w:eastAsia="仿宋_GB2312" w:cs="Times New Roman"/>
              <w:b/>
              <w:sz w:val="24"/>
              <w:szCs w:val="24"/>
            </w:rPr>
          </w:pPr>
          <w:r>
            <w:fldChar w:fldCharType="begin"/>
          </w:r>
          <w:r>
            <w:instrText xml:space="preserve"> HYPERLINK \l "_Toc18520" </w:instrText>
          </w:r>
          <w:r>
            <w:fldChar w:fldCharType="separate"/>
          </w:r>
          <w:r>
            <w:rPr>
              <w:rFonts w:ascii="Times New Roman" w:hAnsi="Times New Roman" w:eastAsia="仿宋_GB2312" w:cs="Times New Roman"/>
              <w:b/>
              <w:sz w:val="24"/>
              <w:szCs w:val="24"/>
            </w:rPr>
            <w:t>第一部分 部门概况</w:t>
          </w:r>
          <w:r>
            <w:rPr>
              <w:rFonts w:ascii="Times New Roman" w:hAnsi="Times New Roman" w:eastAsia="仿宋_GB2312" w:cs="Times New Roman"/>
              <w:b/>
              <w:sz w:val="24"/>
              <w:szCs w:val="24"/>
            </w:rPr>
            <w:tab/>
          </w:r>
          <w:r>
            <w:rPr>
              <w:rFonts w:ascii="Times New Roman" w:hAnsi="Times New Roman" w:eastAsia="仿宋_GB2312" w:cs="Times New Roman"/>
              <w:b/>
              <w:sz w:val="24"/>
              <w:szCs w:val="24"/>
            </w:rPr>
            <w:fldChar w:fldCharType="begin"/>
          </w:r>
          <w:r>
            <w:rPr>
              <w:rFonts w:ascii="Times New Roman" w:hAnsi="Times New Roman" w:eastAsia="仿宋_GB2312" w:cs="Times New Roman"/>
              <w:b/>
              <w:sz w:val="24"/>
              <w:szCs w:val="24"/>
            </w:rPr>
            <w:instrText xml:space="preserve"> PAGEREF _Toc18520 \h </w:instrText>
          </w:r>
          <w:r>
            <w:rPr>
              <w:rFonts w:ascii="Times New Roman" w:hAnsi="Times New Roman" w:eastAsia="仿宋_GB2312" w:cs="Times New Roman"/>
              <w:b/>
              <w:sz w:val="24"/>
              <w:szCs w:val="24"/>
            </w:rPr>
            <w:fldChar w:fldCharType="separate"/>
          </w:r>
          <w:r>
            <w:rPr>
              <w:rFonts w:ascii="Times New Roman" w:hAnsi="Times New Roman" w:eastAsia="仿宋_GB2312" w:cs="Times New Roman"/>
              <w:b/>
              <w:sz w:val="24"/>
              <w:szCs w:val="24"/>
            </w:rPr>
            <w:t>3</w:t>
          </w:r>
          <w:r>
            <w:rPr>
              <w:rFonts w:ascii="Times New Roman" w:hAnsi="Times New Roman" w:eastAsia="仿宋_GB2312" w:cs="Times New Roman"/>
              <w:b/>
              <w:sz w:val="24"/>
              <w:szCs w:val="24"/>
            </w:rPr>
            <w:fldChar w:fldCharType="end"/>
          </w:r>
          <w:r>
            <w:rPr>
              <w:rFonts w:ascii="Times New Roman" w:hAnsi="Times New Roman" w:eastAsia="仿宋_GB2312" w:cs="Times New Roman"/>
              <w:b/>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"_Toc7397" </w:instrText>
          </w:r>
          <w:r>
            <w:fldChar w:fldCharType="separate"/>
          </w:r>
          <w:r>
            <w:rPr>
              <w:rFonts w:ascii="Times New Roman" w:hAnsi="Times New Roman" w:eastAsia="仿宋_GB2312" w:cs="Times New Roman"/>
              <w:sz w:val="24"/>
              <w:szCs w:val="24"/>
            </w:rPr>
            <w:t>一、部门职责</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_Toc7397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"_Toc30462" </w:instrText>
          </w:r>
          <w:r>
            <w:fldChar w:fldCharType="separate"/>
          </w:r>
          <w:r>
            <w:rPr>
              <w:rFonts w:ascii="Times New Roman" w:hAnsi="Times New Roman" w:eastAsia="仿宋_GB2312" w:cs="Times New Roman"/>
              <w:sz w:val="24"/>
              <w:szCs w:val="24"/>
            </w:rPr>
            <w:t>二、机构设置</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_Toc30462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29"/>
            <w:widowControl w:val="0"/>
            <w:tabs>
              <w:tab w:val="right" w:leader="dot" w:pos="8306"/>
            </w:tabs>
            <w:rPr>
              <w:rFonts w:ascii="Times New Roman" w:hAnsi="Times New Roman" w:eastAsia="仿宋_GB2312" w:cs="Times New Roman"/>
              <w:b/>
              <w:sz w:val="24"/>
              <w:szCs w:val="24"/>
            </w:rPr>
          </w:pPr>
          <w:r>
            <w:fldChar w:fldCharType="begin"/>
          </w:r>
          <w:r>
            <w:instrText xml:space="preserve"> HYPERLINK \l "_Toc13386" </w:instrText>
          </w:r>
          <w:r>
            <w:fldChar w:fldCharType="separate"/>
          </w:r>
          <w:r>
            <w:rPr>
              <w:rFonts w:ascii="Times New Roman" w:hAnsi="Times New Roman" w:eastAsia="仿宋_GB2312" w:cs="Times New Roman"/>
              <w:b/>
              <w:bCs/>
              <w:sz w:val="24"/>
              <w:szCs w:val="24"/>
            </w:rPr>
            <w:t>第二部分 2022年度部门决算情况说明</w:t>
          </w:r>
          <w:r>
            <w:rPr>
              <w:rFonts w:ascii="Times New Roman" w:hAnsi="Times New Roman" w:eastAsia="仿宋_GB2312" w:cs="Times New Roman"/>
              <w:b/>
              <w:sz w:val="24"/>
              <w:szCs w:val="24"/>
            </w:rPr>
            <w:tab/>
          </w:r>
          <w:r>
            <w:rPr>
              <w:rFonts w:ascii="Times New Roman" w:hAnsi="Times New Roman" w:eastAsia="仿宋_GB2312" w:cs="Times New Roman"/>
              <w:b/>
              <w:sz w:val="24"/>
              <w:szCs w:val="24"/>
            </w:rPr>
            <w:fldChar w:fldCharType="begin"/>
          </w:r>
          <w:r>
            <w:rPr>
              <w:rFonts w:ascii="Times New Roman" w:hAnsi="Times New Roman" w:eastAsia="仿宋_GB2312" w:cs="Times New Roman"/>
              <w:b/>
              <w:sz w:val="24"/>
              <w:szCs w:val="24"/>
            </w:rPr>
            <w:instrText xml:space="preserve"> PAGEREF _Toc13386 \h </w:instrText>
          </w:r>
          <w:r>
            <w:rPr>
              <w:rFonts w:ascii="Times New Roman" w:hAnsi="Times New Roman" w:eastAsia="仿宋_GB2312" w:cs="Times New Roman"/>
              <w:b/>
              <w:sz w:val="24"/>
              <w:szCs w:val="24"/>
            </w:rPr>
            <w:fldChar w:fldCharType="separate"/>
          </w:r>
          <w:r>
            <w:rPr>
              <w:rFonts w:ascii="Times New Roman" w:hAnsi="Times New Roman" w:eastAsia="仿宋_GB2312" w:cs="Times New Roman"/>
              <w:b/>
              <w:sz w:val="24"/>
              <w:szCs w:val="24"/>
            </w:rPr>
            <w:t>5</w:t>
          </w:r>
          <w:r>
            <w:rPr>
              <w:rFonts w:ascii="Times New Roman" w:hAnsi="Times New Roman" w:eastAsia="仿宋_GB2312" w:cs="Times New Roman"/>
              <w:b/>
              <w:sz w:val="24"/>
              <w:szCs w:val="24"/>
            </w:rPr>
            <w:fldChar w:fldCharType="end"/>
          </w:r>
          <w:r>
            <w:rPr>
              <w:rFonts w:ascii="Times New Roman" w:hAnsi="Times New Roman" w:eastAsia="仿宋_GB2312" w:cs="Times New Roman"/>
              <w:b/>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"_Toc30653" </w:instrText>
          </w:r>
          <w:r>
            <w:fldChar w:fldCharType="separate"/>
          </w:r>
          <w:r>
            <w:rPr>
              <w:rFonts w:ascii="Times New Roman" w:hAnsi="Times New Roman" w:eastAsia="仿宋_GB2312" w:cs="Times New Roman"/>
              <w:sz w:val="24"/>
              <w:szCs w:val="24"/>
            </w:rPr>
            <w:t>一、 收入支出决算总体情况说明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_Toc30653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5</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"_Toc25008" </w:instrText>
          </w:r>
          <w:r>
            <w:fldChar w:fldCharType="separate"/>
          </w:r>
          <w:r>
            <w:rPr>
              <w:rFonts w:ascii="Times New Roman" w:hAnsi="Times New Roman" w:eastAsia="仿宋_GB2312" w:cs="Times New Roman"/>
              <w:sz w:val="24"/>
              <w:szCs w:val="24"/>
            </w:rPr>
            <w:t>二、 收入决算情况说明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_Toc25008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6</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"_Toc834" </w:instrText>
          </w:r>
          <w:r>
            <w:fldChar w:fldCharType="separate"/>
          </w:r>
          <w:r>
            <w:rPr>
              <w:rFonts w:ascii="Times New Roman" w:hAnsi="Times New Roman" w:eastAsia="仿宋_GB2312" w:cs="Times New Roman"/>
              <w:sz w:val="24"/>
              <w:szCs w:val="24"/>
            </w:rPr>
            <w:t>三、 支出决算情况说明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_Toc834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6</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"_Toc11972" </w:instrText>
          </w:r>
          <w:r>
            <w:fldChar w:fldCharType="separate"/>
          </w:r>
          <w:r>
            <w:rPr>
              <w:rFonts w:ascii="Times New Roman" w:hAnsi="Times New Roman" w:eastAsia="仿宋_GB2312" w:cs="Times New Roman"/>
              <w:sz w:val="24"/>
              <w:szCs w:val="24"/>
            </w:rPr>
            <w:t>四、财政拨款收入支出决算总体情况说明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_Toc11972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7</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"_Toc6906" </w:instrText>
          </w:r>
          <w:r>
            <w:fldChar w:fldCharType="separate"/>
          </w:r>
          <w:r>
            <w:rPr>
              <w:rFonts w:ascii="Times New Roman" w:hAnsi="Times New Roman" w:eastAsia="仿宋_GB2312" w:cs="Times New Roman"/>
              <w:sz w:val="24"/>
              <w:szCs w:val="24"/>
            </w:rPr>
            <w:t>五、一般公共预算财政拨款支出决算情况说明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_Toc6906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7</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"_Toc4396" </w:instrText>
          </w:r>
          <w:r>
            <w:fldChar w:fldCharType="separate"/>
          </w:r>
          <w:r>
            <w:rPr>
              <w:rFonts w:ascii="Times New Roman" w:hAnsi="Times New Roman" w:eastAsia="仿宋_GB2312" w:cs="Times New Roman"/>
              <w:sz w:val="24"/>
              <w:szCs w:val="24"/>
            </w:rPr>
            <w:t>六、一般公共预算财政拨款基本支出决算情况说明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_Toc4396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10</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"_Toc2375" </w:instrText>
          </w:r>
          <w:r>
            <w:fldChar w:fldCharType="separate"/>
          </w:r>
          <w:r>
            <w:rPr>
              <w:rFonts w:ascii="Times New Roman" w:hAnsi="Times New Roman" w:eastAsia="仿宋_GB2312" w:cs="Times New Roman"/>
              <w:sz w:val="24"/>
              <w:szCs w:val="24"/>
            </w:rPr>
            <w:t>七、财政拨款“三公”经费支出决算情况说明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_Toc2375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10</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"_Toc6418" </w:instrText>
          </w:r>
          <w:r>
            <w:fldChar w:fldCharType="separate"/>
          </w:r>
          <w:r>
            <w:rPr>
              <w:rFonts w:ascii="Times New Roman" w:hAnsi="Times New Roman" w:eastAsia="仿宋_GB2312" w:cs="Times New Roman"/>
              <w:sz w:val="24"/>
              <w:szCs w:val="24"/>
            </w:rPr>
            <w:t>八、政府性基金预算支出决算情况说明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_Toc6418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12</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"_Toc14989" </w:instrText>
          </w:r>
          <w:r>
            <w:fldChar w:fldCharType="separate"/>
          </w:r>
          <w:r>
            <w:rPr>
              <w:rFonts w:ascii="Times New Roman" w:hAnsi="Times New Roman" w:eastAsia="仿宋_GB2312" w:cs="Times New Roman"/>
              <w:sz w:val="24"/>
              <w:szCs w:val="24"/>
            </w:rPr>
            <w:t>九、 国有资本经营预算支出决算情况说明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_Toc14989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12</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"_Toc30716" </w:instrText>
          </w:r>
          <w:r>
            <w:fldChar w:fldCharType="separate"/>
          </w:r>
          <w:r>
            <w:rPr>
              <w:rFonts w:ascii="Times New Roman" w:hAnsi="Times New Roman" w:eastAsia="仿宋_GB2312" w:cs="Times New Roman"/>
              <w:sz w:val="24"/>
              <w:szCs w:val="24"/>
            </w:rPr>
            <w:t>十、 其他重要事项的情况说明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_Toc30716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12</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29"/>
            <w:widowControl w:val="0"/>
            <w:tabs>
              <w:tab w:val="right" w:leader="dot" w:pos="8306"/>
            </w:tabs>
            <w:rPr>
              <w:rFonts w:ascii="Times New Roman" w:hAnsi="Times New Roman" w:eastAsia="仿宋_GB2312" w:cs="Times New Roman"/>
              <w:b/>
              <w:sz w:val="24"/>
              <w:szCs w:val="24"/>
            </w:rPr>
          </w:pPr>
          <w:r>
            <w:fldChar w:fldCharType="begin"/>
          </w:r>
          <w:r>
            <w:instrText xml:space="preserve"> HYPERLINK \l "_Toc23740" </w:instrText>
          </w:r>
          <w:r>
            <w:fldChar w:fldCharType="separate"/>
          </w:r>
          <w:r>
            <w:rPr>
              <w:rFonts w:ascii="Times New Roman" w:hAnsi="Times New Roman" w:eastAsia="仿宋_GB2312" w:cs="Times New Roman"/>
              <w:b/>
              <w:sz w:val="24"/>
              <w:szCs w:val="24"/>
            </w:rPr>
            <w:t>第三部分 名词解释</w:t>
          </w:r>
          <w:r>
            <w:rPr>
              <w:rFonts w:ascii="Times New Roman" w:hAnsi="Times New Roman" w:eastAsia="仿宋_GB2312" w:cs="Times New Roman"/>
              <w:b/>
              <w:sz w:val="24"/>
              <w:szCs w:val="24"/>
            </w:rPr>
            <w:tab/>
          </w:r>
          <w:r>
            <w:rPr>
              <w:rFonts w:ascii="Times New Roman" w:hAnsi="Times New Roman" w:eastAsia="仿宋_GB2312" w:cs="Times New Roman"/>
              <w:b/>
              <w:sz w:val="24"/>
              <w:szCs w:val="24"/>
            </w:rPr>
            <w:fldChar w:fldCharType="begin"/>
          </w:r>
          <w:r>
            <w:rPr>
              <w:rFonts w:ascii="Times New Roman" w:hAnsi="Times New Roman" w:eastAsia="仿宋_GB2312" w:cs="Times New Roman"/>
              <w:b/>
              <w:sz w:val="24"/>
              <w:szCs w:val="24"/>
            </w:rPr>
            <w:instrText xml:space="preserve"> PAGEREF _Toc23740 \h </w:instrText>
          </w:r>
          <w:r>
            <w:rPr>
              <w:rFonts w:ascii="Times New Roman" w:hAnsi="Times New Roman" w:eastAsia="仿宋_GB2312" w:cs="Times New Roman"/>
              <w:b/>
              <w:sz w:val="24"/>
              <w:szCs w:val="24"/>
            </w:rPr>
            <w:fldChar w:fldCharType="separate"/>
          </w:r>
          <w:r>
            <w:rPr>
              <w:rFonts w:ascii="Times New Roman" w:hAnsi="Times New Roman" w:eastAsia="仿宋_GB2312" w:cs="Times New Roman"/>
              <w:b/>
              <w:sz w:val="24"/>
              <w:szCs w:val="24"/>
            </w:rPr>
            <w:t>15</w:t>
          </w:r>
          <w:r>
            <w:rPr>
              <w:rFonts w:ascii="Times New Roman" w:hAnsi="Times New Roman" w:eastAsia="仿宋_GB2312" w:cs="Times New Roman"/>
              <w:b/>
              <w:sz w:val="24"/>
              <w:szCs w:val="24"/>
            </w:rPr>
            <w:fldChar w:fldCharType="end"/>
          </w:r>
          <w:r>
            <w:rPr>
              <w:rFonts w:ascii="Times New Roman" w:hAnsi="Times New Roman" w:eastAsia="仿宋_GB2312" w:cs="Times New Roman"/>
              <w:b/>
              <w:sz w:val="24"/>
              <w:szCs w:val="24"/>
            </w:rPr>
            <w:fldChar w:fldCharType="end"/>
          </w:r>
        </w:p>
        <w:p>
          <w:pPr>
            <w:pStyle w:val="29"/>
            <w:widowControl w:val="0"/>
            <w:tabs>
              <w:tab w:val="right" w:leader="dot" w:pos="8306"/>
            </w:tabs>
            <w:rPr>
              <w:rFonts w:ascii="Times New Roman" w:hAnsi="Times New Roman" w:eastAsia="仿宋_GB2312" w:cs="Times New Roman"/>
              <w:b/>
              <w:sz w:val="24"/>
              <w:szCs w:val="24"/>
            </w:rPr>
          </w:pPr>
          <w:r>
            <w:fldChar w:fldCharType="begin"/>
          </w:r>
          <w:r>
            <w:instrText xml:space="preserve"> HYPERLINK \l "_Toc28035" </w:instrText>
          </w:r>
          <w:r>
            <w:fldChar w:fldCharType="separate"/>
          </w:r>
          <w:r>
            <w:rPr>
              <w:rFonts w:ascii="Times New Roman" w:hAnsi="Times New Roman" w:eastAsia="仿宋_GB2312" w:cs="Times New Roman"/>
              <w:b/>
              <w:sz w:val="24"/>
              <w:szCs w:val="24"/>
            </w:rPr>
            <w:t>第四部分 附件</w:t>
          </w:r>
          <w:r>
            <w:rPr>
              <w:rFonts w:ascii="Times New Roman" w:hAnsi="Times New Roman" w:eastAsia="仿宋_GB2312" w:cs="Times New Roman"/>
              <w:b/>
              <w:sz w:val="24"/>
              <w:szCs w:val="24"/>
            </w:rPr>
            <w:tab/>
          </w:r>
          <w:r>
            <w:rPr>
              <w:rFonts w:ascii="Times New Roman" w:hAnsi="Times New Roman" w:eastAsia="仿宋_GB2312" w:cs="Times New Roman"/>
              <w:b/>
              <w:sz w:val="24"/>
              <w:szCs w:val="24"/>
            </w:rPr>
            <w:fldChar w:fldCharType="begin"/>
          </w:r>
          <w:r>
            <w:rPr>
              <w:rFonts w:ascii="Times New Roman" w:hAnsi="Times New Roman" w:eastAsia="仿宋_GB2312" w:cs="Times New Roman"/>
              <w:b/>
              <w:sz w:val="24"/>
              <w:szCs w:val="24"/>
            </w:rPr>
            <w:instrText xml:space="preserve"> PAGEREF _Toc28035 \h </w:instrText>
          </w:r>
          <w:r>
            <w:rPr>
              <w:rFonts w:ascii="Times New Roman" w:hAnsi="Times New Roman" w:eastAsia="仿宋_GB2312" w:cs="Times New Roman"/>
              <w:b/>
              <w:sz w:val="24"/>
              <w:szCs w:val="24"/>
            </w:rPr>
            <w:fldChar w:fldCharType="separate"/>
          </w:r>
          <w:r>
            <w:rPr>
              <w:rFonts w:ascii="Times New Roman" w:hAnsi="Times New Roman" w:eastAsia="仿宋_GB2312" w:cs="Times New Roman"/>
              <w:b/>
              <w:sz w:val="24"/>
              <w:szCs w:val="24"/>
            </w:rPr>
            <w:t>19</w:t>
          </w:r>
          <w:r>
            <w:rPr>
              <w:rFonts w:ascii="Times New Roman" w:hAnsi="Times New Roman" w:eastAsia="仿宋_GB2312" w:cs="Times New Roman"/>
              <w:b/>
              <w:sz w:val="24"/>
              <w:szCs w:val="24"/>
            </w:rPr>
            <w:fldChar w:fldCharType="end"/>
          </w:r>
          <w:r>
            <w:rPr>
              <w:rFonts w:ascii="Times New Roman" w:hAnsi="Times New Roman" w:eastAsia="仿宋_GB2312" w:cs="Times New Roman"/>
              <w:b/>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"_Toc26800" </w:instrText>
          </w:r>
          <w:r>
            <w:fldChar w:fldCharType="separate"/>
          </w:r>
          <w:r>
            <w:rPr>
              <w:rFonts w:ascii="Times New Roman" w:hAnsi="Times New Roman" w:eastAsia="仿宋_GB2312" w:cs="Times New Roman"/>
              <w:sz w:val="24"/>
              <w:szCs w:val="24"/>
            </w:rPr>
            <w:t>附件</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_Toc26800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19</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29"/>
            <w:widowControl w:val="0"/>
            <w:tabs>
              <w:tab w:val="right" w:leader="dot" w:pos="8306"/>
            </w:tabs>
            <w:rPr>
              <w:rFonts w:ascii="Times New Roman" w:hAnsi="Times New Roman" w:eastAsia="仿宋_GB2312" w:cs="Times New Roman"/>
              <w:b/>
              <w:sz w:val="24"/>
              <w:szCs w:val="24"/>
            </w:rPr>
          </w:pPr>
          <w:r>
            <w:fldChar w:fldCharType="begin"/>
          </w:r>
          <w:r>
            <w:instrText xml:space="preserve"> HYPERLINK \l "_Toc22884" </w:instrText>
          </w:r>
          <w:r>
            <w:fldChar w:fldCharType="separate"/>
          </w:r>
          <w:r>
            <w:rPr>
              <w:rFonts w:ascii="Times New Roman" w:hAnsi="Times New Roman" w:eastAsia="仿宋_GB2312" w:cs="Times New Roman"/>
              <w:b/>
              <w:sz w:val="24"/>
              <w:szCs w:val="24"/>
            </w:rPr>
            <w:t>第五部分 附表</w:t>
          </w:r>
          <w:r>
            <w:rPr>
              <w:rFonts w:ascii="Times New Roman" w:hAnsi="Times New Roman" w:eastAsia="仿宋_GB2312" w:cs="Times New Roman"/>
              <w:b/>
              <w:sz w:val="24"/>
              <w:szCs w:val="24"/>
            </w:rPr>
            <w:tab/>
          </w:r>
          <w:r>
            <w:rPr>
              <w:rFonts w:hint="eastAsia" w:ascii="Times New Roman" w:hAnsi="Times New Roman" w:eastAsia="仿宋_GB2312" w:cs="Times New Roman"/>
              <w:b/>
              <w:sz w:val="24"/>
              <w:szCs w:val="24"/>
            </w:rPr>
            <w:t>4</w:t>
          </w:r>
          <w:r>
            <w:rPr>
              <w:rFonts w:hint="eastAsia" w:ascii="Times New Roman" w:hAnsi="Times New Roman" w:eastAsia="仿宋_GB2312" w:cs="Times New Roman"/>
              <w:b/>
              <w:sz w:val="24"/>
              <w:szCs w:val="24"/>
            </w:rPr>
            <w:fldChar w:fldCharType="end"/>
          </w:r>
          <w:r>
            <w:rPr>
              <w:rFonts w:hint="eastAsia" w:ascii="Times New Roman" w:hAnsi="Times New Roman" w:eastAsia="仿宋_GB2312" w:cs="Times New Roman"/>
              <w:b/>
              <w:sz w:val="24"/>
              <w:szCs w:val="24"/>
            </w:rPr>
            <w:t>3</w:t>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"_Toc2757" </w:instrText>
          </w:r>
          <w:r>
            <w:fldChar w:fldCharType="separate"/>
          </w:r>
          <w:r>
            <w:rPr>
              <w:rFonts w:ascii="Times New Roman" w:hAnsi="Times New Roman" w:eastAsia="仿宋_GB2312" w:cs="Times New Roman"/>
              <w:sz w:val="24"/>
              <w:szCs w:val="24"/>
            </w:rPr>
            <w:t>一、收入支出决算总表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_Toc2757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"_Toc29781" </w:instrText>
          </w:r>
          <w:r>
            <w:fldChar w:fldCharType="separate"/>
          </w:r>
          <w:r>
            <w:rPr>
              <w:rFonts w:ascii="Times New Roman" w:hAnsi="Times New Roman" w:eastAsia="仿宋_GB2312" w:cs="Times New Roman"/>
              <w:sz w:val="24"/>
              <w:szCs w:val="24"/>
            </w:rPr>
            <w:t>二、收入决算表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_Toc29781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"_Toc32502" </w:instrText>
          </w:r>
          <w:r>
            <w:fldChar w:fldCharType="separate"/>
          </w:r>
          <w:r>
            <w:rPr>
              <w:rFonts w:ascii="Times New Roman" w:hAnsi="Times New Roman" w:eastAsia="仿宋_GB2312" w:cs="Times New Roman"/>
              <w:sz w:val="24"/>
              <w:szCs w:val="24"/>
            </w:rPr>
            <w:t>三、支出决算表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_Toc32502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"_Toc2005" </w:instrText>
          </w:r>
          <w:r>
            <w:fldChar w:fldCharType="separate"/>
          </w:r>
          <w:r>
            <w:rPr>
              <w:rFonts w:ascii="Times New Roman" w:hAnsi="Times New Roman" w:eastAsia="仿宋_GB2312" w:cs="Times New Roman"/>
              <w:sz w:val="24"/>
              <w:szCs w:val="24"/>
            </w:rPr>
            <w:t>四、财政拨款收入支出决算总表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_Toc2005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"_Toc14055" </w:instrText>
          </w:r>
          <w:r>
            <w:fldChar w:fldCharType="separate"/>
          </w:r>
          <w:r>
            <w:rPr>
              <w:rFonts w:ascii="Times New Roman" w:hAnsi="Times New Roman" w:eastAsia="仿宋_GB2312" w:cs="Times New Roman"/>
              <w:sz w:val="24"/>
              <w:szCs w:val="24"/>
            </w:rPr>
            <w:t>五、财政拨款支出决算明细表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_Toc14055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"_Toc16595" </w:instrText>
          </w:r>
          <w:r>
            <w:fldChar w:fldCharType="separate"/>
          </w:r>
          <w:r>
            <w:rPr>
              <w:rFonts w:ascii="Times New Roman" w:hAnsi="Times New Roman" w:eastAsia="仿宋_GB2312" w:cs="Times New Roman"/>
              <w:sz w:val="24"/>
              <w:szCs w:val="24"/>
            </w:rPr>
            <w:t>六、一般公共预算财政拨款支出决算表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_Toc16595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"_Toc16663" </w:instrText>
          </w:r>
          <w:r>
            <w:fldChar w:fldCharType="separate"/>
          </w:r>
          <w:r>
            <w:rPr>
              <w:rFonts w:ascii="Times New Roman" w:hAnsi="Times New Roman" w:eastAsia="仿宋_GB2312" w:cs="Times New Roman"/>
              <w:sz w:val="24"/>
              <w:szCs w:val="24"/>
            </w:rPr>
            <w:t>七、一般公共预算财政拨款支出决算明细表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_Toc16663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"_Toc31712" </w:instrText>
          </w:r>
          <w:r>
            <w:fldChar w:fldCharType="separate"/>
          </w:r>
          <w:r>
            <w:rPr>
              <w:rFonts w:ascii="Times New Roman" w:hAnsi="Times New Roman" w:eastAsia="仿宋_GB2312" w:cs="Times New Roman"/>
              <w:sz w:val="24"/>
              <w:szCs w:val="24"/>
            </w:rPr>
            <w:t>八、一般公共预算财政拨款基本支出决算表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_Toc31712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"_Toc6077" </w:instrText>
          </w:r>
          <w:r>
            <w:fldChar w:fldCharType="separate"/>
          </w:r>
          <w:r>
            <w:rPr>
              <w:rFonts w:ascii="Times New Roman" w:hAnsi="Times New Roman" w:eastAsia="仿宋_GB2312" w:cs="Times New Roman"/>
              <w:sz w:val="24"/>
              <w:szCs w:val="24"/>
            </w:rPr>
            <w:t>九、一般公共预算财政拨款项目支出决算表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_Toc6077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"_Toc8880" </w:instrText>
          </w:r>
          <w:r>
            <w:fldChar w:fldCharType="separate"/>
          </w:r>
          <w:r>
            <w:rPr>
              <w:rFonts w:ascii="Times New Roman" w:hAnsi="Times New Roman" w:eastAsia="仿宋_GB2312" w:cs="Times New Roman"/>
              <w:sz w:val="24"/>
              <w:szCs w:val="24"/>
            </w:rPr>
            <w:t>十、政府性基金预算财政拨款收入支出决算表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_Toc8880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"_Toc23717" </w:instrText>
          </w:r>
          <w:r>
            <w:fldChar w:fldCharType="separate"/>
          </w:r>
          <w:r>
            <w:rPr>
              <w:rFonts w:ascii="Times New Roman" w:hAnsi="Times New Roman" w:eastAsia="仿宋_GB2312" w:cs="Times New Roman"/>
              <w:sz w:val="24"/>
              <w:szCs w:val="24"/>
            </w:rPr>
            <w:t>十一、国有资本经营预算财政拨款收入支出决算表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_Toc23717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"_Toc31497" </w:instrText>
          </w:r>
          <w:r>
            <w:fldChar w:fldCharType="separate"/>
          </w:r>
          <w:r>
            <w:rPr>
              <w:rFonts w:ascii="Times New Roman" w:hAnsi="Times New Roman" w:eastAsia="仿宋_GB2312" w:cs="Times New Roman"/>
              <w:sz w:val="24"/>
              <w:szCs w:val="24"/>
            </w:rPr>
            <w:t>十二、国有资本经营预算财政拨款支出决算表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_Toc31497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0"/>
            <w:widowControl w:val="0"/>
            <w:tabs>
              <w:tab w:val="right" w:leader="dot" w:pos="8306"/>
            </w:tabs>
            <w:ind w:left="420"/>
            <w:rPr>
              <w:rFonts w:ascii="Times New Roman" w:hAnsi="Times New Roman" w:eastAsia="仿宋_GB2312" w:cs="Times New Roman"/>
              <w:sz w:val="24"/>
              <w:szCs w:val="24"/>
            </w:rPr>
          </w:pPr>
          <w:r>
            <w:fldChar w:fldCharType="begin"/>
          </w:r>
          <w:r>
            <w:instrText xml:space="preserve"> HYPERLINK \l "_Toc25862" </w:instrText>
          </w:r>
          <w:r>
            <w:fldChar w:fldCharType="separate"/>
          </w:r>
          <w:r>
            <w:rPr>
              <w:rFonts w:ascii="Times New Roman" w:hAnsi="Times New Roman" w:eastAsia="仿宋_GB2312" w:cs="Times New Roman"/>
              <w:sz w:val="24"/>
              <w:szCs w:val="24"/>
            </w:rPr>
            <w:t>十三、财政拨款“三公”经费支出决算表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_Toc25862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43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rPr>
              <w:rFonts w:eastAsia="仿宋_GB2312"/>
            </w:rPr>
          </w:pPr>
          <w:r>
            <w:rPr>
              <w:rFonts w:eastAsia="仿宋_GB2312"/>
              <w:b/>
              <w:sz w:val="24"/>
            </w:rPr>
            <w:fldChar w:fldCharType="end"/>
          </w:r>
        </w:p>
      </w:sdtContent>
    </w:sdt>
    <w:p>
      <w:pPr>
        <w:widowControl/>
        <w:jc w:val="left"/>
        <w:rPr>
          <w:rFonts w:eastAsia="方正小标宋简体"/>
          <w:bCs/>
          <w:kern w:val="44"/>
          <w:sz w:val="44"/>
          <w:szCs w:val="44"/>
        </w:rPr>
      </w:pPr>
      <w:bookmarkStart w:id="16" w:name="_Toc18520"/>
      <w:r>
        <w:rPr>
          <w:rFonts w:eastAsia="方正小标宋简体"/>
          <w:b/>
        </w:rPr>
        <w:br w:type="page"/>
      </w:r>
    </w:p>
    <w:p>
      <w:pPr>
        <w:pStyle w:val="3"/>
        <w:keepNext w:val="0"/>
        <w:keepLines w:val="0"/>
        <w:spacing w:before="0" w:after="0" w:line="600" w:lineRule="exact"/>
        <w:jc w:val="center"/>
        <w:rPr>
          <w:rFonts w:eastAsia="方正小标宋简体"/>
          <w:sz w:val="32"/>
          <w:szCs w:val="32"/>
        </w:rPr>
      </w:pPr>
      <w:r>
        <w:rPr>
          <w:rFonts w:eastAsia="方正小标宋简体"/>
          <w:b w:val="0"/>
        </w:rPr>
        <w:t xml:space="preserve">第一部分 </w:t>
      </w:r>
      <w:r>
        <w:rPr>
          <w:rStyle w:val="18"/>
          <w:rFonts w:eastAsia="方正小标宋简体"/>
          <w:b w:val="0"/>
          <w:bCs w:val="0"/>
        </w:rPr>
        <w:t>部门概况</w:t>
      </w:r>
      <w:bookmarkEnd w:id="14"/>
      <w:bookmarkEnd w:id="15"/>
      <w:bookmarkEnd w:id="16"/>
    </w:p>
    <w:p>
      <w:pPr>
        <w:pStyle w:val="4"/>
        <w:keepNext w:val="0"/>
        <w:keepLines w:val="0"/>
        <w:spacing w:before="0" w:after="0" w:line="600" w:lineRule="exact"/>
        <w:ind w:firstLine="640" w:firstLineChars="200"/>
        <w:rPr>
          <w:rFonts w:ascii="Times New Roman" w:hAnsi="Times New Roman" w:eastAsia="黑体"/>
          <w:b w:val="0"/>
        </w:rPr>
      </w:pPr>
      <w:bookmarkStart w:id="17" w:name="_Toc15377197"/>
      <w:bookmarkEnd w:id="17"/>
      <w:bookmarkStart w:id="18" w:name="_Toc15396600"/>
      <w:bookmarkEnd w:id="18"/>
      <w:bookmarkStart w:id="19" w:name="_Toc7397"/>
    </w:p>
    <w:p>
      <w:pPr>
        <w:pStyle w:val="4"/>
        <w:keepNext w:val="0"/>
        <w:keepLines w:val="0"/>
        <w:spacing w:before="0" w:after="0" w:line="600" w:lineRule="exact"/>
        <w:ind w:firstLine="640" w:firstLineChars="200"/>
        <w:rPr>
          <w:rFonts w:ascii="Times New Roman" w:hAnsi="Times New Roman" w:eastAsia="黑体"/>
          <w:b w:val="0"/>
        </w:rPr>
      </w:pPr>
      <w:r>
        <w:rPr>
          <w:rFonts w:ascii="Times New Roman" w:hAnsi="黑体" w:eastAsia="黑体"/>
          <w:b w:val="0"/>
        </w:rPr>
        <w:t>一、部门职责</w:t>
      </w:r>
      <w:bookmarkEnd w:id="19"/>
    </w:p>
    <w:p>
      <w:pPr>
        <w:spacing w:line="560" w:lineRule="exact"/>
        <w:ind w:firstLine="640" w:firstLineChars="200"/>
        <w:rPr>
          <w:rFonts w:eastAsia="仿宋_GB2312"/>
          <w:sz w:val="32"/>
          <w:szCs w:val="32"/>
        </w:rPr>
      </w:pPr>
      <w:r>
        <w:rPr>
          <w:rFonts w:eastAsia="仿宋_GB2312"/>
          <w:sz w:val="32"/>
          <w:szCs w:val="32"/>
        </w:rPr>
        <w:t>1.协助市政府领导同志组织起草或审核以市政府、市政府办公室名义发布的公文。办理省政府、省政府办公厅及各厅委局办发送市政府的文电。指导全市行政机关公文处理工作。</w:t>
      </w:r>
    </w:p>
    <w:p>
      <w:pPr>
        <w:spacing w:line="560" w:lineRule="exact"/>
        <w:ind w:firstLine="640" w:firstLineChars="200"/>
        <w:rPr>
          <w:rFonts w:eastAsia="仿宋_GB2312"/>
          <w:sz w:val="32"/>
          <w:szCs w:val="32"/>
        </w:rPr>
      </w:pPr>
      <w:r>
        <w:rPr>
          <w:rFonts w:eastAsia="仿宋_GB2312"/>
          <w:sz w:val="32"/>
          <w:szCs w:val="32"/>
        </w:rPr>
        <w:t>2.研究市政府部门和县（区）人民政府请示市政府的事项，提出审核处理意见，报市政府领导同志审批。</w:t>
      </w:r>
    </w:p>
    <w:p>
      <w:pPr>
        <w:spacing w:line="560" w:lineRule="exact"/>
        <w:ind w:firstLine="640" w:firstLineChars="200"/>
        <w:rPr>
          <w:rFonts w:eastAsia="仿宋_GB2312"/>
          <w:sz w:val="32"/>
          <w:szCs w:val="32"/>
        </w:rPr>
      </w:pPr>
      <w:r>
        <w:rPr>
          <w:rFonts w:eastAsia="仿宋_GB2312"/>
          <w:sz w:val="32"/>
          <w:szCs w:val="32"/>
        </w:rPr>
        <w:t>3.负责市政府会议的会务工作，协助市政府领导同志组织实施会议决定事项。</w:t>
      </w:r>
    </w:p>
    <w:p>
      <w:pPr>
        <w:spacing w:line="560" w:lineRule="exact"/>
        <w:ind w:firstLine="640" w:firstLineChars="200"/>
        <w:rPr>
          <w:rFonts w:eastAsia="仿宋_GB2312"/>
          <w:sz w:val="32"/>
          <w:szCs w:val="32"/>
        </w:rPr>
      </w:pPr>
      <w:r>
        <w:rPr>
          <w:rFonts w:eastAsia="仿宋_GB2312"/>
          <w:sz w:val="32"/>
          <w:szCs w:val="32"/>
        </w:rPr>
        <w:t>4.督促检查市政府部门和县（区）人民政府对市政府文件、会议决定事项及市政府领导同志有关指示的贯彻落实情况，及时向市政府领导同志报告。</w:t>
      </w:r>
    </w:p>
    <w:p>
      <w:pPr>
        <w:spacing w:line="560" w:lineRule="exact"/>
        <w:ind w:firstLine="640" w:firstLineChars="200"/>
        <w:rPr>
          <w:rFonts w:eastAsia="仿宋_GB2312"/>
          <w:sz w:val="32"/>
          <w:szCs w:val="32"/>
        </w:rPr>
      </w:pPr>
      <w:r>
        <w:rPr>
          <w:rFonts w:eastAsia="仿宋_GB2312"/>
          <w:sz w:val="32"/>
          <w:szCs w:val="32"/>
        </w:rPr>
        <w:t>5.根据市政府领导同志的指示，对市政府部门间争议问题提出处理意见和建议，报市政府领导同志决定。</w:t>
      </w:r>
    </w:p>
    <w:p>
      <w:pPr>
        <w:spacing w:line="560" w:lineRule="exact"/>
        <w:ind w:firstLine="640" w:firstLineChars="200"/>
        <w:rPr>
          <w:rFonts w:eastAsia="仿宋_GB2312"/>
          <w:sz w:val="32"/>
          <w:szCs w:val="32"/>
        </w:rPr>
      </w:pPr>
      <w:r>
        <w:rPr>
          <w:rFonts w:eastAsia="仿宋_GB2312"/>
          <w:sz w:val="32"/>
          <w:szCs w:val="32"/>
        </w:rPr>
        <w:t>6.做好机关信访工作，及时向市政府领导同志报告群众来信来访反映的重要问题和提出的重要建议，并协调有关部门和县（区）处理群众来信来访反映的问题。</w:t>
      </w:r>
    </w:p>
    <w:p>
      <w:pPr>
        <w:spacing w:line="560" w:lineRule="exact"/>
        <w:ind w:firstLine="640" w:firstLineChars="200"/>
        <w:rPr>
          <w:rFonts w:eastAsia="仿宋_GB2312"/>
          <w:sz w:val="32"/>
          <w:szCs w:val="32"/>
        </w:rPr>
      </w:pPr>
      <w:r>
        <w:rPr>
          <w:rFonts w:eastAsia="仿宋_GB2312"/>
          <w:sz w:val="32"/>
          <w:szCs w:val="32"/>
        </w:rPr>
        <w:t>7.负责市政府值班工作，指导县（区）人民政府和市政府部门值班工作，及时向市政府领导同志报告重要情况，并协调处理各部门和各县（区）向市政府反映的重要问题。</w:t>
      </w:r>
    </w:p>
    <w:p>
      <w:pPr>
        <w:spacing w:line="560" w:lineRule="exact"/>
        <w:ind w:firstLine="640" w:firstLineChars="200"/>
        <w:rPr>
          <w:rFonts w:eastAsia="仿宋_GB2312"/>
          <w:sz w:val="32"/>
          <w:szCs w:val="32"/>
        </w:rPr>
      </w:pPr>
      <w:r>
        <w:rPr>
          <w:rFonts w:eastAsia="仿宋_GB2312"/>
          <w:sz w:val="32"/>
          <w:szCs w:val="32"/>
        </w:rPr>
        <w:t>8.围绕全市经济和社会发展规划，市委、市政府的重大决策部署，市委、市政府中心工作和市委、市政府领导同志的指示，组织专题调查研究，及时反映情况，提出决策建议。</w:t>
      </w:r>
    </w:p>
    <w:p>
      <w:pPr>
        <w:spacing w:line="580" w:lineRule="exact"/>
        <w:ind w:firstLine="640" w:firstLineChars="200"/>
        <w:rPr>
          <w:rFonts w:eastAsia="仿宋_GB2312"/>
          <w:sz w:val="32"/>
          <w:szCs w:val="32"/>
        </w:rPr>
      </w:pPr>
      <w:r>
        <w:rPr>
          <w:rFonts w:eastAsia="仿宋_GB2312"/>
          <w:sz w:val="32"/>
          <w:szCs w:val="32"/>
        </w:rPr>
        <w:t>9.组织、协调目标绩效管理部门对市政府下达给各（县）区和市政府各部门目标任务的分解、指导、协调、检查、考核。</w:t>
      </w:r>
    </w:p>
    <w:p>
      <w:pPr>
        <w:spacing w:line="580" w:lineRule="exact"/>
        <w:ind w:firstLine="640" w:firstLineChars="200"/>
        <w:rPr>
          <w:rFonts w:eastAsia="仿宋_GB2312"/>
          <w:sz w:val="32"/>
          <w:szCs w:val="32"/>
        </w:rPr>
      </w:pPr>
      <w:r>
        <w:rPr>
          <w:rFonts w:eastAsia="仿宋_GB2312"/>
          <w:sz w:val="32"/>
          <w:szCs w:val="32"/>
        </w:rPr>
        <w:t>10.组织、协调目标绩效管理部门办理涉及市政府工作的人大代表议案和建议、批评、意见和政协委员提案、建议案。</w:t>
      </w:r>
    </w:p>
    <w:p>
      <w:pPr>
        <w:spacing w:line="580" w:lineRule="exact"/>
        <w:ind w:firstLine="640" w:firstLineChars="200"/>
        <w:rPr>
          <w:rFonts w:eastAsia="仿宋_GB2312"/>
          <w:sz w:val="32"/>
          <w:szCs w:val="32"/>
        </w:rPr>
      </w:pPr>
      <w:r>
        <w:rPr>
          <w:rFonts w:eastAsia="仿宋_GB2312"/>
          <w:sz w:val="32"/>
          <w:szCs w:val="32"/>
        </w:rPr>
        <w:t>11.指导、监督全市政府信息公开工作。</w:t>
      </w:r>
    </w:p>
    <w:p>
      <w:pPr>
        <w:spacing w:line="580" w:lineRule="exact"/>
        <w:ind w:firstLine="640" w:firstLineChars="200"/>
        <w:rPr>
          <w:rFonts w:eastAsia="仿宋_GB2312"/>
          <w:sz w:val="32"/>
          <w:szCs w:val="32"/>
        </w:rPr>
      </w:pPr>
      <w:r>
        <w:rPr>
          <w:rFonts w:eastAsia="仿宋_GB2312"/>
          <w:sz w:val="32"/>
          <w:szCs w:val="32"/>
        </w:rPr>
        <w:t>12.指导、监督全市政府系统电子政务发展和政府系统网站建设工作。</w:t>
      </w:r>
    </w:p>
    <w:p>
      <w:pPr>
        <w:spacing w:line="580" w:lineRule="exact"/>
        <w:ind w:firstLine="640" w:firstLineChars="200"/>
        <w:rPr>
          <w:rFonts w:eastAsia="仿宋_GB2312"/>
          <w:sz w:val="32"/>
          <w:szCs w:val="32"/>
        </w:rPr>
      </w:pPr>
      <w:r>
        <w:rPr>
          <w:rFonts w:eastAsia="仿宋_GB2312"/>
          <w:sz w:val="32"/>
          <w:szCs w:val="32"/>
        </w:rPr>
        <w:t>13.指导全市应急管理工作，协助市政府领导同志做好需由市政府组织处理的突发事件、重大事故的应急处置工作。</w:t>
      </w:r>
    </w:p>
    <w:p>
      <w:pPr>
        <w:spacing w:line="580" w:lineRule="exact"/>
        <w:ind w:firstLine="640" w:firstLineChars="200"/>
        <w:rPr>
          <w:rFonts w:eastAsia="仿宋_GB2312"/>
          <w:sz w:val="32"/>
          <w:szCs w:val="32"/>
        </w:rPr>
      </w:pPr>
      <w:r>
        <w:rPr>
          <w:rFonts w:eastAsia="仿宋_GB2312"/>
          <w:sz w:val="32"/>
          <w:szCs w:val="32"/>
        </w:rPr>
        <w:t>14.指导县（区）政府和市政府部门办公室的工作。</w:t>
      </w:r>
    </w:p>
    <w:p>
      <w:pPr>
        <w:spacing w:line="580" w:lineRule="exact"/>
        <w:ind w:firstLine="640" w:firstLineChars="200"/>
        <w:rPr>
          <w:rFonts w:eastAsia="仿宋_GB2312"/>
          <w:sz w:val="32"/>
          <w:szCs w:val="32"/>
        </w:rPr>
      </w:pPr>
      <w:r>
        <w:rPr>
          <w:rFonts w:eastAsia="仿宋_GB2312"/>
          <w:sz w:val="32"/>
          <w:szCs w:val="32"/>
        </w:rPr>
        <w:t>15.办理市政府和市政府领导同志交办的其</w:t>
      </w:r>
      <w:r>
        <w:rPr>
          <w:rFonts w:hint="eastAsia" w:eastAsia="仿宋_GB2312"/>
          <w:sz w:val="32"/>
          <w:szCs w:val="32"/>
        </w:rPr>
        <w:t>他</w:t>
      </w:r>
      <w:r>
        <w:rPr>
          <w:rFonts w:eastAsia="仿宋_GB2312"/>
          <w:sz w:val="32"/>
          <w:szCs w:val="32"/>
        </w:rPr>
        <w:t>事项。</w:t>
      </w:r>
      <w:bookmarkStart w:id="20" w:name="_Toc15377200"/>
      <w:bookmarkStart w:id="21" w:name="_Toc30462"/>
      <w:bookmarkStart w:id="22" w:name="_Toc15396601"/>
    </w:p>
    <w:p>
      <w:pPr>
        <w:spacing w:line="580" w:lineRule="exact"/>
        <w:ind w:firstLine="640" w:firstLineChars="200"/>
        <w:rPr>
          <w:rStyle w:val="19"/>
          <w:rFonts w:ascii="Times New Roman" w:hAnsi="Times New Roman" w:eastAsia="黑体"/>
        </w:rPr>
      </w:pPr>
      <w:r>
        <w:rPr>
          <w:rFonts w:hAnsi="黑体" w:eastAsia="黑体"/>
          <w:sz w:val="32"/>
          <w:szCs w:val="32"/>
        </w:rPr>
        <w:t>二、机</w:t>
      </w:r>
      <w:r>
        <w:rPr>
          <w:rStyle w:val="19"/>
          <w:rFonts w:ascii="Times New Roman" w:hAnsi="黑体" w:eastAsia="黑体"/>
          <w:b w:val="0"/>
          <w:bCs w:val="0"/>
        </w:rPr>
        <w:t>构设置</w:t>
      </w:r>
      <w:bookmarkEnd w:id="20"/>
      <w:bookmarkEnd w:id="21"/>
      <w:bookmarkEnd w:id="22"/>
    </w:p>
    <w:p>
      <w:pPr>
        <w:pStyle w:val="2"/>
        <w:adjustRightInd w:val="0"/>
        <w:snapToGrid w:val="0"/>
        <w:spacing w:beforeLines="0" w:line="580" w:lineRule="exact"/>
        <w:ind w:firstLine="665" w:firstLineChars="208"/>
        <w:rPr>
          <w:rFonts w:ascii="Times New Roman"/>
          <w:sz w:val="32"/>
          <w:szCs w:val="32"/>
        </w:rPr>
      </w:pPr>
      <w:r>
        <w:rPr>
          <w:rFonts w:ascii="Times New Roman"/>
          <w:sz w:val="32"/>
          <w:szCs w:val="32"/>
        </w:rPr>
        <w:t>巴中市人民政府办公室（以下简称市政府办公室）设17个内设科室和机关党委、机关党委办公室及2个行政机构。</w:t>
      </w:r>
      <w:bookmarkStart w:id="23" w:name="_Toc13386"/>
      <w:bookmarkStart w:id="24" w:name="_Toc15377204"/>
      <w:bookmarkStart w:id="25" w:name="_Toc15396602"/>
    </w:p>
    <w:p>
      <w:pPr>
        <w:pStyle w:val="2"/>
        <w:adjustRightInd w:val="0"/>
        <w:snapToGrid w:val="0"/>
        <w:spacing w:beforeLines="0" w:line="580" w:lineRule="exact"/>
        <w:ind w:firstLine="665" w:firstLineChars="208"/>
        <w:rPr>
          <w:rFonts w:ascii="Times New Roman"/>
          <w:sz w:val="32"/>
          <w:szCs w:val="32"/>
          <w:highlight w:val="yellow"/>
        </w:rPr>
      </w:pPr>
    </w:p>
    <w:p>
      <w:pPr>
        <w:rPr>
          <w:sz w:val="32"/>
          <w:szCs w:val="32"/>
        </w:rPr>
      </w:pPr>
    </w:p>
    <w:p>
      <w:pPr>
        <w:pStyle w:val="2"/>
        <w:spacing w:before="93"/>
        <w:rPr>
          <w:rFonts w:ascii="Times New Roman"/>
          <w:sz w:val="32"/>
          <w:szCs w:val="32"/>
        </w:rPr>
      </w:pPr>
    </w:p>
    <w:p>
      <w:pPr>
        <w:jc w:val="left"/>
        <w:rPr>
          <w:sz w:val="32"/>
          <w:szCs w:val="32"/>
        </w:rPr>
      </w:pPr>
      <w:r>
        <w:rPr>
          <w:sz w:val="32"/>
          <w:szCs w:val="32"/>
        </w:rPr>
        <w:br w:type="page"/>
      </w:r>
    </w:p>
    <w:p>
      <w:pPr>
        <w:pStyle w:val="2"/>
        <w:adjustRightInd w:val="0"/>
        <w:snapToGrid w:val="0"/>
        <w:spacing w:beforeLines="0" w:line="580" w:lineRule="exact"/>
        <w:jc w:val="center"/>
        <w:rPr>
          <w:rFonts w:ascii="Times New Roman" w:eastAsia="方正小标宋简体"/>
          <w:bCs/>
          <w:kern w:val="44"/>
          <w:sz w:val="44"/>
          <w:szCs w:val="44"/>
        </w:rPr>
      </w:pPr>
      <w:r>
        <w:rPr>
          <w:rFonts w:ascii="Times New Roman" w:eastAsia="方正小标宋简体"/>
          <w:bCs/>
          <w:kern w:val="44"/>
          <w:sz w:val="44"/>
          <w:szCs w:val="44"/>
        </w:rPr>
        <w:t>第二部分 2022年度部门决算</w:t>
      </w:r>
    </w:p>
    <w:p>
      <w:pPr>
        <w:pStyle w:val="2"/>
        <w:adjustRightInd w:val="0"/>
        <w:snapToGrid w:val="0"/>
        <w:spacing w:beforeLines="0" w:line="580" w:lineRule="exact"/>
        <w:jc w:val="center"/>
        <w:rPr>
          <w:rFonts w:ascii="Times New Roman" w:eastAsia="方正小标宋简体"/>
          <w:bCs/>
          <w:kern w:val="44"/>
          <w:sz w:val="44"/>
          <w:szCs w:val="44"/>
        </w:rPr>
      </w:pPr>
      <w:r>
        <w:rPr>
          <w:rFonts w:ascii="Times New Roman" w:eastAsia="方正小标宋简体"/>
          <w:bCs/>
          <w:kern w:val="44"/>
          <w:sz w:val="44"/>
          <w:szCs w:val="44"/>
        </w:rPr>
        <w:t>情况说明</w:t>
      </w:r>
      <w:bookmarkEnd w:id="23"/>
      <w:bookmarkEnd w:id="24"/>
      <w:bookmarkEnd w:id="25"/>
    </w:p>
    <w:p>
      <w:pPr>
        <w:spacing w:line="580" w:lineRule="exact"/>
        <w:rPr>
          <w:rFonts w:eastAsia="仿宋_GB2312"/>
        </w:rPr>
      </w:pPr>
    </w:p>
    <w:p>
      <w:pPr>
        <w:pStyle w:val="25"/>
        <w:numPr>
          <w:ilvl w:val="0"/>
          <w:numId w:val="1"/>
        </w:numPr>
        <w:spacing w:line="580" w:lineRule="exact"/>
        <w:ind w:firstLineChars="0"/>
        <w:outlineLvl w:val="1"/>
        <w:rPr>
          <w:rStyle w:val="19"/>
          <w:rFonts w:ascii="Times New Roman" w:hAnsi="Times New Roman" w:eastAsia="黑体"/>
          <w:b w:val="0"/>
        </w:rPr>
      </w:pPr>
      <w:bookmarkStart w:id="26" w:name="_Toc15377205"/>
      <w:bookmarkStart w:id="27" w:name="_Toc15396603"/>
      <w:bookmarkStart w:id="28" w:name="_Toc30653"/>
      <w:r>
        <w:rPr>
          <w:rFonts w:hAnsi="黑体" w:eastAsia="黑体"/>
          <w:sz w:val="32"/>
          <w:szCs w:val="32"/>
        </w:rPr>
        <w:t>收</w:t>
      </w:r>
      <w:r>
        <w:rPr>
          <w:rStyle w:val="19"/>
          <w:rFonts w:ascii="Times New Roman" w:hAnsi="黑体" w:eastAsia="黑体"/>
          <w:b w:val="0"/>
        </w:rPr>
        <w:t>入支出决算总体情况说明</w:t>
      </w:r>
      <w:bookmarkEnd w:id="26"/>
      <w:bookmarkEnd w:id="27"/>
      <w:bookmarkEnd w:id="28"/>
    </w:p>
    <w:p>
      <w:pPr>
        <w:pStyle w:val="25"/>
        <w:spacing w:line="560" w:lineRule="exact"/>
        <w:ind w:firstLine="640"/>
        <w:outlineLvl w:val="1"/>
        <w:rPr>
          <w:rFonts w:eastAsia="仿宋_GB2312"/>
          <w:color w:val="000000"/>
          <w:sz w:val="32"/>
          <w:szCs w:val="32"/>
        </w:rPr>
      </w:pPr>
      <w:bookmarkStart w:id="29" w:name="_Toc48367057"/>
      <w:r>
        <w:rPr>
          <w:rFonts w:eastAsia="仿宋_GB2312"/>
          <w:color w:val="000000"/>
          <w:sz w:val="32"/>
          <w:szCs w:val="32"/>
        </w:rPr>
        <w:t>2022年度收入总计2,659.55万元。其中：年初结转和结余420.41万元，一般公共预算财政拨款收入2239.14万</w:t>
      </w:r>
      <w:r>
        <w:rPr>
          <w:rFonts w:eastAsia="仿宋_GB2312"/>
          <w:color w:val="000000"/>
          <w:spacing w:val="-6"/>
          <w:sz w:val="32"/>
          <w:szCs w:val="32"/>
        </w:rPr>
        <w:t>元。与2021年相比，收入总计增加67.83万元，增长2.62%。主要变动原因：</w:t>
      </w:r>
      <w:r>
        <w:rPr>
          <w:rFonts w:eastAsia="仿宋_GB2312"/>
          <w:color w:val="000000"/>
          <w:sz w:val="32"/>
          <w:szCs w:val="32"/>
        </w:rPr>
        <w:t>一是2022年市政府办公室与市疫情防控应急指挥部办公室合署办公，新增工作经费；二是新增安可替代工程应用系统等级保护项目。</w:t>
      </w:r>
      <w:bookmarkEnd w:id="29"/>
      <w:bookmarkStart w:id="30" w:name="_Toc48367058"/>
    </w:p>
    <w:p>
      <w:pPr>
        <w:pStyle w:val="25"/>
        <w:spacing w:line="560" w:lineRule="exact"/>
        <w:ind w:firstLine="640"/>
        <w:outlineLvl w:val="1"/>
        <w:rPr>
          <w:rFonts w:eastAsia="仿宋_GB2312"/>
          <w:color w:val="000000"/>
          <w:sz w:val="32"/>
          <w:szCs w:val="32"/>
        </w:rPr>
      </w:pPr>
      <w:r>
        <w:rPr>
          <w:rFonts w:eastAsia="仿宋_GB2312"/>
          <w:color w:val="000000"/>
          <w:sz w:val="32"/>
          <w:szCs w:val="32"/>
        </w:rPr>
        <w:t>2022年度支出总计2644.94万元。与2021年相比支出总计增加253.01万元，增长10.58%。主要变动原因：一是年初结转和结余资金在本年支付；二是新增工作经费；三是新增安可替代工程应用系统等级保护项目。</w:t>
      </w:r>
      <w:bookmarkEnd w:id="30"/>
    </w:p>
    <w:p>
      <w:pPr>
        <w:spacing w:line="600" w:lineRule="exact"/>
        <w:ind w:firstLine="640" w:firstLineChars="200"/>
        <w:jc w:val="center"/>
        <w:rPr>
          <w:rFonts w:eastAsia="仿宋_GB2312"/>
          <w:sz w:val="32"/>
          <w:szCs w:val="32"/>
        </w:rPr>
      </w:pPr>
      <w:r>
        <w:rPr>
          <w:rFonts w:eastAsia="仿宋_GB2312"/>
          <w:sz w:val="32"/>
          <w:szCs w:val="32"/>
        </w:rPr>
        <w:t>（图1：收、支决算总计变动情况图）</w:t>
      </w:r>
    </w:p>
    <w:p>
      <w:pPr>
        <w:pStyle w:val="2"/>
        <w:spacing w:before="93"/>
        <w:jc w:val="center"/>
        <w:rPr>
          <w:rFonts w:ascii="Times New Roman"/>
        </w:rPr>
      </w:pPr>
      <w:r>
        <w:rPr>
          <w:rFonts w:ascii="Times New Roman"/>
          <w:sz w:val="32"/>
          <w:szCs w:val="32"/>
        </w:rPr>
        <w:drawing>
          <wp:inline distT="0" distB="0" distL="84455" distR="84455">
            <wp:extent cx="4571365" cy="2742565"/>
            <wp:effectExtent l="0" t="0" r="6" b="21"/>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7"/>
                    <a:stretch>
                      <a:fillRect/>
                    </a:stretch>
                  </pic:blipFill>
                  <pic:spPr>
                    <a:xfrm>
                      <a:off x="0" y="0"/>
                      <a:ext cx="4571365" cy="2742565"/>
                    </a:xfrm>
                    <a:prstGeom prst="rect">
                      <a:avLst/>
                    </a:prstGeom>
                    <a:noFill/>
                    <a:ln w="9525" cap="flat" cmpd="sng">
                      <a:noFill/>
                      <a:prstDash val="solid"/>
                      <a:miter/>
                    </a:ln>
                  </pic:spPr>
                </pic:pic>
              </a:graphicData>
            </a:graphic>
          </wp:inline>
        </w:drawing>
      </w:r>
    </w:p>
    <w:p>
      <w:pPr>
        <w:pStyle w:val="25"/>
        <w:numPr>
          <w:ilvl w:val="0"/>
          <w:numId w:val="1"/>
        </w:numPr>
        <w:spacing w:line="560" w:lineRule="exact"/>
        <w:ind w:firstLineChars="0"/>
        <w:outlineLvl w:val="1"/>
        <w:rPr>
          <w:rStyle w:val="19"/>
          <w:rFonts w:ascii="Times New Roman" w:hAnsi="Times New Roman" w:eastAsia="黑体"/>
          <w:b w:val="0"/>
        </w:rPr>
      </w:pPr>
      <w:bookmarkStart w:id="31" w:name="_Toc15377206"/>
      <w:bookmarkStart w:id="32" w:name="_Toc15396604"/>
      <w:bookmarkStart w:id="33" w:name="_Toc25008"/>
      <w:r>
        <w:rPr>
          <w:rFonts w:hAnsi="黑体" w:eastAsia="黑体"/>
          <w:sz w:val="32"/>
          <w:szCs w:val="32"/>
        </w:rPr>
        <w:t>收</w:t>
      </w:r>
      <w:r>
        <w:rPr>
          <w:rStyle w:val="19"/>
          <w:rFonts w:ascii="Times New Roman" w:hAnsi="黑体" w:eastAsia="黑体"/>
          <w:b w:val="0"/>
        </w:rPr>
        <w:t>入决算情况说明</w:t>
      </w:r>
      <w:bookmarkEnd w:id="31"/>
      <w:bookmarkEnd w:id="32"/>
      <w:bookmarkEnd w:id="33"/>
    </w:p>
    <w:p>
      <w:pPr>
        <w:spacing w:line="560" w:lineRule="exact"/>
        <w:ind w:firstLine="640" w:firstLineChars="200"/>
        <w:outlineLvl w:val="1"/>
        <w:rPr>
          <w:rFonts w:eastAsia="仿宋_GB2312"/>
          <w:sz w:val="32"/>
          <w:szCs w:val="32"/>
        </w:rPr>
      </w:pPr>
      <w:bookmarkStart w:id="34" w:name="_Toc4707"/>
      <w:r>
        <w:rPr>
          <w:rFonts w:eastAsia="仿宋_GB2312"/>
          <w:sz w:val="32"/>
          <w:szCs w:val="32"/>
        </w:rPr>
        <w:t>2022年本年收入合计2239.14万元，其中：一般公共预算财政拨款收入2239.14万元，占100%</w:t>
      </w:r>
      <w:bookmarkEnd w:id="34"/>
      <w:r>
        <w:rPr>
          <w:rFonts w:eastAsia="仿宋_GB2312"/>
          <w:sz w:val="32"/>
          <w:szCs w:val="32"/>
        </w:rPr>
        <w:t>；政府性基金预算财政拨款收入0万元；国有资本经营预算财政拨款收入0万元；附属单位上缴收入0万元；其他收入0万元。</w:t>
      </w:r>
    </w:p>
    <w:p>
      <w:pPr>
        <w:spacing w:line="600" w:lineRule="exact"/>
        <w:ind w:firstLine="640" w:firstLineChars="200"/>
        <w:jc w:val="center"/>
        <w:rPr>
          <w:rFonts w:eastAsia="仿宋_GB2312"/>
          <w:sz w:val="32"/>
          <w:szCs w:val="32"/>
        </w:rPr>
      </w:pPr>
      <w:r>
        <w:rPr>
          <w:rFonts w:eastAsia="仿宋_GB2312"/>
          <w:sz w:val="32"/>
          <w:szCs w:val="32"/>
        </w:rPr>
        <w:t>（图2：收入决算结构图）</w:t>
      </w:r>
    </w:p>
    <w:p>
      <w:pPr>
        <w:pStyle w:val="2"/>
        <w:spacing w:before="93"/>
        <w:jc w:val="center"/>
        <w:rPr>
          <w:rFonts w:ascii="Times New Roman"/>
        </w:rPr>
      </w:pPr>
      <w:r>
        <w:rPr>
          <w:rFonts w:ascii="Times New Roman"/>
        </w:rPr>
        <w:drawing>
          <wp:inline distT="0" distB="0" distL="84455" distR="84455">
            <wp:extent cx="4571365" cy="1947545"/>
            <wp:effectExtent l="0" t="0" r="6" b="2"/>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8"/>
                    <a:stretch>
                      <a:fillRect/>
                    </a:stretch>
                  </pic:blipFill>
                  <pic:spPr>
                    <a:xfrm>
                      <a:off x="0" y="0"/>
                      <a:ext cx="4571365" cy="1947545"/>
                    </a:xfrm>
                    <a:prstGeom prst="rect">
                      <a:avLst/>
                    </a:prstGeom>
                    <a:noFill/>
                    <a:ln w="9525" cap="flat" cmpd="sng">
                      <a:noFill/>
                      <a:prstDash val="solid"/>
                      <a:miter/>
                    </a:ln>
                  </pic:spPr>
                </pic:pic>
              </a:graphicData>
            </a:graphic>
          </wp:inline>
        </w:drawing>
      </w:r>
    </w:p>
    <w:p>
      <w:pPr>
        <w:pStyle w:val="25"/>
        <w:numPr>
          <w:ilvl w:val="0"/>
          <w:numId w:val="1"/>
        </w:numPr>
        <w:spacing w:line="560" w:lineRule="exact"/>
        <w:ind w:firstLineChars="0"/>
        <w:outlineLvl w:val="1"/>
        <w:rPr>
          <w:rStyle w:val="19"/>
          <w:rFonts w:ascii="Times New Roman" w:hAnsi="Times New Roman" w:eastAsia="黑体"/>
          <w:b w:val="0"/>
        </w:rPr>
      </w:pPr>
      <w:bookmarkStart w:id="35" w:name="_Toc15396605"/>
      <w:bookmarkStart w:id="36" w:name="_Toc834"/>
      <w:bookmarkStart w:id="37" w:name="_Toc15377207"/>
      <w:r>
        <w:rPr>
          <w:rFonts w:hAnsi="黑体" w:eastAsia="黑体"/>
          <w:sz w:val="32"/>
          <w:szCs w:val="32"/>
        </w:rPr>
        <w:t>支</w:t>
      </w:r>
      <w:r>
        <w:rPr>
          <w:rStyle w:val="19"/>
          <w:rFonts w:ascii="Times New Roman" w:hAnsi="黑体" w:eastAsia="黑体"/>
          <w:b w:val="0"/>
        </w:rPr>
        <w:t>出决算情况说明</w:t>
      </w:r>
      <w:bookmarkEnd w:id="35"/>
      <w:bookmarkEnd w:id="36"/>
      <w:bookmarkEnd w:id="37"/>
    </w:p>
    <w:p>
      <w:pPr>
        <w:spacing w:line="560" w:lineRule="exact"/>
        <w:ind w:firstLine="640" w:firstLineChars="200"/>
        <w:outlineLvl w:val="1"/>
        <w:rPr>
          <w:rFonts w:eastAsia="仿宋_GB2312"/>
          <w:sz w:val="32"/>
          <w:szCs w:val="32"/>
        </w:rPr>
      </w:pPr>
      <w:bookmarkStart w:id="38" w:name="_Toc10582"/>
      <w:r>
        <w:rPr>
          <w:rFonts w:eastAsia="仿宋_GB2312"/>
          <w:sz w:val="32"/>
          <w:szCs w:val="32"/>
        </w:rPr>
        <w:t>2022年本年支出合计</w:t>
      </w:r>
      <w:r>
        <w:rPr>
          <w:rFonts w:eastAsia="仿宋_GB2312"/>
          <w:color w:val="000000"/>
          <w:sz w:val="32"/>
          <w:szCs w:val="32"/>
        </w:rPr>
        <w:t>2644.94</w:t>
      </w:r>
      <w:r>
        <w:rPr>
          <w:rFonts w:eastAsia="仿宋_GB2312"/>
          <w:sz w:val="32"/>
          <w:szCs w:val="32"/>
        </w:rPr>
        <w:t>万元，其中：基本支出1804.14万元，占68.21%；项目支出840.8万元，占31.79%。</w:t>
      </w:r>
      <w:bookmarkEnd w:id="38"/>
    </w:p>
    <w:p>
      <w:pPr>
        <w:spacing w:line="560" w:lineRule="exact"/>
        <w:ind w:firstLine="640" w:firstLineChars="200"/>
        <w:jc w:val="center"/>
        <w:rPr>
          <w:rFonts w:eastAsia="仿宋_GB2312"/>
          <w:sz w:val="32"/>
          <w:szCs w:val="32"/>
        </w:rPr>
      </w:pPr>
      <w:r>
        <w:rPr>
          <w:rFonts w:eastAsia="仿宋_GB2312"/>
          <w:sz w:val="32"/>
          <w:szCs w:val="32"/>
        </w:rPr>
        <w:t>（图3：支出决算结构图）</w:t>
      </w:r>
    </w:p>
    <w:p>
      <w:pPr>
        <w:pStyle w:val="2"/>
        <w:spacing w:before="93"/>
        <w:jc w:val="center"/>
        <w:rPr>
          <w:rFonts w:ascii="Times New Roman"/>
        </w:rPr>
      </w:pPr>
      <w:r>
        <w:rPr>
          <w:rFonts w:ascii="Times New Roman"/>
        </w:rPr>
        <w:drawing>
          <wp:inline distT="0" distB="0" distL="84455" distR="84455">
            <wp:extent cx="4095750" cy="2456815"/>
            <wp:effectExtent l="19050" t="0" r="0" b="0"/>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9"/>
                    <a:stretch>
                      <a:fillRect/>
                    </a:stretch>
                  </pic:blipFill>
                  <pic:spPr>
                    <a:xfrm>
                      <a:off x="0" y="0"/>
                      <a:ext cx="4095181" cy="2456881"/>
                    </a:xfrm>
                    <a:prstGeom prst="rect">
                      <a:avLst/>
                    </a:prstGeom>
                    <a:noFill/>
                    <a:ln w="9525" cap="flat" cmpd="sng">
                      <a:noFill/>
                      <a:prstDash val="solid"/>
                      <a:miter/>
                    </a:ln>
                  </pic:spPr>
                </pic:pic>
              </a:graphicData>
            </a:graphic>
          </wp:inline>
        </w:drawing>
      </w:r>
    </w:p>
    <w:p>
      <w:pPr>
        <w:spacing w:line="600" w:lineRule="exact"/>
        <w:ind w:firstLine="640" w:firstLineChars="200"/>
        <w:outlineLvl w:val="1"/>
        <w:rPr>
          <w:rStyle w:val="19"/>
          <w:rFonts w:ascii="Times New Roman" w:hAnsi="Times New Roman" w:eastAsia="黑体"/>
          <w:b w:val="0"/>
        </w:rPr>
      </w:pPr>
      <w:bookmarkStart w:id="39" w:name="_Toc11972"/>
      <w:bookmarkStart w:id="40" w:name="_Toc15377208"/>
      <w:bookmarkStart w:id="41" w:name="_Toc15396606"/>
      <w:r>
        <w:rPr>
          <w:rFonts w:hAnsi="黑体" w:eastAsia="黑体"/>
          <w:sz w:val="32"/>
          <w:szCs w:val="32"/>
        </w:rPr>
        <w:t>四、财</w:t>
      </w:r>
      <w:r>
        <w:rPr>
          <w:rStyle w:val="19"/>
          <w:rFonts w:ascii="Times New Roman" w:hAnsi="黑体" w:eastAsia="黑体"/>
          <w:b w:val="0"/>
        </w:rPr>
        <w:t>政拨款收入支出决算总体情况说明</w:t>
      </w:r>
      <w:bookmarkEnd w:id="39"/>
      <w:bookmarkEnd w:id="40"/>
      <w:bookmarkEnd w:id="41"/>
    </w:p>
    <w:p>
      <w:pPr>
        <w:pStyle w:val="25"/>
        <w:spacing w:line="560" w:lineRule="exact"/>
        <w:ind w:firstLine="640"/>
        <w:outlineLvl w:val="1"/>
        <w:rPr>
          <w:rFonts w:eastAsia="仿宋_GB2312"/>
          <w:color w:val="000000"/>
          <w:sz w:val="32"/>
          <w:szCs w:val="32"/>
        </w:rPr>
      </w:pPr>
      <w:bookmarkStart w:id="42" w:name="_Toc48367064"/>
      <w:r>
        <w:rPr>
          <w:rFonts w:eastAsia="仿宋_GB2312"/>
          <w:color w:val="000000"/>
          <w:sz w:val="32"/>
          <w:szCs w:val="32"/>
        </w:rPr>
        <w:t>2022年财政拨款收入总计2,659.55万元。与2021年相比，财政拨款收入总计</w:t>
      </w:r>
      <w:r>
        <w:rPr>
          <w:rFonts w:eastAsia="仿宋_GB2312"/>
          <w:color w:val="000000"/>
          <w:spacing w:val="-6"/>
          <w:sz w:val="32"/>
          <w:szCs w:val="32"/>
        </w:rPr>
        <w:t>增加67.83万元，增长2.62%</w:t>
      </w:r>
      <w:r>
        <w:rPr>
          <w:rFonts w:eastAsia="仿宋_GB2312"/>
          <w:color w:val="000000"/>
          <w:sz w:val="32"/>
          <w:szCs w:val="32"/>
        </w:rPr>
        <w:t>。</w:t>
      </w:r>
      <w:bookmarkEnd w:id="42"/>
      <w:r>
        <w:rPr>
          <w:rFonts w:eastAsia="仿宋_GB2312"/>
          <w:color w:val="000000"/>
          <w:sz w:val="32"/>
          <w:szCs w:val="32"/>
        </w:rPr>
        <w:t>主要原因：一是2022年市政府办公室与市疫情防控应急指挥部办公室合署办公，新增工作经费；二是新增安可替代工程应用系统等级保护项目。</w:t>
      </w:r>
    </w:p>
    <w:p>
      <w:pPr>
        <w:pStyle w:val="25"/>
        <w:spacing w:line="560" w:lineRule="exact"/>
        <w:ind w:firstLine="640"/>
        <w:outlineLvl w:val="1"/>
        <w:rPr>
          <w:rFonts w:eastAsia="仿宋_GB2312"/>
          <w:sz w:val="32"/>
          <w:szCs w:val="32"/>
        </w:rPr>
      </w:pPr>
      <w:bookmarkStart w:id="43" w:name="_Toc48367065"/>
      <w:r>
        <w:rPr>
          <w:rFonts w:eastAsia="仿宋_GB2312"/>
          <w:color w:val="000000"/>
          <w:sz w:val="32"/>
          <w:szCs w:val="32"/>
        </w:rPr>
        <w:t>2022年财政拨款支出总计2644.94万元。其中：</w:t>
      </w:r>
      <w:r>
        <w:rPr>
          <w:rFonts w:eastAsia="仿宋_GB2312"/>
          <w:sz w:val="32"/>
          <w:szCs w:val="32"/>
        </w:rPr>
        <w:t>基本支出1804.14万元，占68.21%；项目支出840.8万元，占31.79%</w:t>
      </w:r>
      <w:r>
        <w:rPr>
          <w:rFonts w:eastAsia="仿宋_GB2312"/>
          <w:color w:val="000000"/>
          <w:sz w:val="32"/>
          <w:szCs w:val="32"/>
        </w:rPr>
        <w:t>。与2021年相比，财政拨款支出总计增加253.01万元，增长10.58%。</w:t>
      </w:r>
      <w:r>
        <w:rPr>
          <w:rFonts w:eastAsia="仿宋_GB2312"/>
          <w:sz w:val="32"/>
          <w:szCs w:val="32"/>
        </w:rPr>
        <w:t>主要原因：</w:t>
      </w:r>
      <w:bookmarkEnd w:id="43"/>
      <w:r>
        <w:rPr>
          <w:rFonts w:eastAsia="仿宋_GB2312"/>
          <w:sz w:val="32"/>
          <w:szCs w:val="32"/>
        </w:rPr>
        <w:t>一是年初结转和结余资金在本年支付；二是新增工作经费；三是新增安可替代工程应用系统等级保护项目。</w:t>
      </w:r>
    </w:p>
    <w:p>
      <w:pPr>
        <w:spacing w:line="600" w:lineRule="exact"/>
        <w:ind w:firstLine="640" w:firstLineChars="200"/>
        <w:jc w:val="center"/>
        <w:rPr>
          <w:rFonts w:eastAsia="仿宋_GB2312"/>
          <w:sz w:val="32"/>
          <w:szCs w:val="32"/>
        </w:rPr>
      </w:pPr>
      <w:r>
        <w:rPr>
          <w:rFonts w:eastAsia="仿宋_GB2312"/>
          <w:sz w:val="32"/>
          <w:szCs w:val="32"/>
        </w:rPr>
        <w:t>（图4：财政拨款收、支决算总计变动情况）</w:t>
      </w:r>
    </w:p>
    <w:p>
      <w:pPr>
        <w:pStyle w:val="2"/>
        <w:spacing w:before="93"/>
        <w:jc w:val="center"/>
        <w:rPr>
          <w:rFonts w:ascii="Times New Roman"/>
        </w:rPr>
      </w:pPr>
      <w:r>
        <w:rPr>
          <w:rFonts w:ascii="Times New Roman"/>
        </w:rPr>
        <w:drawing>
          <wp:inline distT="0" distB="0" distL="84455" distR="84455">
            <wp:extent cx="4229100" cy="2536825"/>
            <wp:effectExtent l="19050" t="0" r="0" b="0"/>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7"/>
                    <a:stretch>
                      <a:fillRect/>
                    </a:stretch>
                  </pic:blipFill>
                  <pic:spPr>
                    <a:xfrm>
                      <a:off x="0" y="0"/>
                      <a:ext cx="4228513" cy="2536873"/>
                    </a:xfrm>
                    <a:prstGeom prst="rect">
                      <a:avLst/>
                    </a:prstGeom>
                    <a:noFill/>
                    <a:ln w="9525" cap="flat" cmpd="sng">
                      <a:noFill/>
                      <a:prstDash val="solid"/>
                      <a:miter/>
                    </a:ln>
                  </pic:spPr>
                </pic:pic>
              </a:graphicData>
            </a:graphic>
          </wp:inline>
        </w:drawing>
      </w:r>
    </w:p>
    <w:p>
      <w:pPr>
        <w:spacing w:line="560" w:lineRule="exact"/>
        <w:ind w:firstLine="640" w:firstLineChars="200"/>
        <w:outlineLvl w:val="1"/>
        <w:rPr>
          <w:rStyle w:val="19"/>
          <w:rFonts w:ascii="Times New Roman" w:hAnsi="Times New Roman" w:eastAsia="黑体"/>
          <w:b w:val="0"/>
        </w:rPr>
      </w:pPr>
      <w:bookmarkStart w:id="44" w:name="_Toc15377209"/>
      <w:bookmarkStart w:id="45" w:name="_Toc6906"/>
      <w:bookmarkStart w:id="46" w:name="_Toc15396607"/>
      <w:r>
        <w:rPr>
          <w:rFonts w:hAnsi="黑体" w:eastAsia="黑体"/>
          <w:sz w:val="32"/>
          <w:szCs w:val="32"/>
        </w:rPr>
        <w:t>五、</w:t>
      </w:r>
      <w:r>
        <w:rPr>
          <w:rFonts w:hAnsi="黑体" w:eastAsia="黑体"/>
          <w:b/>
          <w:sz w:val="32"/>
          <w:szCs w:val="32"/>
        </w:rPr>
        <w:t>一</w:t>
      </w:r>
      <w:r>
        <w:rPr>
          <w:rStyle w:val="19"/>
          <w:rFonts w:ascii="Times New Roman" w:hAnsi="黑体" w:eastAsia="黑体"/>
          <w:b w:val="0"/>
        </w:rPr>
        <w:t>般公共预算财政拨款支出决算情况说明</w:t>
      </w:r>
      <w:bookmarkEnd w:id="44"/>
      <w:bookmarkEnd w:id="45"/>
      <w:bookmarkEnd w:id="46"/>
    </w:p>
    <w:p>
      <w:pPr>
        <w:spacing w:line="560" w:lineRule="exact"/>
        <w:ind w:firstLine="643" w:firstLineChars="200"/>
        <w:outlineLvl w:val="2"/>
        <w:rPr>
          <w:rFonts w:ascii="楷体_GB2312" w:eastAsia="楷体_GB2312"/>
          <w:b/>
          <w:sz w:val="32"/>
          <w:szCs w:val="32"/>
        </w:rPr>
      </w:pPr>
      <w:bookmarkStart w:id="47" w:name="_Toc15377210"/>
      <w:r>
        <w:rPr>
          <w:rFonts w:ascii="楷体_GB2312" w:eastAsia="楷体_GB2312"/>
          <w:b/>
          <w:sz w:val="32"/>
          <w:szCs w:val="32"/>
        </w:rPr>
        <w:t>（一）一般公共预算财政拨款支出决算总体情况</w:t>
      </w:r>
      <w:bookmarkEnd w:id="47"/>
    </w:p>
    <w:p>
      <w:pPr>
        <w:pStyle w:val="25"/>
        <w:spacing w:line="560" w:lineRule="exact"/>
        <w:ind w:firstLine="640"/>
        <w:outlineLvl w:val="1"/>
        <w:rPr>
          <w:rFonts w:eastAsia="仿宋_GB2312"/>
          <w:sz w:val="32"/>
          <w:szCs w:val="32"/>
        </w:rPr>
      </w:pPr>
      <w:bookmarkStart w:id="48" w:name="_Toc48367068"/>
      <w:r>
        <w:rPr>
          <w:rFonts w:eastAsia="仿宋_GB2312"/>
          <w:sz w:val="32"/>
          <w:szCs w:val="32"/>
        </w:rPr>
        <w:t>2022年一般公共预算财政拨款支出</w:t>
      </w:r>
      <w:r>
        <w:rPr>
          <w:rFonts w:eastAsia="仿宋_GB2312"/>
          <w:color w:val="000000"/>
          <w:sz w:val="32"/>
          <w:szCs w:val="32"/>
        </w:rPr>
        <w:t>2644.94</w:t>
      </w:r>
      <w:r>
        <w:rPr>
          <w:rFonts w:eastAsia="仿宋_GB2312"/>
          <w:sz w:val="32"/>
          <w:szCs w:val="32"/>
        </w:rPr>
        <w:t>万元，占本年支出合计的100%。与2021年相比，一般公共预算财政拨款支出</w:t>
      </w:r>
      <w:r>
        <w:rPr>
          <w:rFonts w:eastAsia="仿宋_GB2312"/>
          <w:color w:val="000000"/>
          <w:sz w:val="32"/>
          <w:szCs w:val="32"/>
        </w:rPr>
        <w:t>增加253.01万元，增长10.58%</w:t>
      </w:r>
      <w:r>
        <w:rPr>
          <w:rFonts w:eastAsia="仿宋_GB2312"/>
          <w:sz w:val="32"/>
          <w:szCs w:val="32"/>
        </w:rPr>
        <w:t>。主要变动原因</w:t>
      </w:r>
      <w:bookmarkEnd w:id="48"/>
      <w:r>
        <w:rPr>
          <w:rFonts w:eastAsia="仿宋_GB2312"/>
          <w:sz w:val="32"/>
          <w:szCs w:val="32"/>
        </w:rPr>
        <w:t>：一是年初结转和结余资金在本年支付；二是新增工作经费；三是新增安可替代工程应用系统等级保护项目。</w:t>
      </w:r>
    </w:p>
    <w:p>
      <w:pPr>
        <w:spacing w:line="560" w:lineRule="exact"/>
        <w:ind w:firstLine="640" w:firstLineChars="200"/>
        <w:jc w:val="center"/>
        <w:rPr>
          <w:rFonts w:eastAsia="仿宋_GB2312"/>
          <w:sz w:val="32"/>
          <w:szCs w:val="32"/>
        </w:rPr>
      </w:pPr>
      <w:r>
        <w:rPr>
          <w:rFonts w:eastAsia="仿宋_GB2312"/>
          <w:sz w:val="32"/>
          <w:szCs w:val="32"/>
        </w:rPr>
        <w:t>（图5：一般公共预算财政拨款支出决算变动情况）</w:t>
      </w:r>
    </w:p>
    <w:p>
      <w:pPr>
        <w:pStyle w:val="2"/>
        <w:spacing w:before="93"/>
        <w:jc w:val="center"/>
        <w:rPr>
          <w:rFonts w:ascii="Times New Roman"/>
        </w:rPr>
      </w:pPr>
      <w:bookmarkStart w:id="49" w:name="_Toc15377211"/>
      <w:r>
        <w:rPr>
          <w:rFonts w:ascii="Times New Roman"/>
          <w:sz w:val="32"/>
          <w:szCs w:val="32"/>
        </w:rPr>
        <w:drawing>
          <wp:inline distT="0" distB="0" distL="84455" distR="84455">
            <wp:extent cx="4571365" cy="2442845"/>
            <wp:effectExtent l="0" t="0" r="6" b="6"/>
            <wp:docPr id="18"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pic:cNvPicPr>
                      <a:picLocks noChangeAspect="1"/>
                    </pic:cNvPicPr>
                  </pic:nvPicPr>
                  <pic:blipFill>
                    <a:blip r:embed="rId10"/>
                    <a:stretch>
                      <a:fillRect/>
                    </a:stretch>
                  </pic:blipFill>
                  <pic:spPr>
                    <a:xfrm>
                      <a:off x="0" y="0"/>
                      <a:ext cx="4571365" cy="2442845"/>
                    </a:xfrm>
                    <a:prstGeom prst="rect">
                      <a:avLst/>
                    </a:prstGeom>
                    <a:noFill/>
                    <a:ln w="9525" cap="flat" cmpd="sng">
                      <a:noFill/>
                      <a:prstDash val="solid"/>
                      <a:miter/>
                    </a:ln>
                  </pic:spPr>
                </pic:pic>
              </a:graphicData>
            </a:graphic>
          </wp:inline>
        </w:drawing>
      </w:r>
    </w:p>
    <w:p>
      <w:pPr>
        <w:spacing w:line="560" w:lineRule="exact"/>
        <w:ind w:firstLine="643" w:firstLineChars="200"/>
        <w:outlineLvl w:val="2"/>
        <w:rPr>
          <w:rFonts w:ascii="楷体_GB2312" w:eastAsia="楷体_GB2312"/>
          <w:b/>
          <w:sz w:val="32"/>
          <w:szCs w:val="32"/>
        </w:rPr>
      </w:pPr>
      <w:r>
        <w:rPr>
          <w:rFonts w:ascii="楷体_GB2312" w:eastAsia="楷体_GB2312"/>
          <w:b/>
          <w:sz w:val="32"/>
          <w:szCs w:val="32"/>
        </w:rPr>
        <w:t>（二）一般公共预算财政拨款支出决算结构情况</w:t>
      </w:r>
      <w:bookmarkEnd w:id="49"/>
    </w:p>
    <w:p>
      <w:pPr>
        <w:spacing w:line="560" w:lineRule="exact"/>
        <w:ind w:firstLine="640"/>
        <w:rPr>
          <w:rFonts w:eastAsia="仿宋_GB2312"/>
          <w:sz w:val="32"/>
          <w:szCs w:val="32"/>
        </w:rPr>
      </w:pPr>
      <w:r>
        <w:rPr>
          <w:rFonts w:eastAsia="仿宋_GB2312"/>
          <w:sz w:val="32"/>
          <w:szCs w:val="32"/>
        </w:rPr>
        <w:t>2022年一般公共预算财政拨款支出2644.94万元，主要用于以下方面</w:t>
      </w:r>
      <w:r>
        <w:rPr>
          <w:rFonts w:hint="eastAsia" w:eastAsia="仿宋_GB2312"/>
          <w:sz w:val="32"/>
          <w:szCs w:val="32"/>
        </w:rPr>
        <w:t>：</w:t>
      </w:r>
      <w:r>
        <w:rPr>
          <w:rFonts w:eastAsia="仿宋_GB2312"/>
          <w:sz w:val="32"/>
          <w:szCs w:val="32"/>
        </w:rPr>
        <w:t>一般公共服务支出2274.74万元，占86%；社会保障和就业支出170.08万元，占6.43%；</w:t>
      </w:r>
      <w:r>
        <w:rPr>
          <w:rFonts w:eastAsia="仿宋_GB2312"/>
          <w:bCs/>
          <w:sz w:val="32"/>
          <w:szCs w:val="32"/>
        </w:rPr>
        <w:t>卫生健康支出73.48</w:t>
      </w:r>
      <w:r>
        <w:rPr>
          <w:rFonts w:eastAsia="仿宋_GB2312"/>
          <w:sz w:val="32"/>
          <w:szCs w:val="32"/>
        </w:rPr>
        <w:t>万元，占2.78%；住房保障支出126.64万元，占4.79%。</w:t>
      </w:r>
    </w:p>
    <w:p>
      <w:pPr>
        <w:spacing w:line="560" w:lineRule="exact"/>
        <w:ind w:firstLine="640" w:firstLineChars="200"/>
        <w:jc w:val="center"/>
        <w:rPr>
          <w:rFonts w:eastAsia="仿宋_GB2312"/>
          <w:sz w:val="32"/>
          <w:szCs w:val="32"/>
        </w:rPr>
      </w:pPr>
      <w:r>
        <w:rPr>
          <w:rFonts w:eastAsia="仿宋_GB2312"/>
          <w:sz w:val="32"/>
          <w:szCs w:val="32"/>
        </w:rPr>
        <w:t>（图6：一般公共预算财政拨款支出决算结构）</w:t>
      </w:r>
    </w:p>
    <w:p>
      <w:pPr>
        <w:pStyle w:val="2"/>
        <w:spacing w:before="93"/>
        <w:jc w:val="center"/>
        <w:rPr>
          <w:rFonts w:ascii="Times New Roman"/>
        </w:rPr>
      </w:pPr>
      <w:r>
        <w:rPr>
          <w:rFonts w:ascii="Times New Roman"/>
          <w:sz w:val="32"/>
          <w:szCs w:val="32"/>
        </w:rPr>
        <w:drawing>
          <wp:inline distT="0" distB="0" distL="84455" distR="84455">
            <wp:extent cx="4057650" cy="2433955"/>
            <wp:effectExtent l="19050" t="0" r="0" b="0"/>
            <wp:docPr id="2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pic:cNvPicPr>
                      <a:picLocks noChangeAspect="1"/>
                    </pic:cNvPicPr>
                  </pic:nvPicPr>
                  <pic:blipFill>
                    <a:blip r:embed="rId11"/>
                    <a:stretch>
                      <a:fillRect/>
                    </a:stretch>
                  </pic:blipFill>
                  <pic:spPr>
                    <a:xfrm>
                      <a:off x="0" y="0"/>
                      <a:ext cx="4057086" cy="2434026"/>
                    </a:xfrm>
                    <a:prstGeom prst="rect">
                      <a:avLst/>
                    </a:prstGeom>
                    <a:noFill/>
                    <a:ln w="9525" cap="flat" cmpd="sng">
                      <a:noFill/>
                      <a:prstDash val="solid"/>
                      <a:miter/>
                    </a:ln>
                  </pic:spPr>
                </pic:pic>
              </a:graphicData>
            </a:graphic>
          </wp:inline>
        </w:drawing>
      </w:r>
    </w:p>
    <w:p>
      <w:pPr>
        <w:spacing w:line="600" w:lineRule="exact"/>
        <w:ind w:firstLine="643" w:firstLineChars="200"/>
        <w:outlineLvl w:val="2"/>
        <w:rPr>
          <w:rFonts w:ascii="楷体_GB2312" w:eastAsia="楷体_GB2312"/>
          <w:b/>
          <w:sz w:val="32"/>
          <w:szCs w:val="32"/>
        </w:rPr>
      </w:pPr>
      <w:bookmarkStart w:id="50" w:name="_Toc15377212"/>
      <w:r>
        <w:rPr>
          <w:rFonts w:hint="eastAsia" w:ascii="楷体_GB2312" w:eastAsia="楷体_GB2312"/>
          <w:b/>
          <w:sz w:val="32"/>
          <w:szCs w:val="32"/>
        </w:rPr>
        <w:t>（三）一般公共预算财政拨款支出决算具体情况</w:t>
      </w:r>
      <w:bookmarkEnd w:id="50"/>
    </w:p>
    <w:p>
      <w:pPr>
        <w:spacing w:line="560" w:lineRule="exact"/>
        <w:ind w:firstLine="640" w:firstLineChars="200"/>
        <w:outlineLvl w:val="2"/>
        <w:rPr>
          <w:rFonts w:eastAsia="仿宋_GB2312"/>
          <w:bCs/>
          <w:sz w:val="32"/>
          <w:szCs w:val="32"/>
        </w:rPr>
      </w:pPr>
      <w:bookmarkStart w:id="51" w:name="_Toc48367071"/>
      <w:bookmarkStart w:id="52" w:name="_Toc15377444"/>
      <w:bookmarkStart w:id="53" w:name="_Toc15377213"/>
      <w:bookmarkStart w:id="54" w:name="_Toc31347"/>
      <w:bookmarkStart w:id="55" w:name="_Toc15378460"/>
      <w:r>
        <w:rPr>
          <w:rFonts w:eastAsia="仿宋_GB2312"/>
          <w:bCs/>
          <w:sz w:val="32"/>
          <w:szCs w:val="32"/>
        </w:rPr>
        <w:t>2022年一般公共预算支出决算数为2644.94</w:t>
      </w:r>
      <w:r>
        <w:rPr>
          <w:rStyle w:val="16"/>
          <w:rFonts w:eastAsia="仿宋_GB2312"/>
          <w:b w:val="0"/>
          <w:bCs/>
          <w:sz w:val="32"/>
          <w:szCs w:val="32"/>
        </w:rPr>
        <w:t>万元，完成预算99.45%。其中：</w:t>
      </w:r>
      <w:bookmarkEnd w:id="51"/>
    </w:p>
    <w:p>
      <w:pPr>
        <w:spacing w:line="560" w:lineRule="exact"/>
        <w:ind w:firstLine="640" w:firstLineChars="200"/>
        <w:rPr>
          <w:rStyle w:val="16"/>
          <w:rFonts w:eastAsia="仿宋_GB2312"/>
          <w:b w:val="0"/>
          <w:bCs/>
          <w:sz w:val="32"/>
          <w:szCs w:val="32"/>
        </w:rPr>
      </w:pPr>
      <w:r>
        <w:rPr>
          <w:rStyle w:val="16"/>
          <w:rFonts w:hint="eastAsia" w:eastAsia="仿宋_GB2312"/>
          <w:b w:val="0"/>
          <w:bCs/>
          <w:sz w:val="32"/>
          <w:szCs w:val="32"/>
        </w:rPr>
        <w:t>1.</w:t>
      </w:r>
      <w:r>
        <w:rPr>
          <w:rStyle w:val="16"/>
          <w:rFonts w:eastAsia="仿宋_GB2312"/>
          <w:b w:val="0"/>
          <w:bCs/>
          <w:sz w:val="32"/>
          <w:szCs w:val="32"/>
        </w:rPr>
        <w:t>一般公共服务（类）政府办公厅（室）及相关机构事务（款）行政运行（项）</w:t>
      </w:r>
      <w:r>
        <w:rPr>
          <w:rFonts w:hint="eastAsia" w:eastAsia="仿宋_GB2312"/>
          <w:sz w:val="32"/>
          <w:szCs w:val="32"/>
        </w:rPr>
        <w:t>：</w:t>
      </w:r>
      <w:r>
        <w:rPr>
          <w:rStyle w:val="16"/>
          <w:rFonts w:eastAsia="仿宋_GB2312"/>
          <w:b w:val="0"/>
          <w:bCs/>
          <w:sz w:val="32"/>
          <w:szCs w:val="32"/>
        </w:rPr>
        <w:t>支出决算为1311.89万元，完成预算100%。</w:t>
      </w:r>
    </w:p>
    <w:p>
      <w:pPr>
        <w:spacing w:line="560" w:lineRule="exact"/>
        <w:ind w:firstLine="640" w:firstLineChars="200"/>
        <w:rPr>
          <w:rStyle w:val="16"/>
          <w:rFonts w:eastAsia="仿宋_GB2312"/>
          <w:b w:val="0"/>
          <w:bCs/>
          <w:sz w:val="32"/>
          <w:szCs w:val="32"/>
        </w:rPr>
      </w:pPr>
      <w:r>
        <w:rPr>
          <w:rStyle w:val="16"/>
          <w:rFonts w:hint="eastAsia" w:eastAsia="仿宋_GB2312"/>
          <w:b w:val="0"/>
          <w:bCs/>
          <w:sz w:val="32"/>
          <w:szCs w:val="32"/>
        </w:rPr>
        <w:t>2.</w:t>
      </w:r>
      <w:r>
        <w:rPr>
          <w:rStyle w:val="16"/>
          <w:rFonts w:eastAsia="仿宋_GB2312"/>
          <w:b w:val="0"/>
          <w:bCs/>
          <w:sz w:val="32"/>
          <w:szCs w:val="32"/>
        </w:rPr>
        <w:t>一般公共服务（类）政府办公厅（室）及相关机构事务（款）一般行政管理事务（项）</w:t>
      </w:r>
      <w:r>
        <w:rPr>
          <w:rFonts w:hint="eastAsia" w:eastAsia="仿宋_GB2312"/>
          <w:sz w:val="32"/>
          <w:szCs w:val="32"/>
        </w:rPr>
        <w:t>：</w:t>
      </w:r>
      <w:r>
        <w:rPr>
          <w:rStyle w:val="16"/>
          <w:rFonts w:eastAsia="仿宋_GB2312"/>
          <w:b w:val="0"/>
          <w:bCs/>
          <w:sz w:val="32"/>
          <w:szCs w:val="32"/>
        </w:rPr>
        <w:t>支出决算为622.5万元，完成预算100%。</w:t>
      </w:r>
    </w:p>
    <w:p>
      <w:pPr>
        <w:spacing w:line="560" w:lineRule="exact"/>
        <w:ind w:firstLine="640" w:firstLineChars="200"/>
        <w:rPr>
          <w:rStyle w:val="16"/>
          <w:rFonts w:eastAsia="仿宋_GB2312"/>
          <w:b w:val="0"/>
          <w:bCs/>
          <w:sz w:val="32"/>
          <w:szCs w:val="32"/>
        </w:rPr>
      </w:pPr>
      <w:r>
        <w:rPr>
          <w:rStyle w:val="16"/>
          <w:rFonts w:hint="eastAsia" w:eastAsia="仿宋_GB2312"/>
          <w:b w:val="0"/>
          <w:bCs/>
          <w:sz w:val="32"/>
          <w:szCs w:val="32"/>
        </w:rPr>
        <w:t>3.</w:t>
      </w:r>
      <w:r>
        <w:rPr>
          <w:rStyle w:val="16"/>
          <w:rFonts w:eastAsia="仿宋_GB2312"/>
          <w:b w:val="0"/>
          <w:bCs/>
          <w:sz w:val="32"/>
          <w:szCs w:val="32"/>
        </w:rPr>
        <w:t>一般公共服务（类）政府办公厅（室）及相关机构事务（款）事业运行（项）:支出决算为122.05万元，完成预算100%。</w:t>
      </w:r>
    </w:p>
    <w:p>
      <w:pPr>
        <w:spacing w:line="560" w:lineRule="exact"/>
        <w:ind w:firstLine="640" w:firstLineChars="200"/>
        <w:rPr>
          <w:rStyle w:val="16"/>
          <w:rFonts w:eastAsia="仿宋_GB2312"/>
          <w:b w:val="0"/>
          <w:bCs/>
          <w:sz w:val="32"/>
          <w:szCs w:val="32"/>
        </w:rPr>
      </w:pPr>
      <w:r>
        <w:rPr>
          <w:rStyle w:val="16"/>
          <w:rFonts w:hint="eastAsia" w:eastAsia="仿宋_GB2312"/>
          <w:b w:val="0"/>
          <w:bCs/>
          <w:sz w:val="32"/>
          <w:szCs w:val="32"/>
        </w:rPr>
        <w:t>4.</w:t>
      </w:r>
      <w:r>
        <w:rPr>
          <w:rStyle w:val="16"/>
          <w:rFonts w:eastAsia="仿宋_GB2312"/>
          <w:b w:val="0"/>
          <w:bCs/>
          <w:sz w:val="32"/>
          <w:szCs w:val="32"/>
        </w:rPr>
        <w:t>一般公共服务（类）政府办公厅（室）及相关机构事务（款）其他政府办公厅（室）及相关机构事务支出（项）: 支出决算为218.3万元，完成预算100%。</w:t>
      </w:r>
    </w:p>
    <w:p>
      <w:pPr>
        <w:spacing w:line="560" w:lineRule="exact"/>
        <w:ind w:firstLine="640" w:firstLineChars="200"/>
        <w:rPr>
          <w:rStyle w:val="16"/>
          <w:rFonts w:eastAsia="仿宋_GB2312"/>
          <w:b w:val="0"/>
          <w:bCs/>
          <w:sz w:val="32"/>
          <w:szCs w:val="32"/>
        </w:rPr>
      </w:pPr>
      <w:r>
        <w:rPr>
          <w:rStyle w:val="16"/>
          <w:rFonts w:eastAsia="仿宋_GB2312"/>
          <w:b w:val="0"/>
          <w:bCs/>
          <w:sz w:val="32"/>
          <w:szCs w:val="32"/>
        </w:rPr>
        <w:t>5.社会保障和就业（类）行政事业单位养老支出（款）行政单位离退休（项）</w:t>
      </w:r>
      <w:r>
        <w:rPr>
          <w:rFonts w:hint="eastAsia" w:eastAsia="仿宋_GB2312"/>
          <w:sz w:val="32"/>
          <w:szCs w:val="32"/>
        </w:rPr>
        <w:t>：</w:t>
      </w:r>
      <w:r>
        <w:rPr>
          <w:rStyle w:val="16"/>
          <w:rFonts w:eastAsia="仿宋_GB2312"/>
          <w:b w:val="0"/>
          <w:bCs/>
          <w:sz w:val="32"/>
          <w:szCs w:val="32"/>
        </w:rPr>
        <w:t>支出决算为43.28万元，完成预算100%。</w:t>
      </w:r>
    </w:p>
    <w:p>
      <w:pPr>
        <w:spacing w:line="560" w:lineRule="exact"/>
        <w:ind w:firstLine="640" w:firstLineChars="200"/>
        <w:rPr>
          <w:rStyle w:val="16"/>
          <w:rFonts w:eastAsia="仿宋_GB2312"/>
          <w:b w:val="0"/>
          <w:bCs/>
          <w:sz w:val="32"/>
          <w:szCs w:val="32"/>
        </w:rPr>
      </w:pPr>
      <w:r>
        <w:rPr>
          <w:rStyle w:val="16"/>
          <w:rFonts w:eastAsia="仿宋_GB2312"/>
          <w:b w:val="0"/>
          <w:bCs/>
          <w:sz w:val="32"/>
          <w:szCs w:val="32"/>
        </w:rPr>
        <w:t>6.社会保障和就业（类）行政事业单位养老支出（款）机关事业单位基本养老保险缴费支出（项）</w:t>
      </w:r>
      <w:r>
        <w:rPr>
          <w:rFonts w:hint="eastAsia" w:eastAsia="仿宋_GB2312"/>
          <w:sz w:val="32"/>
          <w:szCs w:val="32"/>
        </w:rPr>
        <w:t>：</w:t>
      </w:r>
      <w:r>
        <w:rPr>
          <w:rStyle w:val="16"/>
          <w:rFonts w:eastAsia="仿宋_GB2312"/>
          <w:b w:val="0"/>
          <w:bCs/>
          <w:sz w:val="32"/>
          <w:szCs w:val="32"/>
        </w:rPr>
        <w:t>支出决算为101.65万元，完成预算100%。</w:t>
      </w:r>
    </w:p>
    <w:p>
      <w:pPr>
        <w:spacing w:line="560" w:lineRule="exact"/>
        <w:ind w:firstLine="640" w:firstLineChars="200"/>
        <w:rPr>
          <w:rStyle w:val="16"/>
          <w:rFonts w:eastAsia="仿宋_GB2312"/>
          <w:b w:val="0"/>
          <w:bCs/>
          <w:sz w:val="32"/>
          <w:szCs w:val="32"/>
        </w:rPr>
      </w:pPr>
      <w:r>
        <w:rPr>
          <w:rStyle w:val="16"/>
          <w:rFonts w:eastAsia="仿宋_GB2312"/>
          <w:b w:val="0"/>
          <w:bCs/>
          <w:sz w:val="32"/>
          <w:szCs w:val="32"/>
        </w:rPr>
        <w:t>7.社会保障和就业（类）抚恤（款）死亡抚恤（项）: 支出决算为23.08万元，完成预算100%。</w:t>
      </w:r>
    </w:p>
    <w:p>
      <w:pPr>
        <w:spacing w:line="560" w:lineRule="exact"/>
        <w:ind w:firstLine="640" w:firstLineChars="200"/>
        <w:rPr>
          <w:rFonts w:eastAsia="仿宋_GB2312"/>
          <w:bCs/>
          <w:sz w:val="32"/>
          <w:szCs w:val="32"/>
        </w:rPr>
      </w:pPr>
      <w:r>
        <w:rPr>
          <w:rStyle w:val="16"/>
          <w:rFonts w:eastAsia="仿宋_GB2312"/>
          <w:b w:val="0"/>
          <w:bCs/>
          <w:sz w:val="32"/>
          <w:szCs w:val="32"/>
        </w:rPr>
        <w:t>8.社会保障和就业（类）其他社会保障和就业支出（款）其他社会保障和就业支出（项）</w:t>
      </w:r>
      <w:r>
        <w:rPr>
          <w:rFonts w:hint="eastAsia" w:eastAsia="仿宋_GB2312"/>
          <w:sz w:val="32"/>
          <w:szCs w:val="32"/>
        </w:rPr>
        <w:t>：</w:t>
      </w:r>
      <w:r>
        <w:rPr>
          <w:rStyle w:val="16"/>
          <w:rFonts w:eastAsia="仿宋_GB2312"/>
          <w:b w:val="0"/>
          <w:bCs/>
          <w:sz w:val="32"/>
          <w:szCs w:val="32"/>
        </w:rPr>
        <w:t>支出决算为2.07万元，完成预算100%。</w:t>
      </w:r>
    </w:p>
    <w:p>
      <w:pPr>
        <w:spacing w:line="560" w:lineRule="exact"/>
        <w:ind w:firstLine="640" w:firstLineChars="200"/>
        <w:rPr>
          <w:rFonts w:eastAsia="仿宋_GB2312"/>
          <w:bCs/>
          <w:sz w:val="32"/>
          <w:szCs w:val="32"/>
        </w:rPr>
      </w:pPr>
      <w:r>
        <w:rPr>
          <w:rStyle w:val="16"/>
          <w:rFonts w:eastAsia="仿宋_GB2312"/>
          <w:b w:val="0"/>
          <w:bCs/>
          <w:sz w:val="32"/>
          <w:szCs w:val="32"/>
        </w:rPr>
        <w:t>9.</w:t>
      </w:r>
      <w:r>
        <w:rPr>
          <w:rFonts w:eastAsia="仿宋_GB2312"/>
          <w:bCs/>
          <w:sz w:val="32"/>
          <w:szCs w:val="32"/>
        </w:rPr>
        <w:t>卫生健康支出</w:t>
      </w:r>
      <w:r>
        <w:rPr>
          <w:rStyle w:val="16"/>
          <w:rFonts w:eastAsia="仿宋_GB2312"/>
          <w:b w:val="0"/>
          <w:bCs/>
          <w:sz w:val="32"/>
          <w:szCs w:val="32"/>
        </w:rPr>
        <w:t>（类）行政事业单位医疗（款）行政单位医疗（项）</w:t>
      </w:r>
      <w:r>
        <w:rPr>
          <w:rFonts w:hint="eastAsia" w:eastAsia="仿宋_GB2312"/>
          <w:sz w:val="32"/>
          <w:szCs w:val="32"/>
        </w:rPr>
        <w:t>：</w:t>
      </w:r>
      <w:r>
        <w:rPr>
          <w:rStyle w:val="16"/>
          <w:rFonts w:eastAsia="仿宋_GB2312"/>
          <w:b w:val="0"/>
          <w:bCs/>
          <w:sz w:val="32"/>
          <w:szCs w:val="32"/>
        </w:rPr>
        <w:t>支出决算为51.78万元，完成预算100%。</w:t>
      </w:r>
    </w:p>
    <w:p>
      <w:pPr>
        <w:spacing w:line="560" w:lineRule="exact"/>
        <w:ind w:firstLine="640" w:firstLineChars="200"/>
        <w:rPr>
          <w:rStyle w:val="16"/>
          <w:rFonts w:eastAsia="仿宋_GB2312"/>
          <w:b w:val="0"/>
          <w:bCs/>
          <w:sz w:val="32"/>
          <w:szCs w:val="32"/>
        </w:rPr>
      </w:pPr>
      <w:r>
        <w:rPr>
          <w:rStyle w:val="16"/>
          <w:rFonts w:eastAsia="仿宋_GB2312"/>
          <w:b w:val="0"/>
          <w:bCs/>
          <w:sz w:val="32"/>
          <w:szCs w:val="32"/>
        </w:rPr>
        <w:t>10.</w:t>
      </w:r>
      <w:r>
        <w:rPr>
          <w:rFonts w:eastAsia="仿宋_GB2312"/>
          <w:bCs/>
          <w:sz w:val="32"/>
          <w:szCs w:val="32"/>
        </w:rPr>
        <w:t>卫生健康支出</w:t>
      </w:r>
      <w:r>
        <w:rPr>
          <w:rStyle w:val="16"/>
          <w:rFonts w:eastAsia="仿宋_GB2312"/>
          <w:b w:val="0"/>
          <w:bCs/>
          <w:sz w:val="32"/>
          <w:szCs w:val="32"/>
        </w:rPr>
        <w:t>（类）行政事业单位医疗（款）事业单位医疗（项）</w:t>
      </w:r>
      <w:r>
        <w:rPr>
          <w:rFonts w:hint="eastAsia" w:eastAsia="仿宋_GB2312"/>
          <w:sz w:val="32"/>
          <w:szCs w:val="32"/>
        </w:rPr>
        <w:t>：</w:t>
      </w:r>
      <w:r>
        <w:rPr>
          <w:rStyle w:val="16"/>
          <w:rFonts w:eastAsia="仿宋_GB2312"/>
          <w:b w:val="0"/>
          <w:bCs/>
          <w:sz w:val="32"/>
          <w:szCs w:val="32"/>
        </w:rPr>
        <w:t>支出决算为9.41万元，完成预算100%。</w:t>
      </w:r>
    </w:p>
    <w:p>
      <w:pPr>
        <w:spacing w:line="560" w:lineRule="exact"/>
        <w:ind w:firstLine="640" w:firstLineChars="200"/>
        <w:rPr>
          <w:rStyle w:val="16"/>
          <w:rFonts w:eastAsia="仿宋_GB2312"/>
          <w:b w:val="0"/>
          <w:bCs/>
          <w:sz w:val="32"/>
          <w:szCs w:val="32"/>
        </w:rPr>
      </w:pPr>
      <w:r>
        <w:rPr>
          <w:rStyle w:val="16"/>
          <w:rFonts w:eastAsia="仿宋_GB2312"/>
          <w:b w:val="0"/>
          <w:bCs/>
          <w:sz w:val="32"/>
          <w:szCs w:val="32"/>
        </w:rPr>
        <w:t>11.</w:t>
      </w:r>
      <w:r>
        <w:rPr>
          <w:rFonts w:eastAsia="仿宋_GB2312"/>
          <w:bCs/>
          <w:sz w:val="32"/>
          <w:szCs w:val="32"/>
        </w:rPr>
        <w:t>卫生健康支出</w:t>
      </w:r>
      <w:r>
        <w:rPr>
          <w:rStyle w:val="16"/>
          <w:rFonts w:eastAsia="仿宋_GB2312"/>
          <w:b w:val="0"/>
          <w:bCs/>
          <w:sz w:val="32"/>
          <w:szCs w:val="32"/>
        </w:rPr>
        <w:t>（类）行政事业单位医疗（款）公务员医疗补助（项）</w:t>
      </w:r>
      <w:r>
        <w:rPr>
          <w:rFonts w:hint="eastAsia" w:eastAsia="仿宋_GB2312"/>
          <w:sz w:val="32"/>
          <w:szCs w:val="32"/>
        </w:rPr>
        <w:t>：</w:t>
      </w:r>
      <w:r>
        <w:rPr>
          <w:rStyle w:val="16"/>
          <w:rFonts w:eastAsia="仿宋_GB2312"/>
          <w:b w:val="0"/>
          <w:bCs/>
          <w:sz w:val="32"/>
          <w:szCs w:val="32"/>
        </w:rPr>
        <w:t>支出决算为11.17万元，完成预算100%。</w:t>
      </w:r>
    </w:p>
    <w:p>
      <w:pPr>
        <w:spacing w:line="560" w:lineRule="exact"/>
        <w:ind w:firstLine="640" w:firstLineChars="200"/>
        <w:rPr>
          <w:rStyle w:val="16"/>
          <w:rFonts w:eastAsia="仿宋_GB2312"/>
          <w:b w:val="0"/>
          <w:bCs/>
          <w:sz w:val="32"/>
          <w:szCs w:val="32"/>
        </w:rPr>
      </w:pPr>
      <w:r>
        <w:rPr>
          <w:rStyle w:val="16"/>
          <w:rFonts w:eastAsia="仿宋_GB2312"/>
          <w:b w:val="0"/>
          <w:bCs/>
          <w:sz w:val="32"/>
          <w:szCs w:val="32"/>
        </w:rPr>
        <w:t>12.</w:t>
      </w:r>
      <w:r>
        <w:rPr>
          <w:rFonts w:eastAsia="仿宋_GB2312"/>
          <w:bCs/>
          <w:sz w:val="32"/>
          <w:szCs w:val="32"/>
        </w:rPr>
        <w:t>卫生健康支出</w:t>
      </w:r>
      <w:r>
        <w:rPr>
          <w:rStyle w:val="16"/>
          <w:rFonts w:eastAsia="仿宋_GB2312"/>
          <w:b w:val="0"/>
          <w:bCs/>
          <w:sz w:val="32"/>
          <w:szCs w:val="32"/>
        </w:rPr>
        <w:t>（类）行政事业单位医疗（款）其他行政事业单位医疗支出（项）</w:t>
      </w:r>
      <w:r>
        <w:rPr>
          <w:rFonts w:hint="eastAsia" w:eastAsia="仿宋_GB2312"/>
          <w:sz w:val="32"/>
          <w:szCs w:val="32"/>
        </w:rPr>
        <w:t>：</w:t>
      </w:r>
      <w:r>
        <w:rPr>
          <w:rStyle w:val="16"/>
          <w:rFonts w:eastAsia="仿宋_GB2312"/>
          <w:b w:val="0"/>
          <w:bCs/>
          <w:sz w:val="32"/>
          <w:szCs w:val="32"/>
        </w:rPr>
        <w:t>支出决算为1.12万元，完成预算100%。</w:t>
      </w:r>
    </w:p>
    <w:p>
      <w:pPr>
        <w:spacing w:line="560" w:lineRule="exact"/>
        <w:ind w:firstLine="640" w:firstLineChars="200"/>
        <w:rPr>
          <w:rStyle w:val="16"/>
          <w:rFonts w:eastAsia="仿宋_GB2312"/>
          <w:b w:val="0"/>
          <w:bCs/>
          <w:sz w:val="32"/>
          <w:szCs w:val="32"/>
        </w:rPr>
      </w:pPr>
      <w:r>
        <w:rPr>
          <w:rStyle w:val="16"/>
          <w:rFonts w:eastAsia="仿宋_GB2312"/>
          <w:b w:val="0"/>
          <w:bCs/>
          <w:sz w:val="32"/>
          <w:szCs w:val="32"/>
        </w:rPr>
        <w:t>13.</w:t>
      </w:r>
      <w:r>
        <w:rPr>
          <w:rFonts w:eastAsia="仿宋_GB2312"/>
          <w:bCs/>
          <w:sz w:val="32"/>
          <w:szCs w:val="32"/>
        </w:rPr>
        <w:t>住房保障支出</w:t>
      </w:r>
      <w:r>
        <w:rPr>
          <w:rStyle w:val="16"/>
          <w:rFonts w:eastAsia="仿宋_GB2312"/>
          <w:b w:val="0"/>
          <w:bCs/>
          <w:sz w:val="32"/>
          <w:szCs w:val="32"/>
        </w:rPr>
        <w:t>（类）住房改革支出（款）住房公积金（项）</w:t>
      </w:r>
      <w:r>
        <w:rPr>
          <w:rFonts w:hint="eastAsia" w:eastAsia="仿宋_GB2312"/>
          <w:sz w:val="32"/>
          <w:szCs w:val="32"/>
        </w:rPr>
        <w:t>：</w:t>
      </w:r>
      <w:r>
        <w:rPr>
          <w:rStyle w:val="16"/>
          <w:rFonts w:eastAsia="仿宋_GB2312"/>
          <w:b w:val="0"/>
          <w:bCs/>
          <w:sz w:val="32"/>
          <w:szCs w:val="32"/>
        </w:rPr>
        <w:t>支出决算为126.64万元，完成预算100%。</w:t>
      </w:r>
    </w:p>
    <w:bookmarkEnd w:id="52"/>
    <w:bookmarkEnd w:id="53"/>
    <w:bookmarkEnd w:id="54"/>
    <w:bookmarkEnd w:id="55"/>
    <w:p>
      <w:pPr>
        <w:tabs>
          <w:tab w:val="right" w:pos="8306"/>
        </w:tabs>
        <w:spacing w:line="600" w:lineRule="exact"/>
        <w:ind w:firstLine="640"/>
        <w:outlineLvl w:val="1"/>
        <w:rPr>
          <w:rStyle w:val="19"/>
          <w:rFonts w:ascii="黑体" w:hAnsi="黑体" w:eastAsia="黑体"/>
        </w:rPr>
      </w:pPr>
      <w:bookmarkStart w:id="56" w:name="_Toc4396"/>
      <w:bookmarkStart w:id="57" w:name="_Toc15396608"/>
      <w:bookmarkStart w:id="58" w:name="_Toc15377214"/>
      <w:r>
        <w:rPr>
          <w:rFonts w:ascii="黑体" w:hAnsi="黑体" w:eastAsia="黑体"/>
          <w:sz w:val="32"/>
          <w:szCs w:val="32"/>
        </w:rPr>
        <w:t>六</w:t>
      </w:r>
      <w:r>
        <w:rPr>
          <w:rFonts w:ascii="黑体" w:hAnsi="黑体" w:eastAsia="黑体"/>
          <w:b/>
          <w:sz w:val="32"/>
          <w:szCs w:val="32"/>
        </w:rPr>
        <w:t>、一</w:t>
      </w:r>
      <w:r>
        <w:rPr>
          <w:rStyle w:val="19"/>
          <w:rFonts w:ascii="黑体" w:hAnsi="黑体" w:eastAsia="黑体"/>
          <w:b w:val="0"/>
        </w:rPr>
        <w:t>般公共预算财政拨款基本支出决算情况说明</w:t>
      </w:r>
      <w:bookmarkEnd w:id="56"/>
      <w:bookmarkEnd w:id="57"/>
      <w:bookmarkEnd w:id="58"/>
      <w:r>
        <w:rPr>
          <w:rStyle w:val="19"/>
          <w:rFonts w:ascii="黑体" w:hAnsi="黑体" w:eastAsia="黑体"/>
          <w:b w:val="0"/>
        </w:rPr>
        <w:tab/>
      </w:r>
    </w:p>
    <w:p>
      <w:pPr>
        <w:spacing w:line="600" w:lineRule="exact"/>
        <w:ind w:firstLine="645"/>
        <w:rPr>
          <w:rFonts w:eastAsia="仿宋_GB2312"/>
          <w:sz w:val="32"/>
          <w:szCs w:val="32"/>
        </w:rPr>
      </w:pPr>
      <w:r>
        <w:rPr>
          <w:rFonts w:eastAsia="仿宋_GB2312"/>
          <w:sz w:val="32"/>
          <w:szCs w:val="32"/>
        </w:rPr>
        <w:t>2022年一般公共预算财政拨款基本支出1804.14万元，其中：</w:t>
      </w:r>
    </w:p>
    <w:p>
      <w:pPr>
        <w:spacing w:line="600" w:lineRule="exact"/>
        <w:ind w:firstLine="645"/>
        <w:rPr>
          <w:rFonts w:eastAsia="仿宋_GB2312"/>
          <w:sz w:val="32"/>
          <w:szCs w:val="32"/>
        </w:rPr>
      </w:pPr>
      <w:r>
        <w:rPr>
          <w:rFonts w:eastAsia="仿宋_GB2312"/>
          <w:sz w:val="32"/>
          <w:szCs w:val="32"/>
        </w:rPr>
        <w:t>人员经费1451.6万元，主要包括：基本工资、津贴补贴、奖金、绩效工资、机关事业单位基本养老保险缴费、职工基本医疗保险缴费、公务员医疗补助缴费、其他社会保障缴费、住房公积金、医疗费、其他工资福利支出、抚恤金、生活补助、其他对个人和家庭的补助。</w:t>
      </w:r>
    </w:p>
    <w:p>
      <w:pPr>
        <w:spacing w:line="600" w:lineRule="exact"/>
        <w:ind w:firstLine="645"/>
        <w:rPr>
          <w:rFonts w:eastAsia="仿宋_GB2312"/>
          <w:sz w:val="32"/>
          <w:szCs w:val="32"/>
        </w:rPr>
      </w:pPr>
      <w:r>
        <w:rPr>
          <w:rFonts w:eastAsia="仿宋_GB2312"/>
          <w:sz w:val="32"/>
          <w:szCs w:val="32"/>
        </w:rPr>
        <w:t>公用经费352.54万元，主要包括：办公费、印刷费、邮电费、差旅费、维修（护）费、会议费、培训费、公务接待费、劳务费、工会经费、福利费、公务用车运行维护费、其他交通费、其他商品和服务支出。</w:t>
      </w:r>
    </w:p>
    <w:p>
      <w:pPr>
        <w:spacing w:line="600" w:lineRule="exact"/>
        <w:ind w:firstLine="640"/>
        <w:outlineLvl w:val="1"/>
        <w:rPr>
          <w:rStyle w:val="19"/>
          <w:rFonts w:ascii="黑体" w:hAnsi="黑体" w:eastAsia="黑体"/>
          <w:b w:val="0"/>
        </w:rPr>
      </w:pPr>
      <w:bookmarkStart w:id="59" w:name="_Toc2375"/>
      <w:bookmarkStart w:id="60" w:name="_Toc15377215"/>
      <w:bookmarkStart w:id="61" w:name="_Toc15396609"/>
      <w:r>
        <w:rPr>
          <w:rFonts w:ascii="黑体" w:hAnsi="黑体" w:eastAsia="黑体"/>
          <w:sz w:val="32"/>
          <w:szCs w:val="32"/>
        </w:rPr>
        <w:t>七、</w:t>
      </w:r>
      <w:r>
        <w:rPr>
          <w:rStyle w:val="19"/>
          <w:rFonts w:ascii="黑体" w:hAnsi="黑体" w:eastAsia="黑体"/>
          <w:b w:val="0"/>
        </w:rPr>
        <w:t>财政拨款</w:t>
      </w:r>
      <w:r>
        <w:rPr>
          <w:rStyle w:val="19"/>
          <w:rFonts w:ascii="黑体" w:hAnsi="黑体" w:eastAsia="黑体"/>
        </w:rPr>
        <w:t>“</w:t>
      </w:r>
      <w:r>
        <w:rPr>
          <w:rStyle w:val="19"/>
          <w:rFonts w:ascii="黑体" w:hAnsi="黑体" w:eastAsia="黑体"/>
          <w:b w:val="0"/>
        </w:rPr>
        <w:t>三公”经费支出决算情况说明</w:t>
      </w:r>
      <w:bookmarkEnd w:id="59"/>
      <w:bookmarkEnd w:id="60"/>
      <w:bookmarkEnd w:id="61"/>
    </w:p>
    <w:p>
      <w:pPr>
        <w:autoSpaceDE w:val="0"/>
        <w:autoSpaceDN w:val="0"/>
        <w:adjustRightInd w:val="0"/>
        <w:spacing w:line="600" w:lineRule="exact"/>
        <w:ind w:firstLine="643" w:firstLineChars="200"/>
        <w:jc w:val="left"/>
        <w:outlineLvl w:val="2"/>
        <w:rPr>
          <w:rFonts w:ascii="楷体_GB2312" w:eastAsia="楷体_GB2312"/>
          <w:b/>
          <w:bCs/>
          <w:kern w:val="0"/>
          <w:sz w:val="32"/>
          <w:szCs w:val="32"/>
          <w:shd w:val="clear" w:color="auto" w:fill="FFFFFF"/>
          <w:lang w:val="zh-CN"/>
        </w:rPr>
      </w:pPr>
      <w:bookmarkStart w:id="62" w:name="_Toc15377216"/>
      <w:r>
        <w:rPr>
          <w:rFonts w:ascii="楷体_GB2312" w:eastAsia="楷体_GB2312"/>
          <w:b/>
          <w:bCs/>
          <w:kern w:val="0"/>
          <w:sz w:val="32"/>
          <w:szCs w:val="32"/>
          <w:shd w:val="clear" w:color="auto" w:fill="FFFFFF"/>
          <w:lang w:val="zh-CN"/>
        </w:rPr>
        <w:t>（一）“三公”经费财政拨款支出决算总体情况说明</w:t>
      </w:r>
      <w:bookmarkEnd w:id="62"/>
    </w:p>
    <w:p>
      <w:pPr>
        <w:spacing w:line="600" w:lineRule="exact"/>
        <w:ind w:firstLine="640"/>
        <w:rPr>
          <w:rFonts w:eastAsia="仿宋_GB2312"/>
          <w:sz w:val="32"/>
          <w:szCs w:val="32"/>
        </w:rPr>
      </w:pPr>
      <w:r>
        <w:rPr>
          <w:rFonts w:eastAsia="仿宋_GB2312"/>
          <w:sz w:val="32"/>
          <w:szCs w:val="32"/>
        </w:rPr>
        <w:t>2022年“三公”经费财政拨款支出决算为116.32万元，完成预算99.65%，较上年减少49.24万元，下降29.74%。主要原因是2022年比2021年减少更新购置公务用车1辆。</w:t>
      </w:r>
    </w:p>
    <w:p>
      <w:pPr>
        <w:autoSpaceDE w:val="0"/>
        <w:autoSpaceDN w:val="0"/>
        <w:adjustRightInd w:val="0"/>
        <w:spacing w:line="600" w:lineRule="exact"/>
        <w:ind w:firstLine="643" w:firstLineChars="200"/>
        <w:jc w:val="left"/>
        <w:outlineLvl w:val="2"/>
        <w:rPr>
          <w:rFonts w:ascii="楷体_GB2312" w:eastAsia="楷体_GB2312"/>
          <w:b/>
          <w:bCs/>
          <w:kern w:val="0"/>
          <w:sz w:val="32"/>
          <w:szCs w:val="32"/>
          <w:shd w:val="clear" w:color="auto" w:fill="FFFFFF"/>
          <w:lang w:val="zh-CN"/>
        </w:rPr>
      </w:pPr>
      <w:bookmarkStart w:id="63" w:name="_Toc15377217"/>
      <w:r>
        <w:rPr>
          <w:rFonts w:ascii="楷体_GB2312" w:eastAsia="楷体_GB2312"/>
          <w:b/>
          <w:bCs/>
          <w:kern w:val="0"/>
          <w:sz w:val="32"/>
          <w:szCs w:val="32"/>
          <w:shd w:val="clear" w:color="auto" w:fill="FFFFFF"/>
          <w:lang w:val="zh-CN"/>
        </w:rPr>
        <w:t>（二）“三公”经费财政拨款支出决算具体情况说明</w:t>
      </w:r>
      <w:bookmarkEnd w:id="63"/>
    </w:p>
    <w:p>
      <w:pPr>
        <w:spacing w:line="600" w:lineRule="exact"/>
        <w:ind w:firstLine="640"/>
        <w:rPr>
          <w:rFonts w:eastAsia="仿宋_GB2312"/>
          <w:sz w:val="32"/>
          <w:szCs w:val="32"/>
        </w:rPr>
      </w:pPr>
      <w:r>
        <w:rPr>
          <w:rFonts w:eastAsia="仿宋_GB2312"/>
          <w:sz w:val="32"/>
          <w:szCs w:val="32"/>
        </w:rPr>
        <w:t>2022年“三公”经费财政拨款支出决算中，当年未安排因公出国（境）任务</w:t>
      </w:r>
      <w:r>
        <w:rPr>
          <w:rFonts w:hint="eastAsia" w:eastAsia="仿宋_GB2312"/>
          <w:sz w:val="32"/>
          <w:szCs w:val="32"/>
        </w:rPr>
        <w:t>，</w:t>
      </w:r>
      <w:r>
        <w:rPr>
          <w:rFonts w:eastAsia="仿宋_GB2312"/>
          <w:sz w:val="32"/>
          <w:szCs w:val="32"/>
        </w:rPr>
        <w:t>未发生相关费用；公务用车购置及运行维护费支出决算111.99万元，占96.28%；公务接待费支出决算4.33万元，占3.72%。具体情况如下：</w:t>
      </w:r>
    </w:p>
    <w:p>
      <w:pPr>
        <w:spacing w:line="600" w:lineRule="exact"/>
        <w:ind w:firstLine="640"/>
        <w:jc w:val="center"/>
        <w:rPr>
          <w:rFonts w:eastAsia="仿宋_GB2312"/>
          <w:sz w:val="32"/>
          <w:szCs w:val="32"/>
        </w:rPr>
      </w:pPr>
      <w:r>
        <w:rPr>
          <w:rFonts w:eastAsia="仿宋_GB2312"/>
          <w:sz w:val="32"/>
          <w:szCs w:val="32"/>
        </w:rPr>
        <w:t>（图7：“三公”经费财政拨款支出结构）</w:t>
      </w:r>
    </w:p>
    <w:p>
      <w:pPr>
        <w:pStyle w:val="2"/>
        <w:spacing w:before="93"/>
        <w:jc w:val="center"/>
        <w:rPr>
          <w:rFonts w:ascii="Times New Roman"/>
        </w:rPr>
      </w:pPr>
      <w:r>
        <w:rPr>
          <w:rFonts w:ascii="Times New Roman"/>
          <w:b/>
          <w:sz w:val="32"/>
          <w:szCs w:val="32"/>
        </w:rPr>
        <w:drawing>
          <wp:inline distT="0" distB="0" distL="84455" distR="84455">
            <wp:extent cx="4571365" cy="2742565"/>
            <wp:effectExtent l="0" t="0" r="6" b="21"/>
            <wp:docPr id="2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pic:cNvPicPr>
                      <a:picLocks noChangeAspect="1"/>
                    </pic:cNvPicPr>
                  </pic:nvPicPr>
                  <pic:blipFill>
                    <a:blip r:embed="rId12"/>
                    <a:stretch>
                      <a:fillRect/>
                    </a:stretch>
                  </pic:blipFill>
                  <pic:spPr>
                    <a:xfrm>
                      <a:off x="0" y="0"/>
                      <a:ext cx="4571365" cy="2742565"/>
                    </a:xfrm>
                    <a:prstGeom prst="rect">
                      <a:avLst/>
                    </a:prstGeom>
                    <a:noFill/>
                    <a:ln w="9525" cap="flat" cmpd="sng">
                      <a:noFill/>
                      <a:prstDash val="solid"/>
                      <a:miter/>
                    </a:ln>
                  </pic:spPr>
                </pic:pic>
              </a:graphicData>
            </a:graphic>
          </wp:inline>
        </w:drawing>
      </w:r>
    </w:p>
    <w:p>
      <w:pPr>
        <w:spacing w:line="600" w:lineRule="exact"/>
        <w:ind w:firstLine="640"/>
        <w:rPr>
          <w:rFonts w:eastAsia="仿宋_GB2312"/>
          <w:b/>
          <w:sz w:val="32"/>
          <w:szCs w:val="32"/>
        </w:rPr>
      </w:pPr>
      <w:r>
        <w:rPr>
          <w:rFonts w:eastAsia="仿宋_GB2312"/>
          <w:b/>
          <w:sz w:val="32"/>
          <w:szCs w:val="32"/>
        </w:rPr>
        <w:t>1.因公出国（境）经费支出</w:t>
      </w:r>
      <w:r>
        <w:rPr>
          <w:rFonts w:eastAsia="仿宋_GB2312"/>
          <w:sz w:val="32"/>
          <w:szCs w:val="32"/>
        </w:rPr>
        <w:t>0万元</w:t>
      </w:r>
      <w:r>
        <w:rPr>
          <w:rFonts w:hint="eastAsia" w:eastAsia="仿宋_GB2312"/>
          <w:sz w:val="32"/>
          <w:szCs w:val="32"/>
        </w:rPr>
        <w:t>，</w:t>
      </w:r>
      <w:r>
        <w:rPr>
          <w:rFonts w:eastAsia="仿宋_GB2312"/>
          <w:sz w:val="32"/>
          <w:szCs w:val="32"/>
        </w:rPr>
        <w:t>全年安排因公出国（境）团组0次，出国（境）0人。</w:t>
      </w:r>
      <w:r>
        <w:rPr>
          <w:rFonts w:hint="eastAsia" w:ascii="Times New Roman" w:hAnsi="Times New Roman" w:eastAsia="仿宋_GB2312" w:cs="Times New Roman"/>
          <w:color w:val="auto"/>
          <w:sz w:val="32"/>
          <w:szCs w:val="32"/>
          <w:highlight w:val="none"/>
          <w:lang w:val="en-US" w:eastAsia="zh-CN"/>
        </w:rPr>
        <w:t>因公出国（境）支出决算</w:t>
      </w:r>
      <w:r>
        <w:rPr>
          <w:rFonts w:hint="eastAsia" w:eastAsia="仿宋_GB2312" w:cs="Times New Roman"/>
          <w:color w:val="auto"/>
          <w:sz w:val="32"/>
          <w:szCs w:val="32"/>
          <w:highlight w:val="none"/>
          <w:lang w:val="en-US" w:eastAsia="zh-CN"/>
        </w:rPr>
        <w:t>与</w:t>
      </w:r>
      <w:r>
        <w:rPr>
          <w:rFonts w:hint="eastAsia" w:ascii="Times New Roman" w:hAnsi="Times New Roman" w:eastAsia="仿宋_GB2312" w:cs="Times New Roman"/>
          <w:color w:val="auto"/>
          <w:sz w:val="32"/>
          <w:szCs w:val="32"/>
          <w:highlight w:val="none"/>
          <w:lang w:val="en-US" w:eastAsia="zh-CN"/>
        </w:rPr>
        <w:t>2021年</w:t>
      </w:r>
      <w:r>
        <w:rPr>
          <w:rFonts w:hint="eastAsia" w:eastAsia="仿宋_GB2312" w:cs="Times New Roman"/>
          <w:color w:val="auto"/>
          <w:sz w:val="32"/>
          <w:szCs w:val="32"/>
          <w:highlight w:val="none"/>
          <w:lang w:val="en-US" w:eastAsia="zh-CN"/>
        </w:rPr>
        <w:t>持平</w:t>
      </w:r>
      <w:r>
        <w:rPr>
          <w:rFonts w:hint="eastAsia" w:ascii="Times New Roman" w:hAnsi="Times New Roman" w:eastAsia="仿宋_GB2312" w:cs="Times New Roman"/>
          <w:color w:val="auto"/>
          <w:sz w:val="32"/>
          <w:szCs w:val="32"/>
          <w:highlight w:val="none"/>
          <w:lang w:val="en-US" w:eastAsia="zh-CN"/>
        </w:rPr>
        <w:t>。</w:t>
      </w:r>
    </w:p>
    <w:p>
      <w:pPr>
        <w:spacing w:line="600" w:lineRule="exact"/>
        <w:ind w:firstLine="640"/>
        <w:rPr>
          <w:rFonts w:eastAsia="仿宋_GB2312"/>
          <w:sz w:val="32"/>
          <w:szCs w:val="32"/>
        </w:rPr>
      </w:pPr>
      <w:r>
        <w:rPr>
          <w:rFonts w:eastAsia="仿宋_GB2312"/>
          <w:b/>
          <w:sz w:val="32"/>
          <w:szCs w:val="32"/>
        </w:rPr>
        <w:t>2.公务用车购置及运行维护费支出</w:t>
      </w:r>
      <w:r>
        <w:rPr>
          <w:rFonts w:eastAsia="仿宋_GB2312"/>
          <w:sz w:val="32"/>
          <w:szCs w:val="32"/>
        </w:rPr>
        <w:t>111.99万元,</w:t>
      </w:r>
      <w:r>
        <w:rPr>
          <w:rStyle w:val="16"/>
          <w:rFonts w:eastAsia="仿宋_GB2312"/>
          <w:b w:val="0"/>
          <w:bCs/>
          <w:sz w:val="32"/>
          <w:szCs w:val="32"/>
        </w:rPr>
        <w:t>完成预算100%。</w:t>
      </w:r>
      <w:r>
        <w:rPr>
          <w:rFonts w:eastAsia="仿宋_GB2312"/>
          <w:sz w:val="32"/>
          <w:szCs w:val="32"/>
        </w:rPr>
        <w:t>公务用车购置及运行维护费支出决算比2021年减少49.04万元，下降30.45%。主要原因是2022年比2021年减少更新购置公务用车1辆。</w:t>
      </w:r>
    </w:p>
    <w:p>
      <w:pPr>
        <w:spacing w:line="600"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34.99万元。全年按规定更新购置公务用车</w:t>
      </w:r>
      <w:r>
        <w:rPr>
          <w:rFonts w:hint="eastAsia" w:eastAsia="仿宋_GB2312"/>
          <w:sz w:val="32"/>
          <w:szCs w:val="32"/>
        </w:rPr>
        <w:t>（</w:t>
      </w:r>
      <w:r>
        <w:rPr>
          <w:rFonts w:eastAsia="仿宋_GB2312"/>
          <w:sz w:val="32"/>
          <w:szCs w:val="32"/>
        </w:rPr>
        <w:t>越野车</w:t>
      </w:r>
      <w:r>
        <w:rPr>
          <w:rFonts w:hint="eastAsia" w:eastAsia="仿宋_GB2312"/>
          <w:sz w:val="32"/>
          <w:szCs w:val="32"/>
        </w:rPr>
        <w:t>）</w:t>
      </w:r>
      <w:r>
        <w:rPr>
          <w:rFonts w:eastAsia="仿宋_GB2312"/>
          <w:sz w:val="32"/>
          <w:szCs w:val="32"/>
        </w:rPr>
        <w:t>1辆，金额34.99万元，主要用于应急保障等。截至2022年12月底，单位共有公务用车10辆，其中：轿车2辆、越野车8辆。</w:t>
      </w:r>
    </w:p>
    <w:p>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77万元。主要用于</w:t>
      </w:r>
      <w:r>
        <w:rPr>
          <w:rFonts w:eastAsia="仿宋_GB2312"/>
          <w:color w:val="000000"/>
          <w:sz w:val="32"/>
          <w:szCs w:val="32"/>
        </w:rPr>
        <w:t>疫情防控、环保督察、招商引资、对外交流、参加会议、工作督查调研等所需的公务用车燃料费、维修</w:t>
      </w:r>
      <w:r>
        <w:rPr>
          <w:rFonts w:hint="eastAsia" w:eastAsia="仿宋_GB2312"/>
          <w:color w:val="000000"/>
          <w:sz w:val="32"/>
          <w:szCs w:val="32"/>
        </w:rPr>
        <w:t>（护）</w:t>
      </w:r>
      <w:r>
        <w:rPr>
          <w:rFonts w:eastAsia="仿宋_GB2312"/>
          <w:color w:val="000000"/>
          <w:sz w:val="32"/>
          <w:szCs w:val="32"/>
        </w:rPr>
        <w:t>费、过路过桥费、保险费等</w:t>
      </w:r>
      <w:r>
        <w:rPr>
          <w:rFonts w:eastAsia="仿宋_GB2312"/>
          <w:sz w:val="32"/>
          <w:szCs w:val="32"/>
        </w:rPr>
        <w:t>支出。</w:t>
      </w:r>
    </w:p>
    <w:p>
      <w:pPr>
        <w:spacing w:line="600" w:lineRule="exact"/>
        <w:ind w:firstLine="640"/>
        <w:rPr>
          <w:rFonts w:eastAsia="仿宋_GB2312"/>
          <w:sz w:val="32"/>
          <w:szCs w:val="32"/>
        </w:rPr>
      </w:pPr>
      <w:r>
        <w:rPr>
          <w:rFonts w:eastAsia="仿宋_GB2312"/>
          <w:b/>
          <w:sz w:val="32"/>
          <w:szCs w:val="32"/>
        </w:rPr>
        <w:t>3.公务接待费支出</w:t>
      </w:r>
      <w:r>
        <w:rPr>
          <w:rFonts w:eastAsia="仿宋_GB2312"/>
          <w:color w:val="000000"/>
          <w:sz w:val="32"/>
          <w:szCs w:val="32"/>
        </w:rPr>
        <w:t>4.33万元，完成预算91.35%。公务接待费支出决算比2021年减少0.2万元，下降4.42%。主要原因是严格执行各项规定，压减开支。其中：</w:t>
      </w:r>
    </w:p>
    <w:p>
      <w:pPr>
        <w:spacing w:line="600" w:lineRule="exact"/>
        <w:ind w:firstLine="640"/>
        <w:rPr>
          <w:rFonts w:eastAsia="仿宋_GB2312"/>
          <w:sz w:val="32"/>
          <w:szCs w:val="32"/>
        </w:rPr>
      </w:pPr>
      <w:r>
        <w:rPr>
          <w:rFonts w:eastAsia="仿宋_GB2312"/>
          <w:b/>
          <w:sz w:val="32"/>
          <w:szCs w:val="32"/>
        </w:rPr>
        <w:t>国内公务接待支出</w:t>
      </w:r>
      <w:r>
        <w:rPr>
          <w:rFonts w:eastAsia="仿宋_GB2312"/>
          <w:sz w:val="32"/>
          <w:szCs w:val="32"/>
        </w:rPr>
        <w:t>4.33万元，主要用于执行公务、开展业务活动开支的餐费等。国内公务接待25批次，270人次，共计支出4.33万元，具体内容包括：国办调研、国企考察、省政府督查、相关市（州）考察学习等。</w:t>
      </w:r>
    </w:p>
    <w:p>
      <w:pPr>
        <w:spacing w:line="600" w:lineRule="exact"/>
        <w:ind w:firstLine="643" w:firstLineChars="200"/>
        <w:rPr>
          <w:rFonts w:eastAsia="仿宋_GB2312"/>
          <w:sz w:val="32"/>
          <w:szCs w:val="32"/>
        </w:rPr>
      </w:pPr>
      <w:r>
        <w:rPr>
          <w:rFonts w:eastAsia="仿宋_GB2312"/>
          <w:b/>
          <w:sz w:val="32"/>
          <w:szCs w:val="32"/>
        </w:rPr>
        <w:t>外事接待支出</w:t>
      </w:r>
      <w:r>
        <w:rPr>
          <w:rFonts w:eastAsia="仿宋_GB2312"/>
          <w:sz w:val="32"/>
          <w:szCs w:val="32"/>
        </w:rPr>
        <w:t>0万元。</w:t>
      </w:r>
      <w:r>
        <w:rPr>
          <w:rFonts w:hint="eastAsia" w:eastAsia="仿宋_GB2312" w:cs="Times New Roman"/>
          <w:color w:val="auto"/>
          <w:sz w:val="32"/>
          <w:szCs w:val="32"/>
          <w:highlight w:val="none"/>
          <w:lang w:val="en-US" w:eastAsia="zh-CN"/>
        </w:rPr>
        <w:t>外事接待批次0人次，共计支出0万元。</w:t>
      </w:r>
    </w:p>
    <w:p>
      <w:pPr>
        <w:spacing w:line="600" w:lineRule="exact"/>
        <w:ind w:firstLine="640"/>
        <w:outlineLvl w:val="1"/>
        <w:rPr>
          <w:rStyle w:val="19"/>
          <w:rFonts w:ascii="黑体" w:hAnsi="黑体" w:eastAsia="黑体"/>
        </w:rPr>
      </w:pPr>
      <w:bookmarkStart w:id="64" w:name="_Toc15377218"/>
      <w:bookmarkStart w:id="65" w:name="_Toc15396610"/>
      <w:bookmarkStart w:id="66" w:name="_Toc6418"/>
      <w:r>
        <w:rPr>
          <w:rFonts w:ascii="黑体" w:hAnsi="黑体" w:eastAsia="黑体"/>
          <w:sz w:val="32"/>
          <w:szCs w:val="32"/>
        </w:rPr>
        <w:t>八、</w:t>
      </w:r>
      <w:r>
        <w:rPr>
          <w:rStyle w:val="19"/>
          <w:rFonts w:ascii="黑体" w:hAnsi="黑体" w:eastAsia="黑体"/>
          <w:b w:val="0"/>
        </w:rPr>
        <w:t>政府性基金预算支出决算情况说明</w:t>
      </w:r>
      <w:bookmarkEnd w:id="64"/>
      <w:bookmarkEnd w:id="65"/>
      <w:bookmarkEnd w:id="66"/>
    </w:p>
    <w:p>
      <w:pPr>
        <w:spacing w:line="600" w:lineRule="exact"/>
        <w:ind w:firstLine="640"/>
        <w:rPr>
          <w:rFonts w:eastAsia="仿宋_GB2312"/>
          <w:sz w:val="32"/>
          <w:szCs w:val="32"/>
        </w:rPr>
      </w:pPr>
      <w:r>
        <w:rPr>
          <w:rFonts w:eastAsia="仿宋_GB2312"/>
          <w:sz w:val="32"/>
          <w:szCs w:val="32"/>
        </w:rPr>
        <w:t>2022年政府性基金预算财政拨款支出0万元。</w:t>
      </w:r>
    </w:p>
    <w:p>
      <w:pPr>
        <w:numPr>
          <w:ilvl w:val="0"/>
          <w:numId w:val="2"/>
        </w:numPr>
        <w:spacing w:line="600" w:lineRule="exact"/>
        <w:ind w:firstLine="640"/>
        <w:outlineLvl w:val="1"/>
        <w:rPr>
          <w:rStyle w:val="19"/>
          <w:rFonts w:ascii="黑体" w:hAnsi="黑体" w:eastAsia="黑体"/>
          <w:b w:val="0"/>
        </w:rPr>
      </w:pPr>
      <w:bookmarkStart w:id="67" w:name="_Toc15396611"/>
      <w:bookmarkStart w:id="68" w:name="_Toc14989"/>
      <w:bookmarkStart w:id="69" w:name="_Toc15377219"/>
      <w:r>
        <w:rPr>
          <w:rStyle w:val="19"/>
          <w:rFonts w:ascii="黑体" w:hAnsi="黑体" w:eastAsia="黑体"/>
          <w:b w:val="0"/>
        </w:rPr>
        <w:t>国有资本经营预算支出决算情况说明</w:t>
      </w:r>
      <w:bookmarkEnd w:id="67"/>
      <w:bookmarkEnd w:id="68"/>
      <w:bookmarkEnd w:id="69"/>
    </w:p>
    <w:p>
      <w:pPr>
        <w:spacing w:line="600" w:lineRule="exact"/>
        <w:ind w:firstLine="640"/>
        <w:rPr>
          <w:rFonts w:eastAsia="仿宋_GB2312"/>
          <w:sz w:val="32"/>
          <w:szCs w:val="32"/>
        </w:rPr>
      </w:pPr>
      <w:r>
        <w:rPr>
          <w:rFonts w:eastAsia="仿宋_GB2312"/>
          <w:sz w:val="32"/>
          <w:szCs w:val="32"/>
        </w:rPr>
        <w:t>2022年国有资本经营预算财政拨款支出0万元。</w:t>
      </w:r>
    </w:p>
    <w:p>
      <w:pPr>
        <w:numPr>
          <w:ilvl w:val="0"/>
          <w:numId w:val="2"/>
        </w:numPr>
        <w:spacing w:line="600" w:lineRule="exact"/>
        <w:ind w:firstLine="640"/>
        <w:outlineLvl w:val="1"/>
        <w:rPr>
          <w:rStyle w:val="19"/>
          <w:rFonts w:ascii="黑体" w:hAnsi="黑体" w:eastAsia="黑体"/>
          <w:b w:val="0"/>
        </w:rPr>
      </w:pPr>
      <w:bookmarkStart w:id="70" w:name="_Toc15396612"/>
      <w:bookmarkStart w:id="71" w:name="_Toc30716"/>
      <w:bookmarkStart w:id="72" w:name="_Toc15377221"/>
      <w:r>
        <w:rPr>
          <w:rStyle w:val="19"/>
          <w:rFonts w:ascii="黑体" w:hAnsi="黑体" w:eastAsia="黑体"/>
          <w:b w:val="0"/>
        </w:rPr>
        <w:t>其他重要事项的情况说明</w:t>
      </w:r>
      <w:bookmarkEnd w:id="70"/>
      <w:bookmarkEnd w:id="71"/>
      <w:bookmarkEnd w:id="72"/>
    </w:p>
    <w:p>
      <w:pPr>
        <w:autoSpaceDE w:val="0"/>
        <w:autoSpaceDN w:val="0"/>
        <w:adjustRightInd w:val="0"/>
        <w:spacing w:line="600" w:lineRule="exact"/>
        <w:ind w:firstLine="643" w:firstLineChars="200"/>
        <w:jc w:val="left"/>
        <w:outlineLvl w:val="2"/>
        <w:rPr>
          <w:rFonts w:ascii="楷体_GB2312" w:eastAsia="楷体_GB2312"/>
          <w:b/>
          <w:bCs/>
          <w:kern w:val="0"/>
          <w:sz w:val="32"/>
          <w:szCs w:val="32"/>
          <w:shd w:val="clear" w:color="auto" w:fill="FFFFFF"/>
          <w:lang w:val="zh-CN"/>
        </w:rPr>
      </w:pPr>
      <w:bookmarkStart w:id="73" w:name="_Toc15377222"/>
      <w:r>
        <w:rPr>
          <w:rFonts w:ascii="楷体_GB2312" w:eastAsia="楷体_GB2312"/>
          <w:b/>
          <w:bCs/>
          <w:kern w:val="0"/>
          <w:sz w:val="32"/>
          <w:szCs w:val="32"/>
          <w:shd w:val="clear" w:color="auto" w:fill="FFFFFF"/>
          <w:lang w:val="zh-CN"/>
        </w:rPr>
        <w:t>（一）机关运行经费支出情况</w:t>
      </w:r>
      <w:bookmarkEnd w:id="73"/>
    </w:p>
    <w:p>
      <w:pPr>
        <w:spacing w:line="600" w:lineRule="exact"/>
        <w:ind w:firstLine="640" w:firstLineChars="200"/>
        <w:rPr>
          <w:rFonts w:eastAsia="仿宋_GB2312"/>
          <w:sz w:val="32"/>
          <w:szCs w:val="32"/>
        </w:rPr>
      </w:pPr>
      <w:r>
        <w:rPr>
          <w:rFonts w:eastAsia="仿宋_GB2312"/>
          <w:sz w:val="32"/>
          <w:szCs w:val="32"/>
        </w:rPr>
        <w:t>2022年，市政府办公室机关运行经费支出352.54万元，比2021年增加25.33万元，增长7.74%。主要原因是：一是政府公报及专项资料编印费项目支出功能分类为行政运行，在基本支出印刷费中列支；二是</w:t>
      </w:r>
      <w:r>
        <w:rPr>
          <w:rFonts w:eastAsia="仿宋_GB2312"/>
          <w:color w:val="000000"/>
          <w:sz w:val="32"/>
          <w:szCs w:val="32"/>
        </w:rPr>
        <w:t>2022年市政府办公室与市疫情防控应急指挥部办公室合署办公，增加</w:t>
      </w:r>
      <w:r>
        <w:rPr>
          <w:rFonts w:hint="eastAsia" w:eastAsia="仿宋_GB2312"/>
          <w:color w:val="000000"/>
          <w:sz w:val="32"/>
          <w:szCs w:val="32"/>
        </w:rPr>
        <w:t>工作</w:t>
      </w:r>
      <w:r>
        <w:rPr>
          <w:rFonts w:eastAsia="仿宋_GB2312"/>
          <w:color w:val="000000"/>
          <w:sz w:val="32"/>
          <w:szCs w:val="32"/>
        </w:rPr>
        <w:t>经费</w:t>
      </w:r>
      <w:r>
        <w:rPr>
          <w:rFonts w:eastAsia="仿宋_GB2312"/>
          <w:sz w:val="32"/>
          <w:szCs w:val="32"/>
        </w:rPr>
        <w:t>。</w:t>
      </w:r>
    </w:p>
    <w:p>
      <w:pPr>
        <w:autoSpaceDE w:val="0"/>
        <w:autoSpaceDN w:val="0"/>
        <w:adjustRightInd w:val="0"/>
        <w:spacing w:line="600" w:lineRule="exact"/>
        <w:ind w:firstLine="643" w:firstLineChars="200"/>
        <w:jc w:val="left"/>
        <w:outlineLvl w:val="2"/>
        <w:rPr>
          <w:rFonts w:ascii="楷体_GB2312" w:eastAsia="楷体_GB2312"/>
          <w:b/>
          <w:bCs/>
          <w:kern w:val="0"/>
          <w:sz w:val="32"/>
          <w:szCs w:val="32"/>
          <w:shd w:val="clear" w:color="auto" w:fill="FFFFFF"/>
          <w:lang w:val="zh-CN"/>
        </w:rPr>
      </w:pPr>
      <w:bookmarkStart w:id="74" w:name="_Toc15377223"/>
      <w:r>
        <w:rPr>
          <w:rFonts w:ascii="楷体_GB2312" w:eastAsia="楷体_GB2312"/>
          <w:b/>
          <w:bCs/>
          <w:kern w:val="0"/>
          <w:sz w:val="32"/>
          <w:szCs w:val="32"/>
          <w:shd w:val="clear" w:color="auto" w:fill="FFFFFF"/>
          <w:lang w:val="zh-CN"/>
        </w:rPr>
        <w:t>（二）政府采购支出情况</w:t>
      </w:r>
      <w:bookmarkEnd w:id="74"/>
    </w:p>
    <w:p>
      <w:pPr>
        <w:spacing w:line="600" w:lineRule="exact"/>
        <w:ind w:firstLine="640" w:firstLineChars="200"/>
        <w:rPr>
          <w:rFonts w:eastAsia="仿宋_GB2312"/>
          <w:sz w:val="32"/>
          <w:szCs w:val="32"/>
        </w:rPr>
      </w:pPr>
      <w:r>
        <w:rPr>
          <w:rFonts w:eastAsia="仿宋_GB2312"/>
          <w:sz w:val="32"/>
          <w:szCs w:val="32"/>
        </w:rPr>
        <w:t>2022年，市政府办公室政府采购支出总额344.1万元，其中：政府采购货物支出308.4万元，主要用于采购“一网协同”OA办公平台、电子政务外网核心机房设备、电子政务外网视频会议系统终端升级设备；政府采购服务支出35.7万元，主要用于采购市级电子政务外网网络安全等级测评服务项目、市政府门户网站2022年《市长访谈》栏目建设项目。</w:t>
      </w:r>
    </w:p>
    <w:p>
      <w:pPr>
        <w:autoSpaceDE w:val="0"/>
        <w:autoSpaceDN w:val="0"/>
        <w:adjustRightInd w:val="0"/>
        <w:spacing w:line="600" w:lineRule="exact"/>
        <w:ind w:firstLine="643" w:firstLineChars="200"/>
        <w:jc w:val="left"/>
        <w:outlineLvl w:val="2"/>
        <w:rPr>
          <w:rFonts w:ascii="楷体_GB2312" w:eastAsia="楷体_GB2312"/>
          <w:b/>
          <w:bCs/>
          <w:kern w:val="0"/>
          <w:sz w:val="32"/>
          <w:szCs w:val="32"/>
          <w:shd w:val="clear" w:color="auto" w:fill="FFFFFF"/>
          <w:lang w:val="zh-CN"/>
        </w:rPr>
      </w:pPr>
      <w:bookmarkStart w:id="75" w:name="_Toc15377224"/>
      <w:r>
        <w:rPr>
          <w:rFonts w:ascii="楷体_GB2312" w:eastAsia="楷体_GB2312"/>
          <w:b/>
          <w:bCs/>
          <w:kern w:val="0"/>
          <w:sz w:val="32"/>
          <w:szCs w:val="32"/>
          <w:shd w:val="clear" w:color="auto" w:fill="FFFFFF"/>
          <w:lang w:val="zh-CN"/>
        </w:rPr>
        <w:t>（三）国有资产占有使用情况</w:t>
      </w:r>
      <w:bookmarkEnd w:id="75"/>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截至2022年12月31日，市政府办公室共有车辆10辆，均为一般公务用车。</w:t>
      </w:r>
    </w:p>
    <w:p>
      <w:pPr>
        <w:autoSpaceDE w:val="0"/>
        <w:autoSpaceDN w:val="0"/>
        <w:adjustRightInd w:val="0"/>
        <w:spacing w:line="600" w:lineRule="exact"/>
        <w:ind w:firstLine="643" w:firstLineChars="200"/>
        <w:jc w:val="left"/>
        <w:outlineLvl w:val="2"/>
        <w:rPr>
          <w:rFonts w:ascii="楷体_GB2312" w:eastAsia="楷体_GB2312"/>
          <w:b/>
          <w:bCs/>
          <w:kern w:val="0"/>
          <w:sz w:val="32"/>
          <w:szCs w:val="32"/>
          <w:shd w:val="clear" w:color="auto" w:fill="FFFFFF"/>
          <w:lang w:val="zh-CN"/>
        </w:rPr>
      </w:pPr>
      <w:r>
        <w:rPr>
          <w:rFonts w:ascii="楷体_GB2312" w:eastAsia="楷体_GB2312"/>
          <w:b/>
          <w:bCs/>
          <w:kern w:val="0"/>
          <w:sz w:val="32"/>
          <w:szCs w:val="32"/>
          <w:shd w:val="clear" w:color="auto" w:fill="FFFFFF"/>
          <w:lang w:val="zh-CN"/>
        </w:rPr>
        <w:t>（四）预算绩效管理情况</w:t>
      </w:r>
    </w:p>
    <w:p>
      <w:pPr>
        <w:ind w:firstLine="640" w:firstLineChars="200"/>
        <w:jc w:val="left"/>
        <w:rPr>
          <w:rFonts w:eastAsia="仿宋_GB2312"/>
          <w:sz w:val="32"/>
          <w:szCs w:val="32"/>
        </w:rPr>
      </w:pPr>
      <w:r>
        <w:rPr>
          <w:rFonts w:eastAsia="仿宋_GB2312"/>
          <w:sz w:val="32"/>
          <w:szCs w:val="32"/>
        </w:rPr>
        <w:t>根据预算绩效管理要求，本部门在2022年度预算编制阶段，组织对9个项目（市政府常务会全体会会议费、电子政务及专用网络运维经费、监督执纪问责专项经费、政府综合管理业务专项经费、政务访谈经费（含市长访谈）、专项督查督办及调研经费、应急指挥中心经费、市政府总值班室经费、政府公报及专项资料编印费）开展了预算事前绩效评估，对9个项目编制了绩效目标，预算执行过程中，选取3个项目开展绩效监控。</w:t>
      </w:r>
    </w:p>
    <w:p>
      <w:pPr>
        <w:adjustRightInd w:val="0"/>
        <w:snapToGrid w:val="0"/>
        <w:spacing w:line="560" w:lineRule="exact"/>
        <w:ind w:firstLine="640" w:firstLineChars="200"/>
        <w:contextualSpacing/>
        <w:jc w:val="left"/>
        <w:rPr>
          <w:rFonts w:eastAsia="仿宋_GB2312"/>
          <w:b/>
          <w:bCs/>
          <w:kern w:val="0"/>
          <w:sz w:val="32"/>
          <w:szCs w:val="32"/>
          <w:shd w:val="clear" w:color="auto" w:fill="FFFFFF"/>
          <w:lang w:val="zh-CN"/>
        </w:rPr>
      </w:pPr>
      <w:r>
        <w:rPr>
          <w:rFonts w:eastAsia="仿宋_GB2312"/>
          <w:sz w:val="32"/>
          <w:szCs w:val="32"/>
        </w:rPr>
        <w:t>组织对2022年度一般公共预算全面开展绩效自评，形成2022年市级部门整体（含部门预算项目）绩效评价报告，自评得分为96分，绩效自评综述：</w:t>
      </w:r>
      <w:r>
        <w:rPr>
          <w:rFonts w:eastAsia="仿宋_GB2312"/>
          <w:sz w:val="32"/>
          <w:szCs w:val="32"/>
          <w:lang w:val="zh-CN"/>
        </w:rPr>
        <w:t>按照市级部门整体支出绩效评价指标体系，基本完成了年度预算绩效管理目标，扣分项主要涉及部门预算支出完成率、管理制度创新、自评质量、项目支出绩效。总体看，市政府办公室预算编制及执行较为准确，支出管理较为规范，财务管理制度较完善，部门整体绩效较好。</w:t>
      </w:r>
      <w:r>
        <w:rPr>
          <w:rFonts w:eastAsia="仿宋_GB2312"/>
          <w:sz w:val="32"/>
          <w:szCs w:val="32"/>
        </w:rPr>
        <w:t>绩效自评报告详见附件。</w:t>
      </w:r>
      <w:r>
        <w:rPr>
          <w:rFonts w:eastAsia="仿宋_GB2312"/>
          <w:b/>
          <w:sz w:val="32"/>
          <w:szCs w:val="32"/>
        </w:rPr>
        <w:br w:type="page"/>
      </w:r>
    </w:p>
    <w:p>
      <w:pPr>
        <w:numPr>
          <w:ilvl w:val="0"/>
          <w:numId w:val="3"/>
        </w:numPr>
        <w:spacing w:line="600" w:lineRule="exact"/>
        <w:ind w:firstLine="39" w:firstLineChars="9"/>
        <w:jc w:val="center"/>
        <w:outlineLvl w:val="0"/>
        <w:rPr>
          <w:rStyle w:val="18"/>
          <w:rFonts w:ascii="方正小标宋简体" w:eastAsia="方正小标宋简体"/>
          <w:b w:val="0"/>
        </w:rPr>
      </w:pPr>
      <w:bookmarkStart w:id="76" w:name="_Toc15377225"/>
      <w:bookmarkStart w:id="77" w:name="_Toc15396613"/>
      <w:bookmarkStart w:id="78" w:name="_Toc23740"/>
      <w:r>
        <w:rPr>
          <w:rFonts w:hint="eastAsia" w:ascii="方正小标宋简体" w:eastAsia="方正小标宋简体"/>
          <w:sz w:val="44"/>
          <w:szCs w:val="44"/>
        </w:rPr>
        <w:t>名</w:t>
      </w:r>
      <w:r>
        <w:rPr>
          <w:rStyle w:val="18"/>
          <w:rFonts w:hint="eastAsia" w:ascii="方正小标宋简体" w:eastAsia="方正小标宋简体"/>
          <w:b w:val="0"/>
        </w:rPr>
        <w:t>词解释</w:t>
      </w:r>
      <w:bookmarkEnd w:id="76"/>
      <w:bookmarkEnd w:id="77"/>
      <w:bookmarkEnd w:id="78"/>
    </w:p>
    <w:p>
      <w:pPr>
        <w:spacing w:line="600" w:lineRule="exact"/>
        <w:jc w:val="left"/>
        <w:rPr>
          <w:rFonts w:eastAsia="仿宋_GB2312"/>
          <w:b/>
          <w:sz w:val="44"/>
          <w:szCs w:val="44"/>
        </w:rPr>
      </w:pPr>
    </w:p>
    <w:p>
      <w:pPr>
        <w:pStyle w:val="24"/>
        <w:spacing w:line="560" w:lineRule="exact"/>
        <w:ind w:firstLine="640" w:firstLineChars="200"/>
        <w:outlineLvl w:val="1"/>
        <w:rPr>
          <w:rFonts w:ascii="Times New Roman" w:eastAsia="仿宋_GB2312" w:cs="Times New Roman"/>
          <w:color w:val="auto"/>
          <w:sz w:val="32"/>
          <w:szCs w:val="32"/>
        </w:rPr>
      </w:pPr>
      <w:bookmarkStart w:id="79" w:name="_Toc3908"/>
      <w:r>
        <w:rPr>
          <w:rFonts w:ascii="Times New Roman" w:eastAsia="仿宋_GB2312" w:cs="Times New Roman"/>
          <w:color w:val="auto"/>
          <w:sz w:val="32"/>
          <w:szCs w:val="32"/>
        </w:rPr>
        <w:t>1.财政拨款收入</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指单位从同级财政部门取得的财政预算资金。</w:t>
      </w:r>
      <w:bookmarkEnd w:id="79"/>
    </w:p>
    <w:p>
      <w:pPr>
        <w:pStyle w:val="24"/>
        <w:spacing w:line="560" w:lineRule="exact"/>
        <w:ind w:firstLine="640" w:firstLineChars="200"/>
        <w:rPr>
          <w:rFonts w:ascii="Times New Roman" w:eastAsia="仿宋_GB2312" w:cs="Times New Roman"/>
          <w:color w:val="auto"/>
          <w:sz w:val="32"/>
          <w:szCs w:val="32"/>
        </w:rPr>
      </w:pPr>
      <w:r>
        <w:rPr>
          <w:rFonts w:ascii="Times New Roman" w:eastAsia="仿宋_GB2312" w:cs="Times New Roman"/>
          <w:color w:val="auto"/>
          <w:sz w:val="32"/>
          <w:szCs w:val="32"/>
        </w:rPr>
        <w:t>2.事业收入</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指事业单位开展专业业务活动及辅助活动取得的收入。</w:t>
      </w:r>
    </w:p>
    <w:p>
      <w:pPr>
        <w:pStyle w:val="24"/>
        <w:spacing w:line="560" w:lineRule="exact"/>
        <w:ind w:firstLine="640" w:firstLineChars="200"/>
        <w:rPr>
          <w:rFonts w:ascii="Times New Roman" w:eastAsia="仿宋_GB2312" w:cs="Times New Roman"/>
          <w:color w:val="auto"/>
          <w:sz w:val="32"/>
          <w:szCs w:val="32"/>
        </w:rPr>
      </w:pPr>
      <w:r>
        <w:rPr>
          <w:rFonts w:ascii="Times New Roman" w:eastAsia="仿宋_GB2312" w:cs="Times New Roman"/>
          <w:color w:val="auto"/>
          <w:sz w:val="32"/>
          <w:szCs w:val="32"/>
        </w:rPr>
        <w:t>3.经营收入</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指事业单位在专业业务活动及其辅助活动之外开展非独立核算经营活动取得的收入。</w:t>
      </w:r>
    </w:p>
    <w:p>
      <w:pPr>
        <w:pStyle w:val="24"/>
        <w:spacing w:line="560" w:lineRule="exact"/>
        <w:ind w:firstLine="640" w:firstLineChars="200"/>
        <w:rPr>
          <w:rFonts w:ascii="Times New Roman" w:eastAsia="仿宋_GB2312" w:cs="Times New Roman"/>
          <w:color w:val="auto"/>
          <w:sz w:val="32"/>
          <w:szCs w:val="32"/>
        </w:rPr>
      </w:pPr>
      <w:r>
        <w:rPr>
          <w:rFonts w:ascii="Times New Roman" w:eastAsia="仿宋_GB2312" w:cs="Times New Roman"/>
          <w:color w:val="auto"/>
          <w:sz w:val="32"/>
          <w:szCs w:val="32"/>
        </w:rPr>
        <w:t xml:space="preserve">4.其他收入：指单位取得的除上述收入以外的各项收入。 </w:t>
      </w:r>
    </w:p>
    <w:p>
      <w:pPr>
        <w:pStyle w:val="24"/>
        <w:spacing w:line="560" w:lineRule="exact"/>
        <w:ind w:firstLine="640" w:firstLineChars="200"/>
        <w:rPr>
          <w:rFonts w:ascii="Times New Roman" w:eastAsia="仿宋_GB2312" w:cs="Times New Roman"/>
          <w:color w:val="auto"/>
          <w:sz w:val="32"/>
          <w:szCs w:val="32"/>
        </w:rPr>
      </w:pPr>
      <w:r>
        <w:rPr>
          <w:rFonts w:ascii="Times New Roman" w:eastAsia="仿宋_GB2312" w:cs="Times New Roman"/>
          <w:color w:val="auto"/>
          <w:sz w:val="32"/>
          <w:szCs w:val="32"/>
        </w:rPr>
        <w:t>5.使用非财政拨款结余：指事业单位使用以前年度积累的非财政拨款结余弥补当年收支差额的金额。</w:t>
      </w:r>
    </w:p>
    <w:p>
      <w:pPr>
        <w:pStyle w:val="24"/>
        <w:spacing w:line="560" w:lineRule="exact"/>
        <w:ind w:firstLine="640" w:firstLineChars="200"/>
        <w:rPr>
          <w:rFonts w:ascii="Times New Roman" w:eastAsia="仿宋_GB2312" w:cs="Times New Roman"/>
          <w:color w:val="auto"/>
          <w:sz w:val="32"/>
          <w:szCs w:val="32"/>
        </w:rPr>
      </w:pPr>
      <w:r>
        <w:rPr>
          <w:rFonts w:ascii="Times New Roman" w:eastAsia="仿宋_GB2312" w:cs="Times New Roman"/>
          <w:color w:val="auto"/>
          <w:sz w:val="32"/>
          <w:szCs w:val="32"/>
        </w:rPr>
        <w:t xml:space="preserve">6.年初结转和结余：指以前年度尚未完成、结转到本年按有关规定继续使用的资金。 </w:t>
      </w:r>
    </w:p>
    <w:p>
      <w:pPr>
        <w:pStyle w:val="24"/>
        <w:spacing w:line="560" w:lineRule="exact"/>
        <w:ind w:firstLine="640" w:firstLineChars="200"/>
        <w:rPr>
          <w:rFonts w:ascii="Times New Roman" w:eastAsia="仿宋_GB2312" w:cs="Times New Roman"/>
          <w:color w:val="auto"/>
          <w:sz w:val="32"/>
          <w:szCs w:val="32"/>
        </w:rPr>
      </w:pPr>
      <w:r>
        <w:rPr>
          <w:rFonts w:ascii="Times New Roman" w:eastAsia="仿宋_GB2312" w:cs="Times New Roman"/>
          <w:color w:val="auto"/>
          <w:sz w:val="32"/>
          <w:szCs w:val="32"/>
        </w:rPr>
        <w:t>7.结余分配</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指事业单位按照会计制度规定缴纳的所得税、提取的专用结余以及转入非财政拨款结余的金额等。</w:t>
      </w:r>
    </w:p>
    <w:p>
      <w:pPr>
        <w:pStyle w:val="24"/>
        <w:spacing w:line="560" w:lineRule="exact"/>
        <w:ind w:firstLine="640" w:firstLineChars="200"/>
        <w:rPr>
          <w:rFonts w:ascii="Times New Roman" w:eastAsia="仿宋_GB2312" w:cs="Times New Roman"/>
          <w:color w:val="auto"/>
          <w:sz w:val="32"/>
          <w:szCs w:val="32"/>
        </w:rPr>
      </w:pPr>
      <w:r>
        <w:rPr>
          <w:rFonts w:ascii="Times New Roman" w:eastAsia="仿宋_GB2312" w:cs="Times New Roman"/>
          <w:color w:val="auto"/>
          <w:sz w:val="32"/>
          <w:szCs w:val="32"/>
        </w:rPr>
        <w:t>8.年末结转和结余：指单位按有关规定结转到下年或以后年度继续使用的资金。</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9.一般公共服务（类）政府办公厅（室）及相关机构事务（款）行政运行（项）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指行政单位（包括实行公务员管理的事业单位）的基本支出。</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10.一般公共服务（类）政府办公厅（室）及相关机构事务（款）一般行政管理事务（项）：指行政单位（包括实行公务员管理的事业单位）未单独设置项级科目的其他项目支出。</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11.一般公共服务（类）政府办公厅（室）及相关机构事务（款）事业运行（项）：指事业单位的基本支出，不包括行政单位（包括实行公务员管理的事业单位）后勤服务中心、医务室等附属事业单位。</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12.一般公共服务（类）政府办公厅（室）及相关机构事务（款）其他政府办公厅（室）及相关机构事务支出（项）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指除上述项目以外的其他政府办公厅（室）及相关机构事务支出。</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13.社会保障和就业（类）行政事业单位养老支出（款）行政单位离退休（项）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指行政单位（包括实行公务员管理的事业单位）开支的离退休经费。</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14.社会保障和就业（类）行政事业单位养老支出（款）机关事业单位基本养老保险缴费支出（项）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指机关事业单位实施养老保险制度由单位缴纳的基本养老保险费支出。</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15.社会保障和就业（类）抚恤（款）死亡抚恤（项）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指按规定用于烈士和牺牲、病故人员家属在一次性和定期抚恤金、丧葬补助费以及烈士褒扬金。</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16.社会保障和就业（类）其他社会保障和就业支出（款）   其他社会保障和就业支出（项）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指上述项目以外其他用于社会保障和就业方面的支出。</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17.卫生健康支出（类）行政事业单位医疗（款）行政单位医疗（项）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指财政部门集中安排的行政单位基本医疗保险缴费经费，未参加医疗保险的行政单位的公费医疗经费，按国家规定享受离休人员、红军老战士待遇人员的医疗经费。</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18.卫生健康支出（类）行政事业单位医疗（款）事业单位医疗（项）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指财政部门集中安排的事业单位基本医疗保险缴费经费，未参加医疗保险的事业单位的公费医疗经费，按国家规定享受离休人员待遇的医疗经费。</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19.卫生健康支出（类）行政事业单位医疗（款）公务员医疗补助（项）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指财政部门集中安排的公务员医疗补助经费。</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20.卫生健康支出（类）行政事业单位医疗（款）其他行政事业单位医疗支出（项）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指除上述项目以外的其他用于行政事业单位医疗方面的支出。</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21.住房保障支出（类）住房改革支出（款）住房公积金（项）</w:t>
      </w:r>
      <w:r>
        <w:rPr>
          <w:rFonts w:hint="eastAsia" w:ascii="Times New Roman" w:eastAsia="仿宋_GB2312" w:cs="Times New Roman"/>
          <w:color w:val="auto"/>
          <w:sz w:val="32"/>
          <w:szCs w:val="32"/>
        </w:rPr>
        <w:t>：</w:t>
      </w:r>
      <w:r>
        <w:rPr>
          <w:rFonts w:ascii="Times New Roman" w:eastAsia="仿宋_GB2312" w:cs="Times New Roman"/>
          <w:color w:val="auto"/>
          <w:sz w:val="32"/>
          <w:szCs w:val="32"/>
        </w:rPr>
        <w:t>指行政事业单位按人力资源和社会保障部、财政部规定的基本工资和津贴补贴以及规定比例为职工缴纳的住房公积金。</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22.基本支出：指为保障机构正常运转、完成日常工作任务而发生的人员支出和公用支出。</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 xml:space="preserve">23.项目支出：指在基本支出之外为完成特定行政任务和事业发展目标所发生的支出。 </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24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及租用费、燃料费、维修</w:t>
      </w:r>
      <w:r>
        <w:rPr>
          <w:rFonts w:hint="eastAsia" w:ascii="Times New Roman" w:eastAsia="仿宋_GB2312" w:cs="Times New Roman"/>
          <w:color w:val="auto"/>
          <w:sz w:val="32"/>
          <w:szCs w:val="32"/>
        </w:rPr>
        <w:t>（护）</w:t>
      </w:r>
      <w:r>
        <w:rPr>
          <w:rFonts w:ascii="Times New Roman" w:eastAsia="仿宋_GB2312" w:cs="Times New Roman"/>
          <w:color w:val="auto"/>
          <w:sz w:val="32"/>
          <w:szCs w:val="32"/>
        </w:rPr>
        <w:t>费、过路过桥费、保险费等支出；公务接待费反映单位按规定开支的各类公务接待（含外宾接待）支出。</w:t>
      </w:r>
    </w:p>
    <w:p>
      <w:pPr>
        <w:pStyle w:val="24"/>
        <w:spacing w:line="560" w:lineRule="exact"/>
        <w:ind w:firstLine="640" w:firstLineChars="200"/>
        <w:outlineLvl w:val="1"/>
        <w:rPr>
          <w:rFonts w:ascii="Times New Roman" w:eastAsia="仿宋_GB2312" w:cs="Times New Roman"/>
          <w:color w:val="auto"/>
          <w:sz w:val="32"/>
          <w:szCs w:val="32"/>
        </w:rPr>
      </w:pPr>
      <w:r>
        <w:rPr>
          <w:rFonts w:ascii="Times New Roman" w:eastAsia="仿宋_GB2312" w:cs="Times New Roman"/>
          <w:color w:val="auto"/>
          <w:sz w:val="32"/>
          <w:szCs w:val="32"/>
        </w:rPr>
        <w:t>25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8"/>
          <w:rFonts w:ascii="方正小标宋简体" w:eastAsia="方正小标宋简体"/>
          <w:b w:val="0"/>
        </w:rPr>
      </w:pPr>
      <w:bookmarkStart w:id="80" w:name="_Toc15377226"/>
      <w:r>
        <w:rPr>
          <w:rFonts w:eastAsia="仿宋_GB2312"/>
          <w:b/>
          <w:sz w:val="44"/>
          <w:szCs w:val="44"/>
        </w:rPr>
        <w:br w:type="page"/>
      </w:r>
      <w:bookmarkStart w:id="81" w:name="_Toc28035"/>
      <w:bookmarkStart w:id="82" w:name="_Toc15396614"/>
      <w:r>
        <w:rPr>
          <w:rFonts w:hint="eastAsia" w:ascii="方正小标宋简体" w:eastAsia="方正小标宋简体"/>
          <w:sz w:val="44"/>
          <w:szCs w:val="44"/>
        </w:rPr>
        <w:t>第</w:t>
      </w:r>
      <w:r>
        <w:rPr>
          <w:rStyle w:val="18"/>
          <w:rFonts w:hint="eastAsia" w:ascii="方正小标宋简体" w:eastAsia="方正小标宋简体"/>
          <w:b w:val="0"/>
        </w:rPr>
        <w:t>四部分 附件</w:t>
      </w:r>
      <w:bookmarkEnd w:id="81"/>
      <w:bookmarkEnd w:id="82"/>
    </w:p>
    <w:p>
      <w:pPr>
        <w:spacing w:line="572" w:lineRule="exact"/>
        <w:jc w:val="left"/>
        <w:outlineLvl w:val="1"/>
        <w:rPr>
          <w:rFonts w:ascii="黑体" w:hAnsi="黑体" w:eastAsia="黑体"/>
          <w:sz w:val="44"/>
          <w:szCs w:val="44"/>
        </w:rPr>
      </w:pPr>
      <w:bookmarkStart w:id="83" w:name="_Toc26800"/>
      <w:r>
        <w:rPr>
          <w:rFonts w:ascii="黑体" w:hAnsi="黑体" w:eastAsia="黑体"/>
          <w:sz w:val="32"/>
          <w:szCs w:val="32"/>
        </w:rPr>
        <w:t>附件</w:t>
      </w:r>
      <w:bookmarkEnd w:id="83"/>
      <w:r>
        <w:rPr>
          <w:rFonts w:ascii="黑体" w:hAnsi="黑体" w:eastAsia="黑体"/>
          <w:sz w:val="32"/>
          <w:szCs w:val="32"/>
        </w:rPr>
        <w:t>1</w:t>
      </w:r>
    </w:p>
    <w:p>
      <w:pPr>
        <w:spacing w:line="560" w:lineRule="exact"/>
        <w:contextualSpacing/>
        <w:jc w:val="center"/>
        <w:rPr>
          <w:rFonts w:ascii="方正小标宋简体" w:eastAsia="方正小标宋简体"/>
          <w:b/>
          <w:sz w:val="32"/>
          <w:szCs w:val="32"/>
          <w:shd w:val="clear" w:color="auto" w:fill="FFFFFF"/>
        </w:rPr>
      </w:pPr>
      <w:r>
        <w:rPr>
          <w:rFonts w:hint="eastAsia" w:ascii="方正小标宋简体" w:eastAsia="方正小标宋简体"/>
          <w:b/>
          <w:sz w:val="32"/>
          <w:szCs w:val="32"/>
          <w:shd w:val="clear" w:color="auto" w:fill="FFFFFF"/>
        </w:rPr>
        <w:t>2022年市级部门整体绩效评价报告</w:t>
      </w:r>
    </w:p>
    <w:p>
      <w:pPr>
        <w:adjustRightInd w:val="0"/>
        <w:snapToGrid w:val="0"/>
        <w:spacing w:line="560" w:lineRule="exact"/>
        <w:ind w:firstLine="640" w:firstLineChars="200"/>
        <w:contextualSpacing/>
        <w:jc w:val="left"/>
        <w:rPr>
          <w:rFonts w:eastAsia="仿宋_GB2312"/>
          <w:kern w:val="0"/>
          <w:sz w:val="32"/>
          <w:szCs w:val="32"/>
          <w:shd w:val="clear" w:color="auto" w:fill="FFFFFF"/>
        </w:rPr>
      </w:pPr>
    </w:p>
    <w:p>
      <w:pPr>
        <w:numPr>
          <w:ilvl w:val="0"/>
          <w:numId w:val="4"/>
        </w:numPr>
        <w:adjustRightInd w:val="0"/>
        <w:snapToGrid w:val="0"/>
        <w:spacing w:line="560" w:lineRule="exact"/>
        <w:ind w:firstLine="640" w:firstLineChars="200"/>
        <w:contextualSpacing/>
        <w:jc w:val="left"/>
        <w:outlineLvl w:val="1"/>
        <w:rPr>
          <w:rFonts w:ascii="黑体" w:hAnsi="黑体" w:eastAsia="黑体"/>
          <w:kern w:val="0"/>
          <w:sz w:val="32"/>
          <w:szCs w:val="32"/>
          <w:shd w:val="clear" w:color="auto" w:fill="FFFFFF"/>
          <w:lang w:val="zh-CN"/>
        </w:rPr>
      </w:pPr>
      <w:bookmarkStart w:id="84" w:name="_Toc3865"/>
      <w:r>
        <w:rPr>
          <w:rFonts w:ascii="黑体" w:hAnsi="黑体" w:eastAsia="黑体"/>
          <w:kern w:val="0"/>
          <w:sz w:val="32"/>
          <w:szCs w:val="32"/>
          <w:shd w:val="clear" w:color="auto" w:fill="FFFFFF"/>
          <w:lang w:val="zh-CN"/>
        </w:rPr>
        <w:t>部门基本情况</w:t>
      </w:r>
      <w:bookmarkEnd w:id="84"/>
    </w:p>
    <w:p>
      <w:pPr>
        <w:adjustRightInd w:val="0"/>
        <w:snapToGrid w:val="0"/>
        <w:spacing w:line="560" w:lineRule="exact"/>
        <w:ind w:firstLine="643" w:firstLineChars="200"/>
        <w:contextualSpacing/>
        <w:jc w:val="left"/>
        <w:rPr>
          <w:rFonts w:eastAsia="仿宋_GB2312"/>
          <w:b/>
          <w:bCs/>
          <w:kern w:val="0"/>
          <w:sz w:val="32"/>
          <w:szCs w:val="32"/>
          <w:shd w:val="clear" w:color="auto" w:fill="FFFFFF"/>
          <w:lang w:val="zh-CN"/>
        </w:rPr>
      </w:pPr>
      <w:r>
        <w:rPr>
          <w:rFonts w:ascii="楷体_GB2312" w:eastAsia="楷体_GB2312"/>
          <w:b/>
          <w:bCs/>
          <w:kern w:val="0"/>
          <w:sz w:val="32"/>
          <w:szCs w:val="32"/>
          <w:shd w:val="clear" w:color="auto" w:fill="FFFFFF"/>
          <w:lang w:val="zh-CN"/>
        </w:rPr>
        <w:t>（一）机构组成。</w:t>
      </w:r>
      <w:r>
        <w:rPr>
          <w:rFonts w:eastAsia="仿宋_GB2312"/>
          <w:sz w:val="32"/>
          <w:szCs w:val="32"/>
        </w:rPr>
        <w:t>巴中市人民政府办公室（以下简称市政府办公室）设17个内设科室和机关党委、机关党委办公室及2个行政机构。</w:t>
      </w:r>
    </w:p>
    <w:p>
      <w:pPr>
        <w:spacing w:line="560" w:lineRule="exact"/>
        <w:ind w:firstLine="643" w:firstLineChars="200"/>
        <w:rPr>
          <w:rFonts w:ascii="楷体_GB2312" w:eastAsia="楷体_GB2312"/>
          <w:b/>
          <w:bCs/>
          <w:kern w:val="0"/>
          <w:sz w:val="32"/>
          <w:szCs w:val="32"/>
          <w:shd w:val="clear" w:color="auto" w:fill="FFFFFF"/>
          <w:lang w:val="zh-CN"/>
        </w:rPr>
      </w:pPr>
      <w:r>
        <w:rPr>
          <w:rFonts w:ascii="楷体_GB2312" w:eastAsia="楷体_GB2312"/>
          <w:b/>
          <w:bCs/>
          <w:kern w:val="0"/>
          <w:sz w:val="32"/>
          <w:szCs w:val="32"/>
          <w:shd w:val="clear" w:color="auto" w:fill="FFFFFF"/>
          <w:lang w:val="zh-CN"/>
        </w:rPr>
        <w:t>（二）机构职能和人员概况。</w:t>
      </w:r>
    </w:p>
    <w:p>
      <w:pPr>
        <w:spacing w:line="560" w:lineRule="exact"/>
        <w:ind w:firstLine="640" w:firstLineChars="200"/>
        <w:rPr>
          <w:rFonts w:eastAsia="仿宋_GB2312"/>
          <w:sz w:val="32"/>
          <w:szCs w:val="32"/>
        </w:rPr>
      </w:pPr>
      <w:r>
        <w:rPr>
          <w:rFonts w:eastAsia="仿宋_GB2312"/>
          <w:sz w:val="32"/>
          <w:szCs w:val="32"/>
        </w:rPr>
        <w:t>1.协助市政府领导同志组织起草或审核以市政府、市政府办公室名义发布的公文。办理省政府、省政府办公厅及各厅委局办发送市政府的文电。指导全市行政机关公文处理工作。</w:t>
      </w:r>
    </w:p>
    <w:p>
      <w:pPr>
        <w:spacing w:line="560" w:lineRule="exact"/>
        <w:ind w:firstLine="640" w:firstLineChars="200"/>
        <w:rPr>
          <w:rFonts w:eastAsia="仿宋_GB2312"/>
          <w:sz w:val="32"/>
          <w:szCs w:val="32"/>
        </w:rPr>
      </w:pPr>
      <w:r>
        <w:rPr>
          <w:rFonts w:eastAsia="仿宋_GB2312"/>
          <w:sz w:val="32"/>
          <w:szCs w:val="32"/>
        </w:rPr>
        <w:t>2.研究市政府部门和县（区）人民政府请示市政府的事项，提出审核处理意见，报市政府领导同志审批。</w:t>
      </w:r>
    </w:p>
    <w:p>
      <w:pPr>
        <w:spacing w:line="560" w:lineRule="exact"/>
        <w:ind w:firstLine="640" w:firstLineChars="200"/>
        <w:rPr>
          <w:rFonts w:eastAsia="仿宋_GB2312"/>
          <w:sz w:val="32"/>
          <w:szCs w:val="32"/>
        </w:rPr>
      </w:pPr>
      <w:r>
        <w:rPr>
          <w:rFonts w:eastAsia="仿宋_GB2312"/>
          <w:sz w:val="32"/>
          <w:szCs w:val="32"/>
        </w:rPr>
        <w:t>3.负责市政府会议的会务工作，协助市政府领导同志组织实施会议决定事项。</w:t>
      </w:r>
    </w:p>
    <w:p>
      <w:pPr>
        <w:spacing w:line="560" w:lineRule="exact"/>
        <w:ind w:firstLine="640" w:firstLineChars="200"/>
        <w:rPr>
          <w:rFonts w:eastAsia="仿宋_GB2312"/>
          <w:sz w:val="32"/>
          <w:szCs w:val="32"/>
        </w:rPr>
      </w:pPr>
      <w:r>
        <w:rPr>
          <w:rFonts w:eastAsia="仿宋_GB2312"/>
          <w:sz w:val="32"/>
          <w:szCs w:val="32"/>
        </w:rPr>
        <w:t>4.督促检查市政府部门和县（区）人民政府对市政府文件、会议决定事项及市政府领导同志有关指示的贯彻落实情况，及时向市政府领导同志报告。</w:t>
      </w:r>
    </w:p>
    <w:p>
      <w:pPr>
        <w:spacing w:line="560" w:lineRule="exact"/>
        <w:ind w:firstLine="640" w:firstLineChars="200"/>
        <w:rPr>
          <w:rFonts w:eastAsia="仿宋_GB2312"/>
          <w:sz w:val="32"/>
          <w:szCs w:val="32"/>
        </w:rPr>
      </w:pPr>
      <w:r>
        <w:rPr>
          <w:rFonts w:eastAsia="仿宋_GB2312"/>
          <w:sz w:val="32"/>
          <w:szCs w:val="32"/>
        </w:rPr>
        <w:t>5.根据市政府领导同志的指示，对市政府部门间争议问题提出处理意见和建议，报市政府领导同志决定。</w:t>
      </w:r>
    </w:p>
    <w:p>
      <w:pPr>
        <w:spacing w:line="560" w:lineRule="exact"/>
        <w:ind w:firstLine="640" w:firstLineChars="200"/>
        <w:rPr>
          <w:rFonts w:eastAsia="仿宋_GB2312"/>
          <w:sz w:val="32"/>
          <w:szCs w:val="32"/>
        </w:rPr>
      </w:pPr>
      <w:r>
        <w:rPr>
          <w:rFonts w:eastAsia="仿宋_GB2312"/>
          <w:sz w:val="32"/>
          <w:szCs w:val="32"/>
        </w:rPr>
        <w:t>6.做好机关信访工作，及时向市政府领导同志报告群众来信来访反映的重要问题和提出的重要建议，并协调有关部门和县（区）处理群众来信来访反映的问题。</w:t>
      </w:r>
    </w:p>
    <w:p>
      <w:pPr>
        <w:spacing w:line="560" w:lineRule="exact"/>
        <w:ind w:firstLine="640" w:firstLineChars="200"/>
        <w:rPr>
          <w:rFonts w:eastAsia="仿宋_GB2312"/>
          <w:sz w:val="32"/>
          <w:szCs w:val="32"/>
        </w:rPr>
      </w:pPr>
      <w:r>
        <w:rPr>
          <w:rFonts w:eastAsia="仿宋_GB2312"/>
          <w:sz w:val="32"/>
          <w:szCs w:val="32"/>
        </w:rPr>
        <w:t>7.负责市政府值班工作，指导县（区）人民政府和市政府部门值班工作，及时向市政府领导同志报告重要情况，并协调处理各部门和各县（区）向市政府反映的重要问题。</w:t>
      </w:r>
    </w:p>
    <w:p>
      <w:pPr>
        <w:spacing w:line="560" w:lineRule="exact"/>
        <w:ind w:firstLine="640" w:firstLineChars="200"/>
        <w:rPr>
          <w:rFonts w:eastAsia="仿宋_GB2312"/>
          <w:sz w:val="32"/>
          <w:szCs w:val="32"/>
        </w:rPr>
      </w:pPr>
      <w:r>
        <w:rPr>
          <w:rFonts w:eastAsia="仿宋_GB2312"/>
          <w:sz w:val="32"/>
          <w:szCs w:val="32"/>
        </w:rPr>
        <w:t>8.围绕全市经济和社会发展规划，市委、市政府的重大决策部署，市委、市政府中心工作和市委、市政府领导同志的指示，组织专题调查研究，及时反映情况，提出决策建议。</w:t>
      </w:r>
    </w:p>
    <w:p>
      <w:pPr>
        <w:spacing w:line="560" w:lineRule="exact"/>
        <w:ind w:firstLine="640" w:firstLineChars="200"/>
        <w:rPr>
          <w:rFonts w:eastAsia="仿宋_GB2312"/>
          <w:sz w:val="32"/>
          <w:szCs w:val="32"/>
        </w:rPr>
      </w:pPr>
      <w:r>
        <w:rPr>
          <w:rFonts w:eastAsia="仿宋_GB2312"/>
          <w:sz w:val="32"/>
          <w:szCs w:val="32"/>
        </w:rPr>
        <w:t>9.组织、协调目标绩效管理部门对市政府下达给各（县）区和市政府各部门目标任务的分解、指导、协调、检查、考核。</w:t>
      </w:r>
    </w:p>
    <w:p>
      <w:pPr>
        <w:spacing w:line="560" w:lineRule="exact"/>
        <w:ind w:firstLine="640" w:firstLineChars="200"/>
        <w:rPr>
          <w:rFonts w:eastAsia="仿宋_GB2312"/>
          <w:sz w:val="32"/>
          <w:szCs w:val="32"/>
        </w:rPr>
      </w:pPr>
      <w:r>
        <w:rPr>
          <w:rFonts w:eastAsia="仿宋_GB2312"/>
          <w:sz w:val="32"/>
          <w:szCs w:val="32"/>
        </w:rPr>
        <w:t>10.组织、协调目标绩效管理部门办理涉及市政府工作的人大代表议案和建议、批评、意见和政协委员提案、建议案。</w:t>
      </w:r>
    </w:p>
    <w:p>
      <w:pPr>
        <w:spacing w:line="560" w:lineRule="exact"/>
        <w:ind w:firstLine="640" w:firstLineChars="200"/>
        <w:rPr>
          <w:rFonts w:eastAsia="仿宋_GB2312"/>
          <w:sz w:val="32"/>
          <w:szCs w:val="32"/>
        </w:rPr>
      </w:pPr>
      <w:r>
        <w:rPr>
          <w:rFonts w:eastAsia="仿宋_GB2312"/>
          <w:sz w:val="32"/>
          <w:szCs w:val="32"/>
        </w:rPr>
        <w:t>11.指导、监督全市政府信息公开工作。</w:t>
      </w:r>
    </w:p>
    <w:p>
      <w:pPr>
        <w:spacing w:line="560" w:lineRule="exact"/>
        <w:ind w:firstLine="640" w:firstLineChars="200"/>
        <w:rPr>
          <w:rFonts w:eastAsia="仿宋_GB2312"/>
          <w:sz w:val="32"/>
          <w:szCs w:val="32"/>
        </w:rPr>
      </w:pPr>
      <w:r>
        <w:rPr>
          <w:rFonts w:eastAsia="仿宋_GB2312"/>
          <w:sz w:val="32"/>
          <w:szCs w:val="32"/>
        </w:rPr>
        <w:t>12.指导、监督全市政府系统电子政务发展和政府系统网站建设工作。</w:t>
      </w:r>
    </w:p>
    <w:p>
      <w:pPr>
        <w:spacing w:line="560" w:lineRule="exact"/>
        <w:ind w:firstLine="640" w:firstLineChars="200"/>
        <w:rPr>
          <w:rFonts w:eastAsia="仿宋_GB2312"/>
          <w:sz w:val="32"/>
          <w:szCs w:val="32"/>
        </w:rPr>
      </w:pPr>
      <w:r>
        <w:rPr>
          <w:rFonts w:eastAsia="仿宋_GB2312"/>
          <w:sz w:val="32"/>
          <w:szCs w:val="32"/>
        </w:rPr>
        <w:t>13.指导全市应急管理工作，协助市政府领导同志做好需由市政府组织处理的突发事件、重大事故的应急处置工作。</w:t>
      </w:r>
    </w:p>
    <w:p>
      <w:pPr>
        <w:spacing w:line="560" w:lineRule="exact"/>
        <w:ind w:firstLine="640" w:firstLineChars="200"/>
        <w:rPr>
          <w:rFonts w:eastAsia="仿宋_GB2312"/>
          <w:sz w:val="32"/>
          <w:szCs w:val="32"/>
        </w:rPr>
      </w:pPr>
      <w:r>
        <w:rPr>
          <w:rFonts w:eastAsia="仿宋_GB2312"/>
          <w:sz w:val="32"/>
          <w:szCs w:val="32"/>
        </w:rPr>
        <w:t>14.指导县（区）政府和市政府部门办公室的工作。</w:t>
      </w:r>
    </w:p>
    <w:p>
      <w:pPr>
        <w:spacing w:line="560" w:lineRule="exact"/>
        <w:ind w:firstLine="640" w:firstLineChars="200"/>
        <w:rPr>
          <w:rFonts w:eastAsia="仿宋_GB2312"/>
          <w:sz w:val="32"/>
          <w:szCs w:val="32"/>
        </w:rPr>
      </w:pPr>
      <w:r>
        <w:rPr>
          <w:rFonts w:eastAsia="仿宋_GB2312"/>
          <w:sz w:val="32"/>
          <w:szCs w:val="32"/>
        </w:rPr>
        <w:t>15.办理市政府和市政府领导同志交办的其</w:t>
      </w:r>
      <w:r>
        <w:rPr>
          <w:rFonts w:hint="eastAsia" w:eastAsia="仿宋_GB2312"/>
          <w:sz w:val="32"/>
          <w:szCs w:val="32"/>
        </w:rPr>
        <w:t>他</w:t>
      </w:r>
      <w:r>
        <w:rPr>
          <w:rFonts w:eastAsia="仿宋_GB2312"/>
          <w:sz w:val="32"/>
          <w:szCs w:val="32"/>
        </w:rPr>
        <w:t>事项。</w:t>
      </w:r>
    </w:p>
    <w:p>
      <w:pPr>
        <w:adjustRightInd w:val="0"/>
        <w:snapToGrid w:val="0"/>
        <w:spacing w:line="560" w:lineRule="exact"/>
        <w:ind w:firstLine="640" w:firstLineChars="200"/>
        <w:contextualSpacing/>
        <w:jc w:val="left"/>
        <w:rPr>
          <w:rFonts w:eastAsia="仿宋_GB2312"/>
          <w:b/>
          <w:bCs/>
          <w:kern w:val="0"/>
          <w:sz w:val="32"/>
          <w:szCs w:val="32"/>
          <w:shd w:val="clear" w:color="auto" w:fill="FFFFFF"/>
          <w:lang w:val="zh-CN"/>
        </w:rPr>
      </w:pPr>
      <w:r>
        <w:rPr>
          <w:rFonts w:eastAsia="仿宋_GB2312"/>
          <w:sz w:val="32"/>
          <w:szCs w:val="32"/>
        </w:rPr>
        <w:t>2022年财政预算供给人员77人，其中：公务员57人、机关工勤人员7人、事业人员13人。退休人员17人。</w:t>
      </w:r>
    </w:p>
    <w:p>
      <w:pPr>
        <w:spacing w:line="600" w:lineRule="exact"/>
        <w:ind w:firstLine="643" w:firstLineChars="200"/>
        <w:rPr>
          <w:rFonts w:eastAsia="仿宋_GB2312"/>
          <w:spacing w:val="6"/>
          <w:sz w:val="32"/>
          <w:szCs w:val="32"/>
        </w:rPr>
      </w:pPr>
      <w:r>
        <w:rPr>
          <w:rFonts w:ascii="楷体_GB2312" w:eastAsia="楷体_GB2312"/>
          <w:b/>
          <w:bCs/>
          <w:kern w:val="0"/>
          <w:sz w:val="32"/>
          <w:szCs w:val="32"/>
          <w:shd w:val="clear" w:color="auto" w:fill="FFFFFF"/>
          <w:lang w:val="zh-CN"/>
        </w:rPr>
        <w:t>（三）年度主要工作任务。</w:t>
      </w:r>
      <w:r>
        <w:rPr>
          <w:rFonts w:eastAsia="仿宋_GB2312"/>
          <w:spacing w:val="6"/>
          <w:sz w:val="32"/>
          <w:szCs w:val="32"/>
        </w:rPr>
        <w:t>2022年是党的二十大和省第十二次党代会召开之年，也是落实第五次党代会部署的开局之年。市政府办公室2022年总的工作要求是：坚定以习近平新时代中国特色社会主义思想为指导，深入贯彻落实党的十九大和十九届历次全会精神，全面落实党中央国务院、省委省政府、市委市政府决策部署，紧紧围绕“两主三基、四向发力”总体思路和“聚焦发展、改善民生、守住底线”三件大事，在自身建设上创一流，在参谋辅政上创一流，在提质增效上创一流，在各项工作中率先到一线、上火线，走在前列、干在实处，为加快建设“三市两地一枢纽”，全面建设社会主义现代化巴中作出新的更大贡献，以优异成绩迎接党的二十大胜利召开。一是讲政治、固根本，在自身建设上有新境界；二是思在先、谋在前，在参谋辅政上有新水平；三是做于细、成于严，在提质增效上有新突破；四是增优势、添活力，在能力提升上有新举措。</w:t>
      </w:r>
    </w:p>
    <w:p>
      <w:pPr>
        <w:adjustRightInd w:val="0"/>
        <w:snapToGrid w:val="0"/>
        <w:spacing w:line="560" w:lineRule="exact"/>
        <w:ind w:firstLine="643" w:firstLineChars="200"/>
        <w:contextualSpacing/>
        <w:jc w:val="left"/>
        <w:rPr>
          <w:rFonts w:eastAsia="仿宋_GB2312"/>
          <w:spacing w:val="6"/>
          <w:sz w:val="32"/>
          <w:szCs w:val="32"/>
          <w:lang w:val="zh-CN"/>
        </w:rPr>
      </w:pPr>
      <w:r>
        <w:rPr>
          <w:rFonts w:hint="eastAsia" w:ascii="楷体_GB2312" w:eastAsia="楷体_GB2312"/>
          <w:b/>
          <w:bCs/>
          <w:kern w:val="0"/>
          <w:sz w:val="32"/>
          <w:szCs w:val="32"/>
          <w:shd w:val="clear" w:color="auto" w:fill="FFFFFF"/>
          <w:lang w:val="zh-CN"/>
        </w:rPr>
        <w:t>（四）部门整体支出绩效目标。</w:t>
      </w:r>
      <w:r>
        <w:rPr>
          <w:rFonts w:eastAsia="仿宋_GB2312"/>
          <w:spacing w:val="6"/>
          <w:sz w:val="32"/>
          <w:szCs w:val="32"/>
          <w:lang w:val="zh-CN"/>
        </w:rPr>
        <w:t>2022年度整体支出绩效目标资金总额</w:t>
      </w:r>
      <w:r>
        <w:rPr>
          <w:rFonts w:eastAsia="仿宋_GB2312"/>
          <w:spacing w:val="6"/>
          <w:sz w:val="32"/>
          <w:szCs w:val="32"/>
        </w:rPr>
        <w:t>2659.55万元，其中：基本支出1804.14万元，项目支出855.41万元。</w:t>
      </w:r>
    </w:p>
    <w:p>
      <w:pPr>
        <w:adjustRightInd w:val="0"/>
        <w:snapToGrid w:val="0"/>
        <w:spacing w:line="560" w:lineRule="exact"/>
        <w:ind w:firstLine="640" w:firstLineChars="200"/>
        <w:contextualSpacing/>
        <w:jc w:val="left"/>
        <w:outlineLvl w:val="1"/>
        <w:rPr>
          <w:rFonts w:ascii="黑体" w:hAnsi="黑体" w:eastAsia="黑体"/>
          <w:kern w:val="0"/>
          <w:sz w:val="32"/>
          <w:szCs w:val="32"/>
          <w:shd w:val="clear" w:color="auto" w:fill="FFFFFF"/>
        </w:rPr>
      </w:pPr>
      <w:bookmarkStart w:id="85" w:name="_Toc1790"/>
      <w:r>
        <w:rPr>
          <w:rFonts w:ascii="黑体" w:hAnsi="黑体" w:eastAsia="黑体"/>
          <w:kern w:val="0"/>
          <w:sz w:val="32"/>
          <w:szCs w:val="32"/>
          <w:shd w:val="clear" w:color="auto" w:fill="FFFFFF"/>
        </w:rPr>
        <w:t>二、部门资金收支情况</w:t>
      </w:r>
      <w:bookmarkEnd w:id="85"/>
    </w:p>
    <w:p>
      <w:pPr>
        <w:adjustRightInd w:val="0"/>
        <w:snapToGrid w:val="0"/>
        <w:spacing w:line="560" w:lineRule="exact"/>
        <w:ind w:firstLine="643" w:firstLineChars="200"/>
        <w:contextualSpacing/>
        <w:jc w:val="left"/>
        <w:rPr>
          <w:rFonts w:ascii="楷体_GB2312" w:eastAsia="楷体_GB2312"/>
          <w:b/>
          <w:bCs/>
          <w:kern w:val="0"/>
          <w:sz w:val="32"/>
          <w:szCs w:val="32"/>
          <w:shd w:val="clear" w:color="auto" w:fill="FFFFFF"/>
          <w:lang w:val="zh-CN"/>
        </w:rPr>
      </w:pPr>
      <w:r>
        <w:rPr>
          <w:rFonts w:hint="eastAsia" w:ascii="楷体_GB2312" w:eastAsia="楷体_GB2312"/>
          <w:b/>
          <w:bCs/>
          <w:kern w:val="0"/>
          <w:sz w:val="32"/>
          <w:szCs w:val="32"/>
          <w:shd w:val="clear" w:color="auto" w:fill="FFFFFF"/>
          <w:lang w:val="zh-CN"/>
        </w:rPr>
        <w:t>（一）部门总体收支情况。</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kern w:val="0"/>
          <w:sz w:val="32"/>
          <w:szCs w:val="32"/>
          <w:shd w:val="clear" w:color="auto" w:fill="FFFFFF"/>
        </w:rPr>
        <w:t>1.部门总体收入情</w:t>
      </w:r>
      <w:r>
        <w:rPr>
          <w:rFonts w:eastAsia="仿宋_GB2312"/>
          <w:sz w:val="32"/>
          <w:szCs w:val="32"/>
        </w:rPr>
        <w:t>况。2022年收入总计2659.55万元。其中：年初结</w:t>
      </w:r>
      <w:r>
        <w:rPr>
          <w:rFonts w:eastAsia="仿宋_GB2312"/>
          <w:kern w:val="0"/>
          <w:sz w:val="32"/>
          <w:szCs w:val="32"/>
          <w:shd w:val="clear" w:color="auto" w:fill="FFFFFF"/>
        </w:rPr>
        <w:t>转和结余420</w:t>
      </w:r>
      <w:r>
        <w:rPr>
          <w:rFonts w:eastAsia="仿宋_GB2312"/>
          <w:sz w:val="32"/>
          <w:szCs w:val="32"/>
        </w:rPr>
        <w:t>.41万元，一般公共预算财政拨款收入2239.14万元。</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kern w:val="0"/>
          <w:sz w:val="32"/>
          <w:szCs w:val="32"/>
          <w:shd w:val="clear" w:color="auto" w:fill="FFFFFF"/>
        </w:rPr>
        <w:t>2.部门总体支出情</w:t>
      </w:r>
      <w:r>
        <w:rPr>
          <w:rFonts w:eastAsia="仿宋_GB2312"/>
          <w:sz w:val="32"/>
          <w:szCs w:val="32"/>
        </w:rPr>
        <w:t>况。2022年支出合计2644.94万元。其中：基本支出1804.14万元，项目支出840.8万元。</w:t>
      </w:r>
    </w:p>
    <w:p>
      <w:pPr>
        <w:adjustRightInd w:val="0"/>
        <w:snapToGrid w:val="0"/>
        <w:spacing w:line="560" w:lineRule="exact"/>
        <w:ind w:firstLine="640" w:firstLineChars="200"/>
        <w:contextualSpacing/>
        <w:jc w:val="left"/>
        <w:rPr>
          <w:rFonts w:eastAsia="仿宋_GB2312"/>
          <w:kern w:val="0"/>
          <w:sz w:val="32"/>
          <w:szCs w:val="32"/>
          <w:shd w:val="clear" w:color="auto" w:fill="FFFFFF"/>
        </w:rPr>
      </w:pPr>
      <w:r>
        <w:rPr>
          <w:rFonts w:eastAsia="仿宋_GB2312"/>
          <w:kern w:val="0"/>
          <w:sz w:val="32"/>
          <w:szCs w:val="32"/>
          <w:shd w:val="clear" w:color="auto" w:fill="FFFFFF"/>
        </w:rPr>
        <w:t>3.部门总体结转结余情</w:t>
      </w:r>
      <w:r>
        <w:rPr>
          <w:rFonts w:eastAsia="仿宋_GB2312"/>
          <w:sz w:val="32"/>
          <w:szCs w:val="32"/>
        </w:rPr>
        <w:t>况。</w:t>
      </w:r>
      <w:r>
        <w:rPr>
          <w:rFonts w:eastAsia="仿宋_GB2312"/>
          <w:kern w:val="0"/>
          <w:sz w:val="32"/>
          <w:szCs w:val="32"/>
          <w:shd w:val="clear" w:color="auto" w:fill="FFFFFF"/>
        </w:rPr>
        <w:t>2022年总体结转和结余14.61万元。</w:t>
      </w:r>
    </w:p>
    <w:p>
      <w:pPr>
        <w:adjustRightInd w:val="0"/>
        <w:snapToGrid w:val="0"/>
        <w:spacing w:line="560" w:lineRule="exact"/>
        <w:ind w:firstLine="643" w:firstLineChars="200"/>
        <w:contextualSpacing/>
        <w:jc w:val="left"/>
        <w:rPr>
          <w:rFonts w:ascii="楷体_GB2312" w:eastAsia="楷体_GB2312"/>
          <w:b/>
          <w:bCs/>
          <w:kern w:val="0"/>
          <w:sz w:val="32"/>
          <w:szCs w:val="32"/>
          <w:shd w:val="clear" w:color="auto" w:fill="FFFFFF"/>
          <w:lang w:val="zh-CN"/>
        </w:rPr>
      </w:pPr>
      <w:r>
        <w:rPr>
          <w:rFonts w:hint="eastAsia" w:ascii="楷体_GB2312" w:eastAsia="楷体_GB2312"/>
          <w:b/>
          <w:bCs/>
          <w:kern w:val="0"/>
          <w:sz w:val="32"/>
          <w:szCs w:val="32"/>
          <w:shd w:val="clear" w:color="auto" w:fill="FFFFFF"/>
          <w:lang w:val="zh-CN"/>
        </w:rPr>
        <w:t>（二）部门财政拨款收支情况。</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kern w:val="0"/>
          <w:sz w:val="32"/>
          <w:szCs w:val="32"/>
          <w:shd w:val="clear" w:color="auto" w:fill="FFFFFF"/>
        </w:rPr>
        <w:t>1.部门财政拨款收入情况。</w:t>
      </w:r>
      <w:r>
        <w:rPr>
          <w:rFonts w:eastAsia="仿宋_GB2312"/>
          <w:sz w:val="32"/>
          <w:szCs w:val="32"/>
        </w:rPr>
        <w:t>2022年</w:t>
      </w:r>
      <w:r>
        <w:rPr>
          <w:rFonts w:eastAsia="仿宋_GB2312"/>
          <w:kern w:val="0"/>
          <w:sz w:val="32"/>
          <w:szCs w:val="32"/>
          <w:shd w:val="clear" w:color="auto" w:fill="FFFFFF"/>
        </w:rPr>
        <w:t>财政拨款</w:t>
      </w:r>
      <w:r>
        <w:rPr>
          <w:rFonts w:eastAsia="仿宋_GB2312"/>
          <w:sz w:val="32"/>
          <w:szCs w:val="32"/>
        </w:rPr>
        <w:t>收入总计2659.55万元。其中：年初结转和结余420.41万元，一般公共预算财政拨款收入2239.14万元。</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kern w:val="0"/>
          <w:sz w:val="32"/>
          <w:szCs w:val="32"/>
          <w:shd w:val="clear" w:color="auto" w:fill="FFFFFF"/>
        </w:rPr>
        <w:t>2.部门财政拨款支出情况。</w:t>
      </w:r>
      <w:r>
        <w:rPr>
          <w:rFonts w:eastAsia="仿宋_GB2312"/>
          <w:sz w:val="32"/>
          <w:szCs w:val="32"/>
        </w:rPr>
        <w:t>2022年</w:t>
      </w:r>
      <w:r>
        <w:rPr>
          <w:rFonts w:eastAsia="仿宋_GB2312"/>
          <w:kern w:val="0"/>
          <w:sz w:val="32"/>
          <w:szCs w:val="32"/>
          <w:shd w:val="clear" w:color="auto" w:fill="FFFFFF"/>
        </w:rPr>
        <w:t>财政拨款</w:t>
      </w:r>
      <w:r>
        <w:rPr>
          <w:rFonts w:eastAsia="仿宋_GB2312"/>
          <w:sz w:val="32"/>
          <w:szCs w:val="32"/>
        </w:rPr>
        <w:t>支出合计2644.94万元。其中：基本支出1804.14万元，项目支出840.8万元。</w:t>
      </w:r>
    </w:p>
    <w:p>
      <w:pPr>
        <w:adjustRightInd w:val="0"/>
        <w:snapToGrid w:val="0"/>
        <w:spacing w:line="560" w:lineRule="exact"/>
        <w:ind w:firstLine="640" w:firstLineChars="200"/>
        <w:contextualSpacing/>
        <w:rPr>
          <w:rFonts w:eastAsia="仿宋_GB2312"/>
          <w:sz w:val="32"/>
          <w:szCs w:val="32"/>
        </w:rPr>
      </w:pPr>
      <w:r>
        <w:rPr>
          <w:rFonts w:eastAsia="仿宋_GB2312"/>
          <w:kern w:val="0"/>
          <w:sz w:val="32"/>
          <w:szCs w:val="32"/>
          <w:shd w:val="clear" w:color="auto" w:fill="FFFFFF"/>
        </w:rPr>
        <w:t>3.部门财政拨款结转结余情况。</w:t>
      </w:r>
      <w:r>
        <w:rPr>
          <w:rFonts w:eastAsia="仿宋_GB2312"/>
          <w:sz w:val="32"/>
          <w:szCs w:val="32"/>
        </w:rPr>
        <w:t>2022年财政拨款结转和结余14.61万元。</w:t>
      </w:r>
    </w:p>
    <w:p>
      <w:pPr>
        <w:adjustRightInd w:val="0"/>
        <w:snapToGrid w:val="0"/>
        <w:spacing w:line="560" w:lineRule="exact"/>
        <w:ind w:firstLine="640" w:firstLineChars="200"/>
        <w:contextualSpacing/>
        <w:rPr>
          <w:rFonts w:ascii="黑体" w:hAnsi="黑体" w:eastAsia="黑体"/>
          <w:kern w:val="0"/>
          <w:sz w:val="32"/>
          <w:szCs w:val="32"/>
          <w:shd w:val="clear" w:color="auto" w:fill="FFFFFF"/>
        </w:rPr>
      </w:pPr>
      <w:r>
        <w:rPr>
          <w:rFonts w:ascii="黑体" w:hAnsi="黑体" w:eastAsia="黑体"/>
          <w:kern w:val="0"/>
          <w:sz w:val="32"/>
          <w:szCs w:val="32"/>
          <w:shd w:val="clear" w:color="auto" w:fill="FFFFFF"/>
        </w:rPr>
        <w:t>三、部门整体绩效分析</w:t>
      </w:r>
    </w:p>
    <w:p>
      <w:pPr>
        <w:adjustRightInd w:val="0"/>
        <w:snapToGrid w:val="0"/>
        <w:spacing w:line="560" w:lineRule="exact"/>
        <w:ind w:firstLine="643" w:firstLineChars="200"/>
        <w:contextualSpacing/>
        <w:rPr>
          <w:rFonts w:ascii="楷体_GB2312" w:eastAsia="楷体_GB2312"/>
          <w:b/>
          <w:bCs/>
          <w:kern w:val="0"/>
          <w:sz w:val="32"/>
          <w:szCs w:val="32"/>
          <w:shd w:val="clear" w:color="auto" w:fill="FFFFFF"/>
          <w:lang w:val="zh-CN"/>
        </w:rPr>
      </w:pPr>
      <w:r>
        <w:rPr>
          <w:rFonts w:hint="eastAsia" w:ascii="楷体_GB2312" w:eastAsia="楷体_GB2312"/>
          <w:b/>
          <w:bCs/>
          <w:kern w:val="0"/>
          <w:sz w:val="32"/>
          <w:szCs w:val="32"/>
          <w:shd w:val="clear" w:color="auto" w:fill="FFFFFF"/>
          <w:lang w:val="zh-CN"/>
        </w:rPr>
        <w:t>（一）部门预算项目绩效分析。</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kern w:val="0"/>
          <w:sz w:val="32"/>
          <w:szCs w:val="32"/>
          <w:shd w:val="clear" w:color="auto" w:fill="FFFFFF"/>
        </w:rPr>
        <w:t>1.人员类项目绩效分析</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kern w:val="0"/>
          <w:sz w:val="32"/>
          <w:szCs w:val="32"/>
          <w:shd w:val="clear" w:color="auto" w:fill="FFFFFF"/>
          <w:lang w:val="zh-CN"/>
        </w:rPr>
        <w:t>人员类项目全年预算数1451.6万元，执行数1451.6万元，完成预算100%，保障单位行政事业人员</w:t>
      </w:r>
      <w:r>
        <w:rPr>
          <w:rFonts w:eastAsia="仿宋_GB2312"/>
          <w:kern w:val="0"/>
          <w:sz w:val="32"/>
          <w:szCs w:val="32"/>
          <w:shd w:val="clear" w:color="auto" w:fill="FFFFFF"/>
        </w:rPr>
        <w:t>基本工资、津贴补贴、奖金、绩效工资、机关事业单位基本养老保险缴费、职工基本医疗保险缴费、住房公积金等支出。</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kern w:val="0"/>
          <w:sz w:val="32"/>
          <w:szCs w:val="32"/>
          <w:shd w:val="clear" w:color="auto" w:fill="FFFFFF"/>
        </w:rPr>
        <w:t>2.运转类项目绩效分析</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kern w:val="0"/>
          <w:sz w:val="32"/>
          <w:szCs w:val="32"/>
          <w:shd w:val="clear" w:color="auto" w:fill="FFFFFF"/>
        </w:rPr>
        <w:t>运转类项目全年预算数405.69万元，执行数405.69万元，完成预算100%，保障单位</w:t>
      </w:r>
      <w:r>
        <w:rPr>
          <w:rFonts w:eastAsia="仿宋_GB2312"/>
          <w:kern w:val="0"/>
          <w:sz w:val="32"/>
          <w:szCs w:val="32"/>
          <w:shd w:val="clear" w:color="auto" w:fill="FFFFFF"/>
          <w:lang w:val="zh-CN"/>
        </w:rPr>
        <w:t>办公费、印刷费、邮电费、差旅费、维修（护）费、会议费、培训费、公务用车运行维护费等</w:t>
      </w:r>
      <w:r>
        <w:rPr>
          <w:rFonts w:eastAsia="仿宋_GB2312"/>
          <w:kern w:val="0"/>
          <w:sz w:val="32"/>
          <w:szCs w:val="32"/>
          <w:shd w:val="clear" w:color="auto" w:fill="FFFFFF"/>
        </w:rPr>
        <w:t>日常运转经费支出。</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kern w:val="0"/>
          <w:sz w:val="32"/>
          <w:szCs w:val="32"/>
          <w:shd w:val="clear" w:color="auto" w:fill="FFFFFF"/>
        </w:rPr>
        <w:t>3.特定目标类项目绩效分析</w:t>
      </w:r>
    </w:p>
    <w:p>
      <w:pPr>
        <w:adjustRightInd w:val="0"/>
        <w:snapToGrid w:val="0"/>
        <w:spacing w:line="560" w:lineRule="exact"/>
        <w:ind w:firstLine="640" w:firstLineChars="200"/>
        <w:contextualSpacing/>
        <w:rPr>
          <w:rFonts w:eastAsia="仿宋_GB2312"/>
          <w:kern w:val="0"/>
          <w:sz w:val="32"/>
          <w:szCs w:val="32"/>
          <w:highlight w:val="yellow"/>
          <w:shd w:val="clear" w:color="auto" w:fill="FFFFFF"/>
        </w:rPr>
      </w:pPr>
      <w:r>
        <w:rPr>
          <w:rFonts w:eastAsia="仿宋_GB2312"/>
          <w:kern w:val="0"/>
          <w:sz w:val="32"/>
          <w:szCs w:val="32"/>
          <w:shd w:val="clear" w:color="auto" w:fill="FFFFFF"/>
        </w:rPr>
        <w:t>特定目标类项目全年预算数381.85万元，年初结转和结余数420.41万元，执行数787.65万元，完成预算98.18%，年末结转和结余数14.61万元。</w:t>
      </w:r>
    </w:p>
    <w:p>
      <w:pPr>
        <w:adjustRightInd w:val="0"/>
        <w:snapToGrid w:val="0"/>
        <w:spacing w:line="560" w:lineRule="exact"/>
        <w:ind w:firstLine="643" w:firstLineChars="200"/>
        <w:contextualSpacing/>
        <w:jc w:val="left"/>
        <w:rPr>
          <w:rFonts w:ascii="楷体_GB2312" w:eastAsia="楷体_GB2312"/>
          <w:b/>
          <w:bCs/>
          <w:kern w:val="0"/>
          <w:sz w:val="32"/>
          <w:szCs w:val="32"/>
          <w:shd w:val="clear" w:color="auto" w:fill="FFFFFF"/>
          <w:lang w:val="zh-CN"/>
        </w:rPr>
      </w:pPr>
      <w:r>
        <w:rPr>
          <w:rFonts w:hint="eastAsia" w:ascii="楷体_GB2312" w:eastAsia="楷体_GB2312"/>
          <w:b/>
          <w:bCs/>
          <w:kern w:val="0"/>
          <w:sz w:val="32"/>
          <w:szCs w:val="32"/>
          <w:shd w:val="clear" w:color="auto" w:fill="FFFFFF"/>
          <w:lang w:val="zh-CN"/>
        </w:rPr>
        <w:t>（二）部门整体履职绩效分析。</w:t>
      </w:r>
    </w:p>
    <w:p>
      <w:pPr>
        <w:adjustRightInd w:val="0"/>
        <w:snapToGrid w:val="0"/>
        <w:spacing w:line="560" w:lineRule="exact"/>
        <w:ind w:firstLine="640" w:firstLineChars="200"/>
        <w:contextualSpacing/>
        <w:rPr>
          <w:rFonts w:eastAsia="仿宋_GB2312"/>
          <w:b/>
          <w:bCs/>
          <w:kern w:val="0"/>
          <w:sz w:val="32"/>
          <w:szCs w:val="32"/>
          <w:shd w:val="clear" w:color="auto" w:fill="FFFFFF"/>
          <w:lang w:val="zh-CN"/>
        </w:rPr>
      </w:pPr>
      <w:r>
        <w:rPr>
          <w:rFonts w:eastAsia="仿宋_GB2312"/>
          <w:sz w:val="32"/>
          <w:szCs w:val="32"/>
          <w:lang w:val="zh-CN"/>
        </w:rPr>
        <w:t>2022年，在市委市政府坚强领导下，市政府办公室坚持以习近平新时代中国特色社会主义思想为指导，全面贯彻党的二十大和习近平总书记来川视察系列重要指示精神，认真落实党中央国务院、省委省政府、市委市政府决策部署，紧盯聚焦发展、改善民生、守住底线“三件大事”，着力提升“三办”“三服务”质效，较好地完成了各项目标任务。一是争做模范机关，机关建设持续加强；二是主动服务决策，参谋质效持续提升；三是优化运转流程，保障协调更加有力；四是拓展服务平台，政务服务高效便民；五是坚持人民至上，办好为民实事。</w:t>
      </w:r>
    </w:p>
    <w:p>
      <w:pPr>
        <w:adjustRightInd w:val="0"/>
        <w:snapToGrid w:val="0"/>
        <w:spacing w:line="560" w:lineRule="exact"/>
        <w:ind w:firstLine="640" w:firstLineChars="200"/>
        <w:contextualSpacing/>
        <w:rPr>
          <w:rFonts w:eastAsia="仿宋_GB2312"/>
          <w:sz w:val="32"/>
          <w:szCs w:val="32"/>
          <w:lang w:val="zh-CN"/>
        </w:rPr>
      </w:pPr>
      <w:r>
        <w:rPr>
          <w:rFonts w:eastAsia="仿宋_GB2312"/>
          <w:sz w:val="32"/>
          <w:szCs w:val="32"/>
          <w:lang w:val="zh-CN"/>
        </w:rPr>
        <w:t>2022年度整体支出绩效目标资金完成2644.94万元，其中：基本支出1804.14万元，完成预算100%；项目支出840.8万元，完成预算98.29%；年末结转和结余项目资金14.61万元。</w:t>
      </w:r>
    </w:p>
    <w:p>
      <w:pPr>
        <w:adjustRightInd w:val="0"/>
        <w:snapToGrid w:val="0"/>
        <w:spacing w:line="560" w:lineRule="exact"/>
        <w:ind w:firstLine="643" w:firstLineChars="200"/>
        <w:contextualSpacing/>
        <w:rPr>
          <w:rFonts w:ascii="楷体_GB2312" w:eastAsia="楷体_GB2312"/>
          <w:b/>
          <w:bCs/>
          <w:kern w:val="0"/>
          <w:sz w:val="32"/>
          <w:szCs w:val="32"/>
          <w:shd w:val="clear" w:color="auto" w:fill="FFFFFF"/>
          <w:lang w:val="zh-CN"/>
        </w:rPr>
      </w:pPr>
      <w:r>
        <w:rPr>
          <w:rFonts w:hint="eastAsia" w:ascii="楷体_GB2312" w:eastAsia="楷体_GB2312"/>
          <w:b/>
          <w:bCs/>
          <w:kern w:val="0"/>
          <w:sz w:val="32"/>
          <w:szCs w:val="32"/>
          <w:shd w:val="clear" w:color="auto" w:fill="FFFFFF"/>
          <w:lang w:val="zh-CN"/>
        </w:rPr>
        <w:t>（三）结果应用情况。</w:t>
      </w:r>
    </w:p>
    <w:p>
      <w:pPr>
        <w:adjustRightInd w:val="0"/>
        <w:snapToGrid w:val="0"/>
        <w:spacing w:line="560" w:lineRule="exact"/>
        <w:ind w:firstLine="640" w:firstLineChars="200"/>
        <w:contextualSpacing/>
        <w:rPr>
          <w:rFonts w:eastAsia="仿宋_GB2312"/>
          <w:kern w:val="0"/>
          <w:sz w:val="32"/>
          <w:szCs w:val="32"/>
          <w:shd w:val="clear" w:color="auto" w:fill="FFFFFF"/>
          <w:lang w:val="zh-CN"/>
        </w:rPr>
      </w:pPr>
      <w:r>
        <w:rPr>
          <w:rFonts w:eastAsia="仿宋_GB2312"/>
          <w:kern w:val="0"/>
          <w:sz w:val="32"/>
          <w:szCs w:val="32"/>
        </w:rPr>
        <w:t>根据市财政局统一安排，市政府办公室认真组</w:t>
      </w:r>
      <w:r>
        <w:rPr>
          <w:rFonts w:eastAsia="仿宋_GB2312"/>
          <w:sz w:val="32"/>
          <w:szCs w:val="32"/>
        </w:rPr>
        <w:t>织开展绩效自评工作，</w:t>
      </w:r>
      <w:r>
        <w:rPr>
          <w:rFonts w:eastAsia="仿宋_GB2312"/>
          <w:kern w:val="0"/>
          <w:sz w:val="32"/>
          <w:szCs w:val="32"/>
        </w:rPr>
        <w:t>对2022年财政安排</w:t>
      </w:r>
      <w:r>
        <w:rPr>
          <w:rFonts w:eastAsia="仿宋_GB2312"/>
          <w:sz w:val="32"/>
          <w:szCs w:val="32"/>
        </w:rPr>
        <w:t>的各项支出进行绩效评价，</w:t>
      </w:r>
      <w:r>
        <w:rPr>
          <w:rFonts w:eastAsia="仿宋_GB2312"/>
          <w:kern w:val="0"/>
          <w:sz w:val="32"/>
          <w:szCs w:val="32"/>
        </w:rPr>
        <w:t>将评价结果作为预算安排的重要依据,参照项目年度预算执行情况、“三年滚动规划”执行情况统筹项目支出需求,保障重点支出,调整支出结构,优化财政资金配置,不断强化绩效理念,推动市政府办公室部门整体绩效管理水平不断提升。</w:t>
      </w:r>
    </w:p>
    <w:p>
      <w:pPr>
        <w:numPr>
          <w:ilvl w:val="0"/>
          <w:numId w:val="5"/>
        </w:numPr>
        <w:adjustRightInd w:val="0"/>
        <w:snapToGrid w:val="0"/>
        <w:spacing w:line="560" w:lineRule="exact"/>
        <w:ind w:firstLine="643" w:firstLineChars="200"/>
        <w:contextualSpacing/>
        <w:rPr>
          <w:rFonts w:ascii="楷体_GB2312" w:eastAsia="楷体_GB2312"/>
          <w:b/>
          <w:bCs/>
          <w:kern w:val="0"/>
          <w:sz w:val="32"/>
          <w:szCs w:val="32"/>
          <w:shd w:val="clear" w:color="auto" w:fill="FFFFFF"/>
          <w:lang w:val="zh-CN"/>
        </w:rPr>
      </w:pPr>
      <w:r>
        <w:rPr>
          <w:rFonts w:ascii="楷体_GB2312" w:eastAsia="楷体_GB2312"/>
          <w:b/>
          <w:bCs/>
          <w:kern w:val="0"/>
          <w:sz w:val="32"/>
          <w:szCs w:val="32"/>
          <w:shd w:val="clear" w:color="auto" w:fill="FFFFFF"/>
          <w:lang w:val="zh-CN"/>
        </w:rPr>
        <w:t>自评质量。</w:t>
      </w:r>
    </w:p>
    <w:p>
      <w:pPr>
        <w:adjustRightInd w:val="0"/>
        <w:snapToGrid w:val="0"/>
        <w:spacing w:line="560" w:lineRule="exact"/>
        <w:ind w:firstLine="640" w:firstLineChars="200"/>
        <w:contextualSpacing/>
        <w:rPr>
          <w:rFonts w:eastAsia="仿宋_GB2312"/>
          <w:kern w:val="0"/>
          <w:sz w:val="32"/>
          <w:szCs w:val="32"/>
          <w:shd w:val="clear" w:color="auto" w:fill="FFFFFF"/>
        </w:rPr>
      </w:pPr>
      <w:r>
        <w:rPr>
          <w:rFonts w:eastAsia="仿宋_GB2312"/>
          <w:sz w:val="32"/>
          <w:szCs w:val="32"/>
        </w:rPr>
        <w:t>市政府办公室在绩效考核评价工作中，坚持实事求是，严格按照《2023年市级部门整体支出绩效评价指标体系》中评价内容和评价标准，逐条逐项自评打分，总</w:t>
      </w:r>
      <w:r>
        <w:rPr>
          <w:rFonts w:eastAsia="仿宋_GB2312"/>
          <w:kern w:val="0"/>
          <w:sz w:val="32"/>
          <w:szCs w:val="32"/>
        </w:rPr>
        <w:t>体绩效评价结果良好</w:t>
      </w:r>
      <w:r>
        <w:rPr>
          <w:rFonts w:eastAsia="仿宋_GB2312"/>
          <w:sz w:val="32"/>
          <w:szCs w:val="32"/>
        </w:rPr>
        <w:t>。</w:t>
      </w:r>
    </w:p>
    <w:p>
      <w:pPr>
        <w:adjustRightInd w:val="0"/>
        <w:snapToGrid w:val="0"/>
        <w:spacing w:line="560" w:lineRule="exact"/>
        <w:ind w:firstLine="640" w:firstLineChars="200"/>
        <w:contextualSpacing/>
        <w:outlineLvl w:val="1"/>
        <w:rPr>
          <w:rFonts w:ascii="黑体" w:hAnsi="黑体" w:eastAsia="黑体"/>
          <w:kern w:val="0"/>
          <w:sz w:val="32"/>
          <w:szCs w:val="32"/>
          <w:shd w:val="clear" w:color="auto" w:fill="FFFFFF"/>
        </w:rPr>
      </w:pPr>
      <w:bookmarkStart w:id="86" w:name="_Toc1313"/>
      <w:r>
        <w:rPr>
          <w:rFonts w:ascii="黑体" w:hAnsi="黑体" w:eastAsia="黑体"/>
          <w:kern w:val="0"/>
          <w:sz w:val="32"/>
          <w:szCs w:val="32"/>
          <w:shd w:val="clear" w:color="auto" w:fill="FFFFFF"/>
        </w:rPr>
        <w:t>四、评价结论及建议</w:t>
      </w:r>
      <w:bookmarkEnd w:id="86"/>
    </w:p>
    <w:p>
      <w:pPr>
        <w:adjustRightInd w:val="0"/>
        <w:snapToGrid w:val="0"/>
        <w:spacing w:line="560" w:lineRule="exact"/>
        <w:ind w:firstLine="643" w:firstLineChars="200"/>
        <w:contextualSpacing/>
        <w:rPr>
          <w:rFonts w:eastAsia="仿宋_GB2312"/>
          <w:b/>
          <w:bCs/>
          <w:kern w:val="0"/>
          <w:sz w:val="32"/>
          <w:szCs w:val="32"/>
          <w:shd w:val="clear" w:color="auto" w:fill="FFFFFF"/>
          <w:lang w:val="zh-CN"/>
        </w:rPr>
      </w:pPr>
      <w:r>
        <w:rPr>
          <w:rFonts w:ascii="楷体_GB2312" w:eastAsia="楷体_GB2312"/>
          <w:b/>
          <w:bCs/>
          <w:kern w:val="0"/>
          <w:sz w:val="32"/>
          <w:szCs w:val="32"/>
          <w:shd w:val="clear" w:color="auto" w:fill="FFFFFF"/>
          <w:lang w:val="zh-CN"/>
        </w:rPr>
        <w:t>（一）评价结论。</w:t>
      </w:r>
      <w:r>
        <w:rPr>
          <w:rFonts w:eastAsia="仿宋_GB2312"/>
          <w:sz w:val="32"/>
          <w:szCs w:val="32"/>
          <w:lang w:val="zh-CN"/>
        </w:rPr>
        <w:t>按照市级部门整体支出绩效评价指标体系，自评得分96分，基本完成了年度预算绩效管理目标，扣分项主要涉及部门预算支出完成率、管理制度创新、自评质量、项目支出绩效。总体看，我单位预算编制及执行较为准确，支出管理较为规范，财务管理制度较完善，部门整体绩效较好。</w:t>
      </w:r>
    </w:p>
    <w:p>
      <w:pPr>
        <w:adjustRightInd w:val="0"/>
        <w:snapToGrid w:val="0"/>
        <w:spacing w:line="560" w:lineRule="exact"/>
        <w:ind w:firstLine="643" w:firstLineChars="200"/>
        <w:contextualSpacing/>
        <w:rPr>
          <w:rFonts w:eastAsia="仿宋_GB2312"/>
          <w:b/>
          <w:bCs/>
          <w:kern w:val="0"/>
          <w:sz w:val="32"/>
          <w:szCs w:val="32"/>
          <w:shd w:val="clear" w:color="auto" w:fill="FFFFFF"/>
          <w:lang w:val="zh-CN"/>
        </w:rPr>
      </w:pPr>
      <w:r>
        <w:rPr>
          <w:rFonts w:ascii="楷体_GB2312" w:eastAsia="楷体_GB2312"/>
          <w:b/>
          <w:bCs/>
          <w:kern w:val="0"/>
          <w:sz w:val="32"/>
          <w:szCs w:val="32"/>
          <w:shd w:val="clear" w:color="auto" w:fill="FFFFFF"/>
          <w:lang w:val="zh-CN"/>
        </w:rPr>
        <w:t>（二）存在问题。</w:t>
      </w:r>
      <w:r>
        <w:rPr>
          <w:rFonts w:eastAsia="仿宋_GB2312"/>
          <w:sz w:val="32"/>
          <w:szCs w:val="32"/>
          <w:lang w:val="zh-CN"/>
        </w:rPr>
        <w:t>2022年，市政府</w:t>
      </w:r>
      <w:r>
        <w:rPr>
          <w:rFonts w:eastAsia="仿宋_GB2312"/>
          <w:sz w:val="32"/>
          <w:szCs w:val="32"/>
        </w:rPr>
        <w:t>办公室</w:t>
      </w:r>
      <w:r>
        <w:rPr>
          <w:rFonts w:eastAsia="仿宋_GB2312"/>
          <w:sz w:val="32"/>
          <w:szCs w:val="32"/>
          <w:lang w:val="zh-CN"/>
        </w:rPr>
        <w:t>整体支出绩效评价成效显著，但对标评价体系内容和标准，还存在一些不足。一是绩效目标指标设置待完善，年初设置的个别项目绩效目标仍有不细致的地方，影响预算绩效评价结果；二是预算执行进度仍需提高，受疫情等因素影响，预算实际执行进度距预算执行目标进度的要求还有一定距离。</w:t>
      </w:r>
    </w:p>
    <w:p>
      <w:pPr>
        <w:adjustRightInd w:val="0"/>
        <w:snapToGrid w:val="0"/>
        <w:spacing w:line="580" w:lineRule="exact"/>
        <w:ind w:firstLine="643" w:firstLineChars="200"/>
        <w:contextualSpacing/>
        <w:rPr>
          <w:rFonts w:eastAsia="仿宋_GB2312"/>
          <w:sz w:val="32"/>
          <w:szCs w:val="32"/>
          <w:lang w:val="zh-CN"/>
        </w:rPr>
      </w:pPr>
      <w:r>
        <w:rPr>
          <w:rFonts w:hint="eastAsia" w:ascii="楷体_GB2312" w:eastAsia="楷体_GB2312"/>
          <w:b/>
          <w:bCs/>
          <w:kern w:val="0"/>
          <w:sz w:val="32"/>
          <w:szCs w:val="32"/>
          <w:shd w:val="clear" w:color="auto" w:fill="FFFFFF"/>
          <w:lang w:val="zh-CN"/>
        </w:rPr>
        <w:t>（三）改进建议。</w:t>
      </w:r>
      <w:r>
        <w:rPr>
          <w:rFonts w:eastAsia="仿宋_GB2312"/>
          <w:sz w:val="32"/>
          <w:szCs w:val="32"/>
          <w:lang w:val="zh-CN"/>
        </w:rPr>
        <w:t>市政府</w:t>
      </w:r>
      <w:r>
        <w:rPr>
          <w:rFonts w:eastAsia="仿宋_GB2312"/>
          <w:sz w:val="32"/>
          <w:szCs w:val="32"/>
        </w:rPr>
        <w:t>办公室</w:t>
      </w:r>
      <w:r>
        <w:rPr>
          <w:rFonts w:eastAsia="仿宋_GB2312"/>
          <w:sz w:val="32"/>
          <w:szCs w:val="32"/>
          <w:lang w:val="zh-CN"/>
        </w:rPr>
        <w:t>将结合本次绩效自评结果，对存在的问题及时整改。</w:t>
      </w:r>
      <w:r>
        <w:rPr>
          <w:rFonts w:eastAsia="仿宋_GB2312"/>
          <w:b/>
          <w:bCs/>
          <w:sz w:val="32"/>
          <w:szCs w:val="32"/>
          <w:lang w:val="zh-CN"/>
        </w:rPr>
        <w:t>一是严格目标制定，落实责任分解。</w:t>
      </w:r>
      <w:r>
        <w:rPr>
          <w:rFonts w:eastAsia="仿宋_GB2312"/>
          <w:sz w:val="32"/>
          <w:szCs w:val="32"/>
          <w:lang w:val="zh-CN"/>
        </w:rPr>
        <w:t>从项目立项、资金运用、进度计划、绩效目标、效益指标等方面将各个绩效指标量化、细化，并按照工作内容、工作措施、工作时限和预期目标效果，将责任落实到人，确保项目建设持续有效。</w:t>
      </w:r>
      <w:r>
        <w:rPr>
          <w:rFonts w:eastAsia="仿宋_GB2312"/>
          <w:b/>
          <w:bCs/>
          <w:sz w:val="32"/>
          <w:szCs w:val="32"/>
          <w:lang w:val="zh-CN"/>
        </w:rPr>
        <w:t>二是加强财务管理，规范预算支出。</w:t>
      </w:r>
      <w:r>
        <w:rPr>
          <w:rFonts w:eastAsia="仿宋_GB2312"/>
          <w:sz w:val="32"/>
          <w:szCs w:val="32"/>
          <w:lang w:val="zh-CN"/>
        </w:rPr>
        <w:t>严格按照预算规定的项目及用途开支经费，进一步规范财务审批手续，完善项目资金管理制度，确保项目实施高效顺利。同时，将预算执行分析、项目管理分析常态化，为预算绩效管理工作提供有力保障。</w:t>
      </w:r>
      <w:r>
        <w:rPr>
          <w:rFonts w:eastAsia="仿宋_GB2312"/>
          <w:b/>
          <w:bCs/>
          <w:sz w:val="32"/>
          <w:szCs w:val="32"/>
          <w:lang w:val="zh-CN"/>
        </w:rPr>
        <w:t>三是强化绩效管理，推进制度建设。</w:t>
      </w:r>
      <w:r>
        <w:rPr>
          <w:rFonts w:eastAsia="仿宋_GB2312"/>
          <w:sz w:val="32"/>
          <w:szCs w:val="32"/>
          <w:lang w:val="zh-CN"/>
        </w:rPr>
        <w:t>不断巩固、完善和发展好绩效管理工作制度建设体系，从管理薄弱环节入手，有针对性地建立健全制度，加强对制度执行情况的监督检查，确保制度管人、管财、管物机制的运用。</w:t>
      </w:r>
    </w:p>
    <w:p>
      <w:pPr>
        <w:pStyle w:val="13"/>
        <w:spacing w:line="560" w:lineRule="exact"/>
        <w:ind w:left="0" w:leftChars="0" w:firstLine="640"/>
        <w:rPr>
          <w:rFonts w:ascii="Times New Roman" w:hAnsi="Times New Roman" w:eastAsia="仿宋_GB2312"/>
          <w:sz w:val="32"/>
          <w:lang w:val="zh-CN"/>
        </w:rPr>
      </w:pPr>
    </w:p>
    <w:p>
      <w:pPr>
        <w:pStyle w:val="13"/>
        <w:spacing w:line="560" w:lineRule="exact"/>
        <w:ind w:left="0" w:leftChars="0" w:firstLine="640"/>
        <w:rPr>
          <w:rFonts w:ascii="Times New Roman" w:hAnsi="Times New Roman" w:eastAsia="仿宋_GB2312"/>
          <w:sz w:val="32"/>
          <w:highlight w:val="yellow"/>
        </w:rPr>
      </w:pPr>
      <w:r>
        <w:rPr>
          <w:rFonts w:ascii="Times New Roman" w:hAnsi="Times New Roman" w:eastAsia="仿宋_GB2312"/>
          <w:sz w:val="32"/>
          <w:lang w:val="zh-CN"/>
        </w:rPr>
        <w:t>附表：</w:t>
      </w:r>
      <w:r>
        <w:rPr>
          <w:rFonts w:ascii="Times New Roman" w:hAnsi="Times New Roman" w:eastAsia="仿宋_GB2312"/>
          <w:sz w:val="32"/>
        </w:rPr>
        <w:t>部门预算项目支出绩效自评表（2022年度）</w:t>
      </w:r>
    </w:p>
    <w:p>
      <w:pPr>
        <w:pStyle w:val="13"/>
        <w:spacing w:line="560" w:lineRule="exact"/>
        <w:ind w:left="0" w:leftChars="0" w:firstLine="640"/>
        <w:rPr>
          <w:rFonts w:ascii="Times New Roman" w:hAnsi="Times New Roman" w:eastAsia="仿宋_GB2312"/>
          <w:sz w:val="32"/>
          <w:highlight w:val="yellow"/>
        </w:rPr>
      </w:pPr>
    </w:p>
    <w:p>
      <w:pPr>
        <w:pStyle w:val="13"/>
        <w:spacing w:line="560" w:lineRule="exact"/>
        <w:ind w:left="0" w:leftChars="0" w:firstLine="640"/>
        <w:rPr>
          <w:rFonts w:ascii="Times New Roman" w:hAnsi="Times New Roman" w:eastAsia="仿宋_GB2312"/>
          <w:sz w:val="32"/>
          <w:highlight w:val="yellow"/>
        </w:rPr>
      </w:pPr>
    </w:p>
    <w:p>
      <w:pPr>
        <w:pStyle w:val="13"/>
        <w:spacing w:line="560" w:lineRule="exact"/>
        <w:ind w:left="0" w:leftChars="0" w:firstLine="640"/>
        <w:rPr>
          <w:rFonts w:ascii="Times New Roman" w:hAnsi="Times New Roman" w:eastAsia="仿宋_GB2312"/>
          <w:sz w:val="32"/>
          <w:highlight w:val="yellow"/>
        </w:rPr>
      </w:pPr>
    </w:p>
    <w:p>
      <w:pPr>
        <w:pStyle w:val="13"/>
        <w:spacing w:line="560" w:lineRule="exact"/>
        <w:ind w:left="0" w:leftChars="0" w:firstLine="640"/>
        <w:rPr>
          <w:rFonts w:ascii="Times New Roman" w:hAnsi="Times New Roman" w:eastAsia="仿宋_GB2312"/>
          <w:sz w:val="32"/>
          <w:highlight w:val="yellow"/>
        </w:rPr>
      </w:pPr>
    </w:p>
    <w:p>
      <w:pPr>
        <w:pStyle w:val="13"/>
        <w:spacing w:line="560" w:lineRule="exact"/>
        <w:ind w:left="0" w:leftChars="0" w:firstLine="640"/>
        <w:rPr>
          <w:rFonts w:ascii="Times New Roman" w:hAnsi="Times New Roman" w:eastAsia="仿宋_GB2312"/>
          <w:sz w:val="32"/>
          <w:highlight w:val="yellow"/>
        </w:rPr>
      </w:pPr>
    </w:p>
    <w:p>
      <w:pPr>
        <w:pStyle w:val="13"/>
        <w:spacing w:line="560" w:lineRule="exact"/>
        <w:ind w:left="0" w:leftChars="0" w:firstLine="640"/>
        <w:rPr>
          <w:rFonts w:ascii="Times New Roman" w:hAnsi="Times New Roman" w:eastAsia="仿宋_GB2312"/>
          <w:sz w:val="32"/>
          <w:highlight w:val="yellow"/>
        </w:rPr>
      </w:pPr>
    </w:p>
    <w:p>
      <w:pPr>
        <w:pStyle w:val="13"/>
        <w:spacing w:line="560" w:lineRule="exact"/>
        <w:ind w:left="0" w:leftChars="0" w:firstLine="640"/>
        <w:rPr>
          <w:rFonts w:ascii="Times New Roman" w:hAnsi="Times New Roman" w:eastAsia="仿宋_GB2312"/>
          <w:sz w:val="32"/>
          <w:highlight w:val="yellow"/>
        </w:rPr>
      </w:pPr>
    </w:p>
    <w:p>
      <w:pPr>
        <w:jc w:val="left"/>
        <w:rPr>
          <w:rFonts w:eastAsia="仿宋_GB2312"/>
          <w:sz w:val="32"/>
          <w:szCs w:val="32"/>
        </w:rPr>
      </w:pPr>
      <w:r>
        <w:rPr>
          <w:rFonts w:eastAsia="仿宋_GB2312"/>
          <w:sz w:val="32"/>
        </w:rPr>
        <w:br w:type="page"/>
      </w:r>
    </w:p>
    <w:p>
      <w:pPr>
        <w:pStyle w:val="13"/>
        <w:spacing w:after="0" w:line="400" w:lineRule="exact"/>
        <w:ind w:left="0" w:leftChars="0" w:firstLine="0" w:firstLineChars="0"/>
        <w:rPr>
          <w:rFonts w:ascii="Times New Roman" w:hAnsi="Times New Roman" w:eastAsia="仿宋_GB2312"/>
          <w:sz w:val="32"/>
          <w:highlight w:val="yellow"/>
          <w:lang w:val="zh-CN"/>
        </w:rPr>
      </w:pPr>
      <w:r>
        <w:rPr>
          <w:rFonts w:ascii="黑体" w:hAnsi="黑体" w:eastAsia="黑体"/>
          <w:sz w:val="32"/>
          <w:lang w:val="zh-CN"/>
        </w:rPr>
        <w:t>附表</w:t>
      </w:r>
    </w:p>
    <w:tbl>
      <w:tblPr>
        <w:tblStyle w:val="14"/>
        <w:tblW w:w="9434" w:type="dxa"/>
        <w:tblInd w:w="0" w:type="dxa"/>
        <w:tblLayout w:type="fixed"/>
        <w:tblCellMar>
          <w:top w:w="0" w:type="dxa"/>
          <w:left w:w="108" w:type="dxa"/>
          <w:bottom w:w="0" w:type="dxa"/>
          <w:right w:w="108" w:type="dxa"/>
        </w:tblCellMar>
      </w:tblPr>
      <w:tblGrid>
        <w:gridCol w:w="689"/>
        <w:gridCol w:w="1347"/>
        <w:gridCol w:w="766"/>
        <w:gridCol w:w="1104"/>
        <w:gridCol w:w="1255"/>
        <w:gridCol w:w="7"/>
        <w:gridCol w:w="532"/>
        <w:gridCol w:w="540"/>
        <w:gridCol w:w="965"/>
        <w:gridCol w:w="576"/>
        <w:gridCol w:w="600"/>
        <w:gridCol w:w="1053"/>
      </w:tblGrid>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pPr>
              <w:rPr>
                <w:rFonts w:eastAsia="仿宋_GB2312"/>
              </w:rPr>
            </w:p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406"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51190022T000004971673-电子政务及专用网络运维经费</w:t>
            </w:r>
          </w:p>
        </w:tc>
      </w:tr>
      <w:tr>
        <w:tblPrEx>
          <w:tblCellMar>
            <w:top w:w="0" w:type="dxa"/>
            <w:left w:w="108" w:type="dxa"/>
            <w:bottom w:w="0" w:type="dxa"/>
            <w:right w:w="108" w:type="dxa"/>
          </w:tblCellMar>
        </w:tblPrEx>
        <w:trPr>
          <w:trHeight w:val="297"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112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63" w:rightChars="-30"/>
              <w:jc w:val="left"/>
              <w:rPr>
                <w:rFonts w:eastAsia="仿宋_GB2312"/>
              </w:rPr>
            </w:pPr>
            <w:r>
              <w:rPr>
                <w:rFonts w:eastAsia="仿宋_GB2312"/>
                <w:color w:val="000000"/>
                <w:sz w:val="18"/>
              </w:rPr>
              <w:t>市政府办公室局域网、电子政务外网、党政网等通过租用线路、日常维护和更新设施设备等，加强对ＯＡ系统软件用户端日常维护，确保党政网、ＯＡ系统等网络正常使用和适时升级更新</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对市电子政务外网核心平台机房日常运行维护，保障设备正常运行，网络畅通，保障全市OA协同办公系统网络畅通，完成巴中人民政府门户网站的日常运维和管理</w:t>
            </w:r>
          </w:p>
        </w:tc>
      </w:tr>
      <w:tr>
        <w:tblPrEx>
          <w:tblCellMar>
            <w:top w:w="0" w:type="dxa"/>
            <w:left w:w="108" w:type="dxa"/>
            <w:bottom w:w="0" w:type="dxa"/>
            <w:right w:w="108" w:type="dxa"/>
          </w:tblCellMar>
        </w:tblPrEx>
        <w:trPr>
          <w:trHeight w:val="52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用于全市党政网、</w:t>
            </w:r>
            <w:r>
              <w:rPr>
                <w:rFonts w:hint="eastAsia" w:eastAsia="仿宋_GB2312"/>
                <w:color w:val="000000"/>
                <w:sz w:val="18"/>
              </w:rPr>
              <w:t>电子政务外网、</w:t>
            </w:r>
            <w:r>
              <w:rPr>
                <w:rFonts w:eastAsia="仿宋_GB2312"/>
                <w:color w:val="000000"/>
                <w:sz w:val="18"/>
              </w:rPr>
              <w:t>OA办公系统等网络维护，保障网络畅通，实现无纸化办公和会议，提高网络办公效率，整合资源，共用共享，节约资金，减少成本，提高资源利用率</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71" w:leftChars="-34" w:right="-111" w:rightChars="-53"/>
              <w:jc w:val="center"/>
              <w:rPr>
                <w:rFonts w:eastAsia="仿宋_GB2312"/>
                <w:color w:val="000000"/>
                <w:sz w:val="18"/>
              </w:rPr>
            </w:pPr>
            <w:r>
              <w:rPr>
                <w:rFonts w:eastAsia="仿宋_GB2312"/>
                <w:color w:val="000000"/>
                <w:sz w:val="18"/>
              </w:rPr>
              <w:t>年度预算数</w:t>
            </w:r>
          </w:p>
          <w:p>
            <w:pPr>
              <w:spacing w:line="240" w:lineRule="exact"/>
              <w:ind w:left="-71" w:leftChars="-34" w:right="-111" w:rightChars="-53"/>
              <w:jc w:val="center"/>
              <w:rPr>
                <w:rFonts w:eastAsia="仿宋_GB2312"/>
              </w:rPr>
            </w:pPr>
            <w:r>
              <w:rPr>
                <w:rFonts w:eastAsia="仿宋_GB2312"/>
                <w:color w:val="000000"/>
                <w:sz w:val="18"/>
              </w:rPr>
              <w:t>（万元）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29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71" w:leftChars="-34" w:right="-111" w:rightChars="-53"/>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155.00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145.30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145.30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5"/>
                <w:szCs w:val="15"/>
              </w:rPr>
              <w:t>1.预算执行率=预算执行数/调整后预算数；2.年中</w:t>
            </w:r>
            <w:r>
              <w:rPr>
                <w:rFonts w:hint="eastAsia" w:eastAsia="仿宋_GB2312"/>
                <w:color w:val="000000"/>
                <w:sz w:val="15"/>
                <w:szCs w:val="15"/>
              </w:rPr>
              <w:t>预算调整</w:t>
            </w:r>
            <w:r>
              <w:rPr>
                <w:rFonts w:eastAsia="仿宋_GB2312"/>
                <w:color w:val="000000"/>
                <w:sz w:val="15"/>
                <w:szCs w:val="15"/>
              </w:rPr>
              <w:t>财政收回部分指标</w:t>
            </w:r>
          </w:p>
        </w:tc>
      </w:tr>
      <w:tr>
        <w:tblPrEx>
          <w:tblCellMar>
            <w:top w:w="0" w:type="dxa"/>
            <w:left w:w="108" w:type="dxa"/>
            <w:bottom w:w="0" w:type="dxa"/>
            <w:right w:w="108" w:type="dxa"/>
          </w:tblCellMar>
        </w:tblPrEx>
        <w:trPr>
          <w:trHeight w:val="32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71" w:leftChars="-34" w:right="-111" w:rightChars="-53"/>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155.00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145.30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145.30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71" w:leftChars="-34" w:right="-111" w:rightChars="-53"/>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2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71" w:leftChars="-34" w:right="-111" w:rightChars="-53"/>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278"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71" w:leftChars="-34" w:right="-111" w:rightChars="-53"/>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 xml:space="preserve">主页社会点击量 </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35000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人/次</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38000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网络、系统软件正常运行率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全年正常运行</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年</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1</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严控成本，与电信运营商签订合同</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155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145.3</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可持续发展指标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保障中国巴中门户网站每天的正常访问</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长期</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长期</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 xml:space="preserve">使用人员满意度  </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hint="eastAsia" w:eastAsia="仿宋_GB2312"/>
                <w:color w:val="000000"/>
                <w:sz w:val="16"/>
              </w:rPr>
              <w:t>98</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w:t>
            </w:r>
            <w:r>
              <w:rPr>
                <w:rFonts w:hint="eastAsia" w:eastAsia="仿宋_GB2312"/>
                <w:color w:val="000000"/>
                <w:sz w:val="18"/>
              </w:rPr>
              <w:t>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9</w:t>
            </w:r>
            <w:r>
              <w:rPr>
                <w:rFonts w:hint="eastAsia" w:eastAsia="仿宋_GB2312"/>
                <w:color w:val="000000"/>
                <w:sz w:val="18"/>
              </w:rPr>
              <w:t>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9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评价结论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rPr>
              <w:t>自评得分9</w:t>
            </w:r>
            <w:r>
              <w:rPr>
                <w:rFonts w:hint="eastAsia" w:eastAsia="仿宋_GB2312"/>
                <w:color w:val="000000"/>
                <w:sz w:val="16"/>
              </w:rPr>
              <w:t>8</w:t>
            </w:r>
            <w:r>
              <w:rPr>
                <w:rFonts w:eastAsia="仿宋_GB2312"/>
                <w:color w:val="000000"/>
                <w:sz w:val="16"/>
              </w:rPr>
              <w:t>分</w:t>
            </w:r>
            <w:r>
              <w:rPr>
                <w:rFonts w:hint="eastAsia" w:eastAsia="仿宋_GB2312"/>
                <w:color w:val="000000"/>
                <w:sz w:val="16"/>
              </w:rPr>
              <w:t>。</w:t>
            </w:r>
            <w:r>
              <w:rPr>
                <w:rFonts w:eastAsia="仿宋_GB2312"/>
                <w:color w:val="000000"/>
                <w:sz w:val="16"/>
              </w:rPr>
              <w:t>电子政务外网网络畅通，各部门业务系统正常运转，社会公众可以通过门户网站了解巴中</w:t>
            </w:r>
            <w:r>
              <w:rPr>
                <w:rFonts w:hint="eastAsia" w:eastAsia="仿宋_GB2312"/>
                <w:color w:val="000000"/>
                <w:sz w:val="16"/>
              </w:rPr>
              <w:t>政务动态信息，促进政府信息公开，正确</w:t>
            </w:r>
            <w:r>
              <w:rPr>
                <w:rFonts w:eastAsia="仿宋_GB2312"/>
                <w:color w:val="000000"/>
                <w:sz w:val="16"/>
              </w:rPr>
              <w:t>引导舆论，政府公信力整体提升</w:t>
            </w:r>
            <w:r>
              <w:rPr>
                <w:rFonts w:hint="eastAsia" w:eastAsia="仿宋_GB2312"/>
                <w:color w:val="000000"/>
                <w:sz w:val="16"/>
              </w:rPr>
              <w:t>。</w:t>
            </w:r>
          </w:p>
        </w:tc>
      </w:tr>
      <w:tr>
        <w:tblPrEx>
          <w:tblCellMar>
            <w:top w:w="0" w:type="dxa"/>
            <w:left w:w="108" w:type="dxa"/>
            <w:bottom w:w="0" w:type="dxa"/>
            <w:right w:w="108" w:type="dxa"/>
          </w:tblCellMar>
        </w:tblPrEx>
        <w:trPr>
          <w:trHeight w:val="361"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存在问题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rPr>
              <w:t>无</w:t>
            </w:r>
          </w:p>
        </w:tc>
      </w:tr>
      <w:tr>
        <w:tblPrEx>
          <w:tblCellMar>
            <w:top w:w="0" w:type="dxa"/>
            <w:left w:w="108" w:type="dxa"/>
            <w:bottom w:w="0" w:type="dxa"/>
            <w:right w:w="108" w:type="dxa"/>
          </w:tblCellMar>
        </w:tblPrEx>
        <w:trPr>
          <w:trHeight w:val="62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改进措施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r>
              <w:rPr>
                <w:rFonts w:eastAsia="仿宋_GB2312"/>
                <w:color w:val="000000"/>
                <w:sz w:val="16"/>
                <w:szCs w:val="16"/>
              </w:rPr>
              <w:t>持续更好、更全面、更准确有效的</w:t>
            </w:r>
            <w:r>
              <w:rPr>
                <w:rFonts w:hint="eastAsia" w:eastAsia="仿宋_GB2312"/>
                <w:color w:val="000000"/>
                <w:sz w:val="16"/>
                <w:szCs w:val="16"/>
                <w:lang w:eastAsia="zh-CN"/>
              </w:rPr>
              <w:t>对</w:t>
            </w:r>
            <w:r>
              <w:rPr>
                <w:rFonts w:eastAsia="仿宋_GB2312"/>
                <w:color w:val="000000"/>
                <w:sz w:val="16"/>
                <w:szCs w:val="16"/>
              </w:rPr>
              <w:t>公众提供</w:t>
            </w:r>
            <w:r>
              <w:rPr>
                <w:rFonts w:hint="eastAsia" w:eastAsia="仿宋_GB2312"/>
                <w:color w:val="000000"/>
                <w:sz w:val="16"/>
                <w:szCs w:val="16"/>
              </w:rPr>
              <w:t>利企便民</w:t>
            </w:r>
            <w:r>
              <w:rPr>
                <w:rFonts w:eastAsia="仿宋_GB2312"/>
                <w:color w:val="000000"/>
                <w:sz w:val="16"/>
                <w:szCs w:val="16"/>
              </w:rPr>
              <w:t>信息、政务服务，提升公众</w:t>
            </w:r>
            <w:r>
              <w:rPr>
                <w:rFonts w:hint="eastAsia" w:eastAsia="仿宋_GB2312"/>
                <w:color w:val="000000"/>
                <w:sz w:val="16"/>
                <w:szCs w:val="16"/>
              </w:rPr>
              <w:t>办事效率和</w:t>
            </w:r>
            <w:r>
              <w:rPr>
                <w:rFonts w:eastAsia="仿宋_GB2312"/>
                <w:color w:val="000000"/>
                <w:sz w:val="16"/>
                <w:szCs w:val="16"/>
              </w:rPr>
              <w:t>满意度</w:t>
            </w:r>
            <w:r>
              <w:rPr>
                <w:rFonts w:hint="eastAsia" w:eastAsia="仿宋_GB2312"/>
                <w:color w:val="000000"/>
                <w:sz w:val="16"/>
                <w:szCs w:val="16"/>
              </w:rPr>
              <w:t>。</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项目负责人：吴弘</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671"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51190022T000004971680-市政府总值班室经费</w:t>
            </w:r>
          </w:p>
        </w:tc>
      </w:tr>
      <w:tr>
        <w:tblPrEx>
          <w:tblCellMar>
            <w:top w:w="0" w:type="dxa"/>
            <w:left w:w="108" w:type="dxa"/>
            <w:bottom w:w="0" w:type="dxa"/>
            <w:right w:w="108" w:type="dxa"/>
          </w:tblCellMar>
        </w:tblPrEx>
        <w:trPr>
          <w:trHeight w:val="509"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70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left"/>
              <w:rPr>
                <w:rFonts w:eastAsia="仿宋_GB2312"/>
              </w:rPr>
            </w:pPr>
            <w:r>
              <w:rPr>
                <w:rFonts w:eastAsia="仿宋_GB2312"/>
                <w:color w:val="000000"/>
                <w:sz w:val="18"/>
              </w:rPr>
              <w:t>全年365天24小时</w:t>
            </w:r>
            <w:r>
              <w:rPr>
                <w:rFonts w:hint="eastAsia" w:eastAsia="仿宋_GB2312"/>
                <w:color w:val="000000"/>
                <w:sz w:val="18"/>
              </w:rPr>
              <w:t>政务值班</w:t>
            </w:r>
            <w:r>
              <w:rPr>
                <w:rFonts w:eastAsia="仿宋_GB2312"/>
                <w:color w:val="000000"/>
                <w:sz w:val="18"/>
              </w:rPr>
              <w:t>值守，</w:t>
            </w:r>
            <w:r>
              <w:rPr>
                <w:rFonts w:hint="eastAsia" w:eastAsia="仿宋_GB2312"/>
                <w:color w:val="000000"/>
                <w:sz w:val="18"/>
              </w:rPr>
              <w:t>确保</w:t>
            </w:r>
            <w:r>
              <w:rPr>
                <w:rFonts w:eastAsia="仿宋_GB2312"/>
                <w:color w:val="000000"/>
                <w:sz w:val="18"/>
              </w:rPr>
              <w:t>处置突发事件信息</w:t>
            </w:r>
            <w:r>
              <w:rPr>
                <w:rFonts w:hint="eastAsia" w:eastAsia="仿宋_GB2312"/>
                <w:color w:val="000000"/>
                <w:sz w:val="18"/>
              </w:rPr>
              <w:t>优质高效报送</w:t>
            </w:r>
            <w:r>
              <w:rPr>
                <w:rFonts w:eastAsia="仿宋_GB2312"/>
                <w:color w:val="000000"/>
                <w:sz w:val="18"/>
              </w:rPr>
              <w:t>，保证非工作时间紧急文件的运转</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left"/>
              <w:rPr>
                <w:rFonts w:eastAsia="仿宋_GB2312"/>
              </w:rPr>
            </w:pPr>
            <w:r>
              <w:rPr>
                <w:rFonts w:eastAsia="仿宋_GB2312"/>
                <w:color w:val="000000"/>
                <w:sz w:val="18"/>
              </w:rPr>
              <w:t>全年向省政府总值班室规范报送</w:t>
            </w:r>
            <w:r>
              <w:rPr>
                <w:rFonts w:hint="eastAsia" w:eastAsia="仿宋_GB2312"/>
                <w:color w:val="000000"/>
                <w:sz w:val="18"/>
              </w:rPr>
              <w:t>突发事件信息等各类</w:t>
            </w:r>
            <w:r>
              <w:rPr>
                <w:rFonts w:eastAsia="仿宋_GB2312"/>
                <w:color w:val="000000"/>
                <w:sz w:val="18"/>
              </w:rPr>
              <w:t>值班信息270余条，</w:t>
            </w:r>
            <w:r>
              <w:rPr>
                <w:rFonts w:hint="eastAsia" w:eastAsia="仿宋_GB2312"/>
                <w:color w:val="000000"/>
                <w:sz w:val="18"/>
              </w:rPr>
              <w:t>对全市政府系统开展值班工作检查60余批次</w:t>
            </w:r>
            <w:r>
              <w:rPr>
                <w:rFonts w:eastAsia="仿宋_GB2312"/>
                <w:color w:val="000000"/>
                <w:sz w:val="18"/>
              </w:rPr>
              <w:t>，印发</w:t>
            </w:r>
            <w:r>
              <w:rPr>
                <w:rFonts w:hint="eastAsia" w:eastAsia="仿宋_GB2312"/>
                <w:color w:val="000000"/>
                <w:sz w:val="18"/>
              </w:rPr>
              <w:t>值班</w:t>
            </w:r>
            <w:r>
              <w:rPr>
                <w:rFonts w:eastAsia="仿宋_GB2312"/>
                <w:color w:val="000000"/>
                <w:sz w:val="18"/>
              </w:rPr>
              <w:t>通报</w:t>
            </w:r>
            <w:r>
              <w:rPr>
                <w:rFonts w:hint="eastAsia" w:eastAsia="仿宋_GB2312"/>
                <w:color w:val="000000"/>
                <w:sz w:val="18"/>
              </w:rPr>
              <w:t>4</w:t>
            </w:r>
            <w:r>
              <w:rPr>
                <w:rFonts w:eastAsia="仿宋_GB2312"/>
                <w:color w:val="000000"/>
                <w:sz w:val="18"/>
              </w:rPr>
              <w:t>期，</w:t>
            </w:r>
            <w:r>
              <w:rPr>
                <w:rFonts w:hint="eastAsia" w:eastAsia="仿宋_GB2312"/>
                <w:color w:val="000000"/>
                <w:sz w:val="18"/>
              </w:rPr>
              <w:t>全年通过值班应急视频会议系统召开90余次值班工作会议，召开市政府工作会议260余次</w:t>
            </w:r>
          </w:p>
        </w:tc>
      </w:tr>
      <w:tr>
        <w:tblPrEx>
          <w:tblCellMar>
            <w:top w:w="0" w:type="dxa"/>
            <w:left w:w="108" w:type="dxa"/>
            <w:bottom w:w="0" w:type="dxa"/>
            <w:right w:w="108" w:type="dxa"/>
          </w:tblCellMar>
        </w:tblPrEx>
        <w:trPr>
          <w:trHeight w:val="6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left"/>
              <w:rPr>
                <w:rFonts w:eastAsia="仿宋_GB2312"/>
              </w:rPr>
            </w:pPr>
            <w:r>
              <w:rPr>
                <w:rFonts w:eastAsia="仿宋_GB2312"/>
                <w:color w:val="000000"/>
                <w:sz w:val="18"/>
              </w:rPr>
              <w:t>用于总值班室办公费，在资金管理使用过程中，严格执行预算，强化值班工作检查，强化突发</w:t>
            </w:r>
            <w:r>
              <w:rPr>
                <w:rFonts w:hint="eastAsia" w:eastAsia="仿宋_GB2312"/>
                <w:color w:val="000000"/>
                <w:sz w:val="18"/>
              </w:rPr>
              <w:t>事件</w:t>
            </w:r>
            <w:r>
              <w:rPr>
                <w:rFonts w:eastAsia="仿宋_GB2312"/>
                <w:color w:val="000000"/>
                <w:sz w:val="18"/>
              </w:rPr>
              <w:t>信息报送，确保全市</w:t>
            </w:r>
            <w:r>
              <w:rPr>
                <w:rFonts w:hint="eastAsia" w:eastAsia="仿宋_GB2312"/>
                <w:color w:val="000000"/>
                <w:sz w:val="18"/>
              </w:rPr>
              <w:t>社会</w:t>
            </w:r>
            <w:r>
              <w:rPr>
                <w:rFonts w:eastAsia="仿宋_GB2312"/>
                <w:color w:val="000000"/>
                <w:sz w:val="18"/>
              </w:rPr>
              <w:t>安全稳定</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color w:val="000000"/>
                <w:sz w:val="18"/>
              </w:rPr>
            </w:pPr>
            <w:r>
              <w:rPr>
                <w:rFonts w:eastAsia="仿宋_GB2312"/>
                <w:color w:val="000000"/>
                <w:sz w:val="18"/>
              </w:rPr>
              <w:t>调整后</w:t>
            </w:r>
          </w:p>
          <w:p>
            <w:pPr>
              <w:spacing w:line="240" w:lineRule="exact"/>
              <w:ind w:left="-84" w:leftChars="-40" w:right="-71" w:rightChars="-34"/>
              <w:jc w:val="center"/>
              <w:rPr>
                <w:rFonts w:eastAsia="仿宋_GB2312"/>
              </w:rPr>
            </w:pPr>
            <w:r>
              <w:rPr>
                <w:rFonts w:eastAsia="仿宋_GB2312"/>
                <w:color w:val="000000"/>
                <w:sz w:val="18"/>
              </w:rPr>
              <w:t>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15.00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15.00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15.00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预算执行率=预算执行数/调整后预算数</w:t>
            </w:r>
          </w:p>
        </w:tc>
      </w:tr>
      <w:tr>
        <w:tblPrEx>
          <w:tblCellMar>
            <w:top w:w="0" w:type="dxa"/>
            <w:left w:w="108" w:type="dxa"/>
            <w:bottom w:w="0" w:type="dxa"/>
            <w:right w:w="108" w:type="dxa"/>
          </w:tblCellMar>
        </w:tblPrEx>
        <w:trPr>
          <w:trHeight w:val="43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15.00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15.00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15.00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r>
      <w:tr>
        <w:tblPrEx>
          <w:tblCellMar>
            <w:top w:w="0" w:type="dxa"/>
            <w:left w:w="108" w:type="dxa"/>
            <w:bottom w:w="0" w:type="dxa"/>
            <w:right w:w="108" w:type="dxa"/>
          </w:tblCellMar>
        </w:tblPrEx>
        <w:trPr>
          <w:trHeight w:val="19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r>
      <w:tr>
        <w:tblPrEx>
          <w:tblCellMar>
            <w:top w:w="0" w:type="dxa"/>
            <w:left w:w="108" w:type="dxa"/>
            <w:bottom w:w="0" w:type="dxa"/>
            <w:right w:w="108" w:type="dxa"/>
          </w:tblCellMar>
        </w:tblPrEx>
        <w:trPr>
          <w:trHeight w:val="21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46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值班情况</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24</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小时/天</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6"/>
              </w:rPr>
              <w:t>24</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妥善处置突发事件；节假日确保公文及时运转</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hint="eastAsia"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hint="eastAsia" w:eastAsia="仿宋_GB2312"/>
                <w:color w:val="000000"/>
                <w:sz w:val="18"/>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处置突发事件时效</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优良中低差</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6"/>
              </w:rPr>
              <w:t>优</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严格按预算执行</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6"/>
              </w:rPr>
              <w:t>15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及时处置突发事件，维护社会安全稳定</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使用部门满意度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hint="eastAsia" w:eastAsia="仿宋_GB2312"/>
                <w:color w:val="000000"/>
                <w:sz w:val="18"/>
              </w:rPr>
              <w:t>18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rPr>
            </w:pPr>
            <w:r>
              <w:rPr>
                <w:rFonts w:hint="eastAsia" w:eastAsia="仿宋_GB2312"/>
                <w:color w:val="000000"/>
                <w:sz w:val="18"/>
              </w:rPr>
              <w:t>98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p>
        </w:tc>
      </w:tr>
      <w:tr>
        <w:tblPrEx>
          <w:tblCellMar>
            <w:top w:w="0" w:type="dxa"/>
            <w:left w:w="108" w:type="dxa"/>
            <w:bottom w:w="0" w:type="dxa"/>
            <w:right w:w="108" w:type="dxa"/>
          </w:tblCellMar>
        </w:tblPrEx>
        <w:trPr>
          <w:trHeight w:val="428"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color w:val="000000"/>
                <w:sz w:val="18"/>
              </w:rPr>
            </w:pPr>
            <w:r>
              <w:rPr>
                <w:rFonts w:eastAsia="仿宋_GB2312"/>
                <w:color w:val="000000"/>
                <w:sz w:val="18"/>
              </w:rPr>
              <w:t>评价</w:t>
            </w:r>
          </w:p>
          <w:p>
            <w:pPr>
              <w:spacing w:line="240" w:lineRule="exact"/>
              <w:ind w:left="-84" w:leftChars="-40" w:right="-71" w:rightChars="-34"/>
              <w:jc w:val="center"/>
              <w:rPr>
                <w:rFonts w:eastAsia="仿宋_GB2312"/>
              </w:rPr>
            </w:pPr>
            <w:r>
              <w:rPr>
                <w:rFonts w:eastAsia="仿宋_GB2312"/>
                <w:color w:val="000000"/>
                <w:sz w:val="18"/>
              </w:rPr>
              <w:t>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rPr>
                <w:rFonts w:eastAsia="仿宋_GB2312"/>
              </w:rPr>
            </w:pPr>
            <w:r>
              <w:rPr>
                <w:rFonts w:eastAsia="仿宋_GB2312"/>
                <w:color w:val="000000"/>
                <w:sz w:val="16"/>
              </w:rPr>
              <w:t>资金运用准确、进度计划有序、绩效目标明确，绩效自评结果优秀，自评得分</w:t>
            </w:r>
            <w:r>
              <w:rPr>
                <w:rFonts w:hint="eastAsia" w:eastAsia="仿宋_GB2312"/>
                <w:color w:val="000000"/>
                <w:sz w:val="16"/>
              </w:rPr>
              <w:t>98</w:t>
            </w:r>
            <w:r>
              <w:rPr>
                <w:rFonts w:eastAsia="仿宋_GB2312"/>
                <w:color w:val="000000"/>
                <w:sz w:val="16"/>
              </w:rPr>
              <w:t>分</w:t>
            </w:r>
            <w:r>
              <w:rPr>
                <w:rFonts w:hint="eastAsia" w:eastAsia="仿宋_GB2312"/>
                <w:color w:val="000000"/>
                <w:sz w:val="16"/>
              </w:rPr>
              <w:t>。</w:t>
            </w:r>
          </w:p>
        </w:tc>
      </w:tr>
      <w:tr>
        <w:tblPrEx>
          <w:tblCellMar>
            <w:top w:w="0" w:type="dxa"/>
            <w:left w:w="108" w:type="dxa"/>
            <w:bottom w:w="0" w:type="dxa"/>
            <w:right w:w="108" w:type="dxa"/>
          </w:tblCellMar>
        </w:tblPrEx>
        <w:trPr>
          <w:trHeight w:val="35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color w:val="000000"/>
                <w:sz w:val="18"/>
              </w:rPr>
            </w:pPr>
            <w:r>
              <w:rPr>
                <w:rFonts w:eastAsia="仿宋_GB2312"/>
                <w:color w:val="000000"/>
                <w:sz w:val="18"/>
              </w:rPr>
              <w:t>存在</w:t>
            </w:r>
          </w:p>
          <w:p>
            <w:pPr>
              <w:spacing w:line="240" w:lineRule="exact"/>
              <w:ind w:left="-84" w:leftChars="-40" w:right="-71" w:rightChars="-34"/>
              <w:jc w:val="center"/>
              <w:rPr>
                <w:rFonts w:eastAsia="仿宋_GB2312"/>
              </w:rPr>
            </w:pPr>
            <w:r>
              <w:rPr>
                <w:rFonts w:eastAsia="仿宋_GB2312"/>
                <w:color w:val="000000"/>
                <w:sz w:val="18"/>
              </w:rPr>
              <w:t>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left"/>
              <w:rPr>
                <w:rFonts w:eastAsia="仿宋_GB2312"/>
              </w:rPr>
            </w:pPr>
            <w:r>
              <w:rPr>
                <w:rFonts w:eastAsia="仿宋_GB2312"/>
                <w:color w:val="000000"/>
                <w:sz w:val="16"/>
              </w:rPr>
              <w:t>无</w:t>
            </w:r>
          </w:p>
        </w:tc>
      </w:tr>
      <w:tr>
        <w:tblPrEx>
          <w:tblCellMar>
            <w:top w:w="0" w:type="dxa"/>
            <w:left w:w="108" w:type="dxa"/>
            <w:bottom w:w="0" w:type="dxa"/>
            <w:right w:w="108" w:type="dxa"/>
          </w:tblCellMar>
        </w:tblPrEx>
        <w:trPr>
          <w:trHeight w:val="427"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center"/>
              <w:rPr>
                <w:rFonts w:eastAsia="仿宋_GB2312"/>
                <w:color w:val="000000"/>
                <w:sz w:val="18"/>
              </w:rPr>
            </w:pPr>
            <w:r>
              <w:rPr>
                <w:rFonts w:eastAsia="仿宋_GB2312"/>
                <w:color w:val="000000"/>
                <w:sz w:val="18"/>
              </w:rPr>
              <w:t>改进</w:t>
            </w:r>
          </w:p>
          <w:p>
            <w:pPr>
              <w:spacing w:line="240" w:lineRule="exact"/>
              <w:ind w:left="-84" w:leftChars="-40" w:right="-71" w:rightChars="-34"/>
              <w:jc w:val="center"/>
              <w:rPr>
                <w:rFonts w:eastAsia="仿宋_GB2312"/>
              </w:rPr>
            </w:pPr>
            <w:r>
              <w:rPr>
                <w:rFonts w:eastAsia="仿宋_GB2312"/>
                <w:color w:val="000000"/>
                <w:sz w:val="18"/>
              </w:rPr>
              <w:t>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71" w:rightChars="-34"/>
              <w:jc w:val="left"/>
              <w:rPr>
                <w:rFonts w:eastAsia="仿宋_GB2312"/>
              </w:rPr>
            </w:pPr>
            <w:r>
              <w:rPr>
                <w:rFonts w:hint="eastAsia" w:eastAsia="仿宋_GB2312"/>
                <w:color w:val="000000"/>
                <w:sz w:val="16"/>
              </w:rPr>
              <w:t>认真贯</w:t>
            </w:r>
            <w:r>
              <w:rPr>
                <w:rFonts w:eastAsia="仿宋_GB2312"/>
                <w:color w:val="000000"/>
                <w:sz w:val="16"/>
              </w:rPr>
              <w:t>彻落实《全国政府系统值班工作规范（试行）》《四川省贯彻〈全国政府系统值班工作规范（试行）〉实施细则》，</w:t>
            </w:r>
            <w:r>
              <w:rPr>
                <w:rFonts w:hint="eastAsia" w:eastAsia="仿宋_GB2312"/>
                <w:color w:val="000000"/>
                <w:sz w:val="16"/>
              </w:rPr>
              <w:t>持</w:t>
            </w:r>
            <w:r>
              <w:rPr>
                <w:rFonts w:eastAsia="仿宋_GB2312"/>
                <w:color w:val="000000"/>
                <w:sz w:val="16"/>
              </w:rPr>
              <w:t>续做好值班</w:t>
            </w:r>
            <w:r>
              <w:rPr>
                <w:rFonts w:hint="eastAsia" w:eastAsia="仿宋_GB2312"/>
                <w:color w:val="000000"/>
                <w:sz w:val="16"/>
              </w:rPr>
              <w:t>各项</w:t>
            </w:r>
            <w:r>
              <w:rPr>
                <w:rFonts w:eastAsia="仿宋_GB2312"/>
                <w:color w:val="000000"/>
                <w:sz w:val="16"/>
              </w:rPr>
              <w:t>工作</w:t>
            </w:r>
            <w:r>
              <w:rPr>
                <w:rFonts w:hint="eastAsia" w:eastAsia="仿宋_GB2312"/>
                <w:color w:val="000000"/>
                <w:sz w:val="16"/>
              </w:rPr>
              <w:t>。</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color w:val="000000"/>
                <w:sz w:val="18"/>
              </w:rPr>
              <w:t>项目负责人：张帆</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pPr>
              <w:rPr>
                <w:rFonts w:eastAsia="仿宋_GB2312"/>
              </w:rPr>
            </w:p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529"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51190022T000004971721-专项督查督办及调研经费</w:t>
            </w:r>
          </w:p>
        </w:tc>
      </w:tr>
      <w:tr>
        <w:tblPrEx>
          <w:tblCellMar>
            <w:top w:w="0" w:type="dxa"/>
            <w:left w:w="108" w:type="dxa"/>
            <w:bottom w:w="0" w:type="dxa"/>
            <w:right w:w="108" w:type="dxa"/>
          </w:tblCellMar>
        </w:tblPrEx>
        <w:trPr>
          <w:trHeight w:val="287"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1387"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left"/>
              <w:rPr>
                <w:rFonts w:eastAsia="仿宋_GB2312"/>
              </w:rPr>
            </w:pPr>
            <w:r>
              <w:rPr>
                <w:rFonts w:eastAsia="仿宋_GB2312"/>
                <w:color w:val="000000"/>
                <w:sz w:val="18"/>
              </w:rPr>
              <w:t>紧紧围绕市政府中心工作，加大对政府工作报告、领导批示、会议决策、现场调研等确定事项的督办力度，确保各项目标任务落细落小落地落实，全力推动中央和省委省政府、市委市政府重大决策部署</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left"/>
              <w:rPr>
                <w:rFonts w:eastAsia="仿宋_GB2312"/>
              </w:rPr>
            </w:pPr>
            <w:r>
              <w:rPr>
                <w:rFonts w:eastAsia="仿宋_GB2312"/>
                <w:color w:val="000000"/>
                <w:sz w:val="18"/>
              </w:rPr>
              <w:t>一是完成全省2022年政务调研课题，刊印《政务参阅》6期；二是联合市目标绩效办对市《政府工作报告》、市政府全体会、市政府常务会议、市政府专题会等议定事项及时分解细化落实，全力推动2505件市政府领导</w:t>
            </w:r>
            <w:r>
              <w:rPr>
                <w:rFonts w:eastAsia="仿宋_GB2312"/>
                <w:color w:val="000000"/>
                <w:spacing w:val="-8"/>
                <w:sz w:val="18"/>
              </w:rPr>
              <w:t>批示交办事项全面办结、855件市政府决定事项基本办结</w:t>
            </w:r>
          </w:p>
        </w:tc>
      </w:tr>
      <w:tr>
        <w:tblPrEx>
          <w:tblCellMar>
            <w:top w:w="0" w:type="dxa"/>
            <w:left w:w="108" w:type="dxa"/>
            <w:bottom w:w="0" w:type="dxa"/>
            <w:right w:w="108" w:type="dxa"/>
          </w:tblCellMar>
        </w:tblPrEx>
        <w:trPr>
          <w:trHeight w:val="771"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left"/>
              <w:rPr>
                <w:rFonts w:eastAsia="仿宋_GB2312"/>
              </w:rPr>
            </w:pPr>
            <w:r>
              <w:rPr>
                <w:rFonts w:eastAsia="仿宋_GB2312"/>
                <w:color w:val="000000"/>
                <w:sz w:val="18"/>
              </w:rPr>
              <w:t>用于督查、督办、调研相关工作支出，在资金管理使用过程中，严格预算执行，并按照工作内容、工作时限和预期目标效果，将责任落实到人，确保各项目标任务落到实处</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19.54</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19.54</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right="-97" w:rightChars="-46"/>
              <w:rPr>
                <w:rFonts w:eastAsia="仿宋_GB2312"/>
              </w:rPr>
            </w:pPr>
            <w:r>
              <w:rPr>
                <w:rFonts w:eastAsia="仿宋_GB2312"/>
                <w:color w:val="000000"/>
                <w:sz w:val="18"/>
              </w:rPr>
              <w:t>执行率=预算执行数/调整后预算数</w:t>
            </w:r>
          </w:p>
        </w:tc>
      </w:tr>
      <w:tr>
        <w:tblPrEx>
          <w:tblCellMar>
            <w:top w:w="0" w:type="dxa"/>
            <w:left w:w="108" w:type="dxa"/>
            <w:bottom w:w="0" w:type="dxa"/>
            <w:right w:w="108" w:type="dxa"/>
          </w:tblCellMar>
        </w:tblPrEx>
        <w:trPr>
          <w:trHeight w:val="43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19.54</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19.54</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255"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272"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专项督查督办及调用</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80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次</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6"/>
              </w:rPr>
              <w:t>855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调研成果运用及目标任务完成</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6"/>
              </w:rPr>
              <w:t>100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领导交办事项、民生实事</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督查调研经费不超预算</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6"/>
              </w:rPr>
              <w:t>19.54</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 xml:space="preserve">群众获得感和幸福感    </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color w:val="000000"/>
                <w:sz w:val="18"/>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群众满意度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color w:val="000000"/>
                <w:sz w:val="16"/>
              </w:rPr>
              <w:t>96</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rPr>
              <w:t>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98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50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color w:val="000000"/>
                <w:sz w:val="18"/>
              </w:rPr>
            </w:pPr>
            <w:r>
              <w:rPr>
                <w:rFonts w:eastAsia="仿宋_GB2312"/>
                <w:color w:val="000000"/>
                <w:sz w:val="18"/>
              </w:rPr>
              <w:t>评价</w:t>
            </w:r>
          </w:p>
          <w:p>
            <w:pPr>
              <w:spacing w:line="240" w:lineRule="exact"/>
              <w:ind w:left="-84" w:leftChars="-40" w:right="-97" w:rightChars="-46"/>
              <w:jc w:val="center"/>
              <w:rPr>
                <w:rFonts w:eastAsia="仿宋_GB2312"/>
              </w:rPr>
            </w:pPr>
            <w:r>
              <w:rPr>
                <w:rFonts w:eastAsia="仿宋_GB2312"/>
                <w:color w:val="000000"/>
                <w:sz w:val="18"/>
              </w:rPr>
              <w:t>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left"/>
              <w:rPr>
                <w:rFonts w:eastAsia="仿宋_GB2312"/>
              </w:rPr>
            </w:pPr>
            <w:r>
              <w:rPr>
                <w:rFonts w:eastAsia="仿宋_GB2312"/>
                <w:color w:val="000000"/>
                <w:sz w:val="16"/>
              </w:rPr>
              <w:t>资金运用准确、进度计划有序、绩效目标较明确，绩效自评结果良好，自评得分98分</w:t>
            </w:r>
            <w:r>
              <w:rPr>
                <w:rFonts w:hint="eastAsia" w:eastAsia="仿宋_GB2312"/>
                <w:color w:val="000000"/>
                <w:sz w:val="16"/>
              </w:rPr>
              <w:t>。</w:t>
            </w:r>
          </w:p>
        </w:tc>
      </w:tr>
      <w:tr>
        <w:tblPrEx>
          <w:tblCellMar>
            <w:top w:w="0" w:type="dxa"/>
            <w:left w:w="108" w:type="dxa"/>
            <w:bottom w:w="0" w:type="dxa"/>
            <w:right w:w="108" w:type="dxa"/>
          </w:tblCellMar>
        </w:tblPrEx>
        <w:trPr>
          <w:trHeight w:val="422"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color w:val="000000"/>
                <w:sz w:val="18"/>
              </w:rPr>
            </w:pPr>
            <w:r>
              <w:rPr>
                <w:rFonts w:eastAsia="仿宋_GB2312"/>
                <w:color w:val="000000"/>
                <w:sz w:val="18"/>
              </w:rPr>
              <w:t>存在</w:t>
            </w:r>
          </w:p>
          <w:p>
            <w:pPr>
              <w:spacing w:line="240" w:lineRule="exact"/>
              <w:ind w:left="-84" w:leftChars="-40" w:right="-97" w:rightChars="-46"/>
              <w:jc w:val="center"/>
              <w:rPr>
                <w:rFonts w:eastAsia="仿宋_GB2312"/>
              </w:rPr>
            </w:pPr>
            <w:r>
              <w:rPr>
                <w:rFonts w:eastAsia="仿宋_GB2312"/>
                <w:color w:val="000000"/>
                <w:sz w:val="18"/>
              </w:rPr>
              <w:t>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left"/>
              <w:rPr>
                <w:rFonts w:eastAsia="仿宋_GB2312"/>
              </w:rPr>
            </w:pPr>
            <w:r>
              <w:rPr>
                <w:rFonts w:eastAsia="仿宋_GB2312"/>
                <w:color w:val="000000"/>
                <w:sz w:val="16"/>
              </w:rPr>
              <w:t>无</w:t>
            </w:r>
          </w:p>
        </w:tc>
      </w:tr>
      <w:tr>
        <w:tblPrEx>
          <w:tblCellMar>
            <w:top w:w="0" w:type="dxa"/>
            <w:left w:w="108" w:type="dxa"/>
            <w:bottom w:w="0" w:type="dxa"/>
            <w:right w:w="108" w:type="dxa"/>
          </w:tblCellMar>
        </w:tblPrEx>
        <w:trPr>
          <w:trHeight w:val="344"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color w:val="000000"/>
                <w:sz w:val="18"/>
              </w:rPr>
            </w:pPr>
            <w:r>
              <w:rPr>
                <w:rFonts w:eastAsia="仿宋_GB2312"/>
                <w:color w:val="000000"/>
                <w:sz w:val="18"/>
              </w:rPr>
              <w:t>改进</w:t>
            </w:r>
          </w:p>
          <w:p>
            <w:pPr>
              <w:spacing w:line="240" w:lineRule="exact"/>
              <w:ind w:left="-84" w:leftChars="-40" w:right="-97" w:rightChars="-46"/>
              <w:jc w:val="center"/>
              <w:rPr>
                <w:rFonts w:eastAsia="仿宋_GB2312"/>
              </w:rPr>
            </w:pPr>
            <w:r>
              <w:rPr>
                <w:rFonts w:eastAsia="仿宋_GB2312"/>
                <w:color w:val="000000"/>
                <w:sz w:val="18"/>
              </w:rPr>
              <w:t>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r>
              <w:rPr>
                <w:rFonts w:eastAsia="仿宋_GB2312"/>
                <w:color w:val="000000"/>
                <w:sz w:val="16"/>
              </w:rPr>
              <w:t>一是按照《关于进一步规范调查研究和督查检查考核活动为基层减负的通知》要求，继续做好调查研究工作；二是对各项议定事项及时分解细化落实，高质量迎接省“三重一大”决策制度落实情况督查和省政府综合督查</w:t>
            </w:r>
            <w:r>
              <w:rPr>
                <w:rFonts w:hint="eastAsia" w:eastAsia="仿宋_GB2312"/>
                <w:color w:val="000000"/>
                <w:sz w:val="16"/>
              </w:rPr>
              <w:t>。</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项目负责人：王平</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财务负责人：</w:t>
            </w:r>
            <w:r>
              <w:rPr>
                <w:rFonts w:hint="eastAsia" w:eastAsia="仿宋_GB2312"/>
                <w:color w:val="000000"/>
                <w:sz w:val="18"/>
              </w:rPr>
              <w:t>王兴全</w:t>
            </w:r>
          </w:p>
        </w:tc>
      </w:tr>
    </w:tbl>
    <w:p>
      <w:r>
        <w:br w:type="page"/>
      </w:r>
    </w:p>
    <w:tbl>
      <w:tblPr>
        <w:tblStyle w:val="14"/>
        <w:tblW w:w="9434" w:type="dxa"/>
        <w:tblInd w:w="0" w:type="dxa"/>
        <w:tblLayout w:type="fixed"/>
        <w:tblCellMar>
          <w:top w:w="0" w:type="dxa"/>
          <w:left w:w="108" w:type="dxa"/>
          <w:bottom w:w="0" w:type="dxa"/>
          <w:right w:w="108" w:type="dxa"/>
        </w:tblCellMar>
      </w:tblPr>
      <w:tblGrid>
        <w:gridCol w:w="689"/>
        <w:gridCol w:w="1347"/>
        <w:gridCol w:w="766"/>
        <w:gridCol w:w="1104"/>
        <w:gridCol w:w="1255"/>
        <w:gridCol w:w="7"/>
        <w:gridCol w:w="532"/>
        <w:gridCol w:w="540"/>
        <w:gridCol w:w="965"/>
        <w:gridCol w:w="576"/>
        <w:gridCol w:w="600"/>
        <w:gridCol w:w="1053"/>
      </w:tblGrid>
      <w:tr>
        <w:tblPrEx>
          <w:tblCellMar>
            <w:top w:w="0" w:type="dxa"/>
            <w:left w:w="108" w:type="dxa"/>
            <w:bottom w:w="0" w:type="dxa"/>
            <w:right w:w="108" w:type="dxa"/>
          </w:tblCellMar>
        </w:tblPrEx>
        <w:trPr>
          <w:trHeight w:val="729"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51190022T000004971737-政府综合管理业务专项经费</w:t>
            </w:r>
          </w:p>
        </w:tc>
      </w:tr>
      <w:tr>
        <w:tblPrEx>
          <w:tblCellMar>
            <w:top w:w="0" w:type="dxa"/>
            <w:left w:w="108" w:type="dxa"/>
            <w:bottom w:w="0" w:type="dxa"/>
            <w:right w:w="108" w:type="dxa"/>
          </w:tblCellMar>
        </w:tblPrEx>
        <w:trPr>
          <w:trHeight w:val="259"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130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强化统筹协调，抓好民生实事的落实，扎实推动创文工作，有序推进乡村振兴工作，开展综合培训等，确保市政府各项工作规范运行</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一是圆满完成全省30件民生实事和市自选10件民生实事，按时序进度完成市政府领导领衔督办的3—5件民生实事，有力有效解决民生诉求6.3万余个；二是建设学习型机关，举办专题讲座2次、公文写作能力测试1次、演讲比赛3次；三是常态化抓好创文、乡村振兴工作</w:t>
            </w:r>
          </w:p>
        </w:tc>
      </w:tr>
      <w:tr>
        <w:tblPrEx>
          <w:tblCellMar>
            <w:top w:w="0" w:type="dxa"/>
            <w:left w:w="108" w:type="dxa"/>
            <w:bottom w:w="0" w:type="dxa"/>
            <w:right w:w="108" w:type="dxa"/>
          </w:tblCellMar>
        </w:tblPrEx>
        <w:trPr>
          <w:trHeight w:val="6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用于民生实事、综合培训、创文工作、乡村振兴等支出，在资金管理使用过程中，严格按照资金用途，有序推进各项工作落实</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50.00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42.04</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42.04</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1.预算执行率=预算执行数/调整后预算数；2.年中预算调整财政收回部分指标</w:t>
            </w:r>
          </w:p>
        </w:tc>
      </w:tr>
      <w:tr>
        <w:tblPrEx>
          <w:tblCellMar>
            <w:top w:w="0" w:type="dxa"/>
            <w:left w:w="108" w:type="dxa"/>
            <w:bottom w:w="0" w:type="dxa"/>
            <w:right w:w="108" w:type="dxa"/>
          </w:tblCellMar>
        </w:tblPrEx>
        <w:trPr>
          <w:trHeight w:val="43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50.00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42.04</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42.04</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3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6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民生实事</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30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件</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40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上级及领导交办事项、民生实事等</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各类事项</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年</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1</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开支不超过预算安排</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50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42.04</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color w:val="000000"/>
                <w:sz w:val="18"/>
              </w:rPr>
            </w:pPr>
            <w:r>
              <w:rPr>
                <w:rFonts w:eastAsia="仿宋_GB2312"/>
                <w:color w:val="000000"/>
                <w:sz w:val="18"/>
              </w:rPr>
              <w:t>解决实际</w:t>
            </w:r>
          </w:p>
          <w:p>
            <w:pPr>
              <w:spacing w:line="240" w:lineRule="exact"/>
              <w:ind w:left="-97" w:leftChars="-46" w:right="-88" w:rightChars="-42"/>
              <w:jc w:val="center"/>
              <w:rPr>
                <w:rFonts w:eastAsia="仿宋_GB2312"/>
              </w:rPr>
            </w:pPr>
            <w:r>
              <w:rPr>
                <w:rFonts w:eastAsia="仿宋_GB2312"/>
                <w:color w:val="000000"/>
                <w:sz w:val="18"/>
              </w:rPr>
              <w:t>问题</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hint="default" w:eastAsia="仿宋_GB2312"/>
                <w:lang w:val="en-US" w:eastAsia="zh-CN"/>
              </w:rPr>
            </w:pPr>
            <w:r>
              <w:rPr>
                <w:rFonts w:hint="eastAsia" w:eastAsia="仿宋_GB2312"/>
                <w:lang w:val="en-US" w:eastAsia="zh-CN"/>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群众满意度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hint="default" w:eastAsia="仿宋_GB2312"/>
                <w:lang w:val="en-US" w:eastAsia="zh-CN"/>
              </w:rPr>
            </w:pPr>
            <w:r>
              <w:rPr>
                <w:rFonts w:hint="eastAsia" w:eastAsia="仿宋_GB2312"/>
                <w:color w:val="000000"/>
                <w:sz w:val="16"/>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hint="default" w:eastAsia="仿宋_GB2312"/>
                <w:lang w:val="en-US" w:eastAsia="zh-CN"/>
              </w:rPr>
            </w:pPr>
            <w:r>
              <w:rPr>
                <w:rFonts w:hint="eastAsia" w:eastAsia="仿宋_GB2312"/>
                <w:lang w:val="en-US" w:eastAsia="zh-CN"/>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88" w:rightChars="-42"/>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hint="eastAsia" w:eastAsia="仿宋_GB2312"/>
                <w:color w:val="000000"/>
                <w:sz w:val="18"/>
              </w:rPr>
              <w:t>98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495"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评价结论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sz w:val="18"/>
                <w:szCs w:val="18"/>
              </w:rPr>
            </w:pPr>
            <w:r>
              <w:rPr>
                <w:rFonts w:eastAsia="仿宋_GB2312"/>
                <w:color w:val="000000"/>
                <w:sz w:val="18"/>
                <w:szCs w:val="18"/>
              </w:rPr>
              <w:t>资金运用准确、进度计划有序、绩效目标明确，绩效自评结果良好，自评得分9</w:t>
            </w:r>
            <w:r>
              <w:rPr>
                <w:rFonts w:hint="eastAsia" w:eastAsia="仿宋_GB2312"/>
                <w:color w:val="000000"/>
                <w:sz w:val="18"/>
                <w:szCs w:val="18"/>
              </w:rPr>
              <w:t>8</w:t>
            </w:r>
            <w:r>
              <w:rPr>
                <w:rFonts w:eastAsia="仿宋_GB2312"/>
                <w:color w:val="000000"/>
                <w:sz w:val="18"/>
                <w:szCs w:val="18"/>
              </w:rPr>
              <w:t>分</w:t>
            </w:r>
            <w:r>
              <w:rPr>
                <w:rFonts w:hint="eastAsia" w:eastAsia="仿宋_GB2312"/>
                <w:color w:val="000000"/>
                <w:sz w:val="18"/>
                <w:szCs w:val="18"/>
              </w:rPr>
              <w:t>。</w:t>
            </w:r>
          </w:p>
        </w:tc>
      </w:tr>
      <w:tr>
        <w:tblPrEx>
          <w:tblCellMar>
            <w:top w:w="0" w:type="dxa"/>
            <w:left w:w="108" w:type="dxa"/>
            <w:bottom w:w="0" w:type="dxa"/>
            <w:right w:w="108" w:type="dxa"/>
          </w:tblCellMar>
        </w:tblPrEx>
        <w:trPr>
          <w:trHeight w:val="447"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存在问题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sz w:val="18"/>
                <w:szCs w:val="18"/>
              </w:rPr>
            </w:pPr>
            <w:r>
              <w:rPr>
                <w:rFonts w:eastAsia="仿宋_GB2312"/>
                <w:color w:val="000000"/>
                <w:sz w:val="18"/>
                <w:szCs w:val="18"/>
              </w:rPr>
              <w:t>无</w:t>
            </w:r>
          </w:p>
        </w:tc>
      </w:tr>
      <w:tr>
        <w:tblPrEx>
          <w:tblCellMar>
            <w:top w:w="0" w:type="dxa"/>
            <w:left w:w="108" w:type="dxa"/>
            <w:bottom w:w="0" w:type="dxa"/>
            <w:right w:w="108" w:type="dxa"/>
          </w:tblCellMar>
        </w:tblPrEx>
        <w:trPr>
          <w:trHeight w:val="481"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改进措施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sz w:val="18"/>
                <w:szCs w:val="18"/>
              </w:rPr>
            </w:pPr>
            <w:r>
              <w:rPr>
                <w:rFonts w:eastAsia="仿宋_GB2312"/>
                <w:color w:val="000000"/>
                <w:sz w:val="18"/>
                <w:szCs w:val="18"/>
              </w:rPr>
              <w:t>围绕办公室总体目标任务，统筹抓好各项工作</w:t>
            </w:r>
            <w:r>
              <w:rPr>
                <w:rFonts w:hint="eastAsia" w:eastAsia="仿宋_GB2312"/>
                <w:color w:val="000000"/>
                <w:sz w:val="18"/>
                <w:szCs w:val="18"/>
              </w:rPr>
              <w:t>。</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项目负责人：王平</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pPr>
              <w:rPr>
                <w:rFonts w:eastAsia="仿宋_GB2312"/>
              </w:rPr>
            </w:p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90"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51190022T000004971759-政府公报及专项资料编印费</w:t>
            </w:r>
          </w:p>
        </w:tc>
      </w:tr>
      <w:tr>
        <w:tblPrEx>
          <w:tblCellMar>
            <w:top w:w="0" w:type="dxa"/>
            <w:left w:w="108" w:type="dxa"/>
            <w:bottom w:w="0" w:type="dxa"/>
            <w:right w:w="108" w:type="dxa"/>
          </w:tblCellMar>
        </w:tblPrEx>
        <w:trPr>
          <w:trHeight w:val="287"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100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90"/>
              <w:jc w:val="left"/>
              <w:rPr>
                <w:rFonts w:eastAsia="仿宋_GB2312"/>
              </w:rPr>
            </w:pPr>
            <w:r>
              <w:rPr>
                <w:rFonts w:eastAsia="仿宋_GB2312"/>
                <w:color w:val="000000"/>
                <w:sz w:val="18"/>
              </w:rPr>
              <w:t>完成12期《巴中市人民政府公报》印</w:t>
            </w:r>
            <w:r>
              <w:rPr>
                <w:rFonts w:hint="eastAsia" w:eastAsia="仿宋_GB2312"/>
                <w:color w:val="000000"/>
                <w:sz w:val="18"/>
              </w:rPr>
              <w:t>制</w:t>
            </w:r>
            <w:r>
              <w:rPr>
                <w:rFonts w:eastAsia="仿宋_GB2312"/>
                <w:color w:val="000000"/>
                <w:sz w:val="18"/>
              </w:rPr>
              <w:t>、邮寄；完成印制各类会议资料、各类红头文件、工作信息汇编、政府工作报告等。保证会议资料、文件等印刷质</w:t>
            </w:r>
            <w:r>
              <w:rPr>
                <w:rFonts w:eastAsia="仿宋_GB2312"/>
                <w:color w:val="000000"/>
                <w:spacing w:val="-12"/>
                <w:sz w:val="18"/>
              </w:rPr>
              <w:t>量，确保办公室各项工作有力、有序运转。</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一是高质量起草《政府工作报告》，人大代表电子票决满意率达100%；二是全年起草领导讲话、工作汇报等3000字以上文稿200余篇；三是完成12期《巴中市人民政府公报》印</w:t>
            </w:r>
            <w:r>
              <w:rPr>
                <w:rFonts w:hint="eastAsia" w:eastAsia="仿宋_GB2312"/>
                <w:color w:val="000000"/>
                <w:sz w:val="18"/>
              </w:rPr>
              <w:t>制</w:t>
            </w:r>
            <w:r>
              <w:rPr>
                <w:rFonts w:eastAsia="仿宋_GB2312"/>
                <w:color w:val="000000"/>
                <w:sz w:val="18"/>
              </w:rPr>
              <w:t>、邮寄</w:t>
            </w:r>
          </w:p>
        </w:tc>
      </w:tr>
      <w:tr>
        <w:tblPrEx>
          <w:tblCellMar>
            <w:top w:w="0" w:type="dxa"/>
            <w:left w:w="108" w:type="dxa"/>
            <w:bottom w:w="0" w:type="dxa"/>
            <w:right w:w="108" w:type="dxa"/>
          </w:tblCellMar>
        </w:tblPrEx>
        <w:trPr>
          <w:trHeight w:val="6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用于政府公报印</w:t>
            </w:r>
            <w:r>
              <w:rPr>
                <w:rFonts w:hint="eastAsia" w:eastAsia="仿宋_GB2312"/>
                <w:color w:val="000000"/>
                <w:sz w:val="18"/>
              </w:rPr>
              <w:t>制</w:t>
            </w:r>
            <w:r>
              <w:rPr>
                <w:rFonts w:eastAsia="仿宋_GB2312"/>
                <w:color w:val="000000"/>
                <w:sz w:val="18"/>
              </w:rPr>
              <w:t>邮寄、各类文件资料印刷等支出，在资金管理使用过程中，严格预算执行，确保项目目标实现</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color w:val="000000"/>
                <w:sz w:val="18"/>
              </w:rPr>
            </w:pPr>
            <w:r>
              <w:rPr>
                <w:rFonts w:eastAsia="仿宋_GB2312"/>
                <w:color w:val="000000"/>
                <w:sz w:val="18"/>
              </w:rPr>
              <w:t>年初</w:t>
            </w:r>
          </w:p>
          <w:p>
            <w:pPr>
              <w:spacing w:line="240" w:lineRule="exact"/>
              <w:jc w:val="center"/>
              <w:rPr>
                <w:rFonts w:eastAsia="仿宋_GB2312"/>
              </w:rPr>
            </w:pPr>
            <w:r>
              <w:rPr>
                <w:rFonts w:eastAsia="仿宋_GB2312"/>
                <w:color w:val="000000"/>
                <w:sz w:val="18"/>
              </w:rPr>
              <w:t>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37.00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27.38</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27.38</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1.预算执行率=预算执行数/调整后预算数；2.年中预算调整财政收回部分指标</w:t>
            </w:r>
          </w:p>
        </w:tc>
      </w:tr>
      <w:tr>
        <w:tblPrEx>
          <w:tblCellMar>
            <w:top w:w="0" w:type="dxa"/>
            <w:left w:w="108" w:type="dxa"/>
            <w:bottom w:w="0" w:type="dxa"/>
            <w:right w:w="108" w:type="dxa"/>
          </w:tblCellMar>
        </w:tblPrEx>
        <w:trPr>
          <w:trHeight w:val="43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37.00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27.38</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27.38</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122"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28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113" w:right="-91"/>
              <w:jc w:val="center"/>
              <w:rPr>
                <w:rFonts w:eastAsia="仿宋_GB2312"/>
              </w:rPr>
            </w:pPr>
            <w:r>
              <w:rPr>
                <w:rFonts w:eastAsia="仿宋_GB2312"/>
                <w:color w:val="000000"/>
                <w:sz w:val="18"/>
              </w:rPr>
              <w:t>印刷各类资料份数</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6000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份</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6"/>
              </w:rPr>
              <w:t>8000余份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113" w:right="-91"/>
              <w:jc w:val="center"/>
              <w:rPr>
                <w:rFonts w:eastAsia="仿宋_GB2312"/>
              </w:rPr>
            </w:pPr>
            <w:r>
              <w:rPr>
                <w:rFonts w:eastAsia="仿宋_GB2312"/>
                <w:color w:val="000000"/>
                <w:sz w:val="18"/>
              </w:rPr>
              <w:t xml:space="preserve">版面和文字规范性    </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113" w:right="-91"/>
              <w:jc w:val="center"/>
              <w:rPr>
                <w:rFonts w:eastAsia="仿宋_GB2312"/>
              </w:rPr>
            </w:pPr>
            <w:r>
              <w:rPr>
                <w:rFonts w:eastAsia="仿宋_GB2312"/>
                <w:color w:val="000000"/>
                <w:sz w:val="18"/>
              </w:rPr>
              <w:t xml:space="preserve">各类会议、文件资料等    </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1</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天</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6"/>
              </w:rPr>
              <w:t>1</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p>
        </w:tc>
      </w:tr>
      <w:tr>
        <w:tblPrEx>
          <w:tblCellMar>
            <w:top w:w="0" w:type="dxa"/>
            <w:left w:w="108" w:type="dxa"/>
            <w:bottom w:w="0" w:type="dxa"/>
            <w:right w:w="108" w:type="dxa"/>
          </w:tblCellMar>
        </w:tblPrEx>
        <w:trPr>
          <w:trHeight w:val="467"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113" w:right="-91"/>
              <w:jc w:val="center"/>
              <w:rPr>
                <w:rFonts w:eastAsia="仿宋_GB2312"/>
              </w:rPr>
            </w:pPr>
            <w:r>
              <w:rPr>
                <w:rFonts w:eastAsia="仿宋_GB2312"/>
                <w:color w:val="000000"/>
                <w:sz w:val="18"/>
              </w:rPr>
              <w:t>政府公报、工作信息汇编 邮寄等</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37</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6"/>
              </w:rPr>
              <w:t>27.38</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p>
        </w:tc>
      </w:tr>
      <w:tr>
        <w:tblPrEx>
          <w:tblCellMar>
            <w:top w:w="0" w:type="dxa"/>
            <w:left w:w="108" w:type="dxa"/>
            <w:bottom w:w="0" w:type="dxa"/>
            <w:right w:w="108" w:type="dxa"/>
          </w:tblCellMar>
        </w:tblPrEx>
        <w:trPr>
          <w:trHeight w:val="6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113" w:right="-91"/>
              <w:jc w:val="center"/>
              <w:rPr>
                <w:rFonts w:eastAsia="仿宋_GB2312"/>
              </w:rPr>
            </w:pPr>
            <w:r>
              <w:rPr>
                <w:rFonts w:eastAsia="仿宋_GB2312"/>
                <w:color w:val="000000"/>
                <w:sz w:val="18"/>
              </w:rPr>
              <w:t>保证会议资料、文件等印刷质量，确保办公室各项工作有</w:t>
            </w:r>
            <w:r>
              <w:rPr>
                <w:rFonts w:eastAsia="仿宋_GB2312"/>
                <w:color w:val="000000"/>
                <w:spacing w:val="-8"/>
                <w:sz w:val="18"/>
              </w:rPr>
              <w:t>力、有序运转</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hint="eastAsia" w:eastAsia="仿宋_GB2312"/>
                <w:lang w:val="en-US" w:eastAsia="zh-CN"/>
              </w:rPr>
            </w:pPr>
            <w:r>
              <w:rPr>
                <w:rFonts w:hint="eastAsia" w:eastAsia="仿宋_GB2312"/>
                <w:color w:val="000000"/>
                <w:sz w:val="18"/>
                <w:lang w:val="en-US" w:eastAsia="zh-CN"/>
              </w:rPr>
              <w:t>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p>
        </w:tc>
      </w:tr>
      <w:tr>
        <w:tblPrEx>
          <w:tblCellMar>
            <w:top w:w="0" w:type="dxa"/>
            <w:left w:w="108" w:type="dxa"/>
            <w:bottom w:w="0" w:type="dxa"/>
            <w:right w:w="108" w:type="dxa"/>
          </w:tblCellMar>
        </w:tblPrEx>
        <w:trPr>
          <w:trHeight w:val="6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113" w:right="-91"/>
              <w:jc w:val="center"/>
              <w:rPr>
                <w:rFonts w:eastAsia="仿宋_GB2312"/>
              </w:rPr>
            </w:pPr>
            <w:r>
              <w:rPr>
                <w:rFonts w:eastAsia="仿宋_GB2312"/>
                <w:color w:val="000000"/>
                <w:sz w:val="18"/>
              </w:rPr>
              <w:t>保证会议资料、文件等印刷质量，确保办公室各项工作有</w:t>
            </w:r>
            <w:r>
              <w:rPr>
                <w:rFonts w:eastAsia="仿宋_GB2312"/>
                <w:color w:val="000000"/>
                <w:spacing w:val="-8"/>
                <w:sz w:val="18"/>
              </w:rPr>
              <w:t>力、有序运转</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r>
              <w:rPr>
                <w:rFonts w:eastAsia="仿宋_GB2312"/>
                <w:color w:val="000000"/>
                <w:sz w:val="18"/>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111" w:right="-88"/>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hint="default" w:eastAsia="仿宋_GB2312"/>
                <w:lang w:val="en-US" w:eastAsia="zh-CN"/>
              </w:rPr>
            </w:pPr>
            <w:r>
              <w:rPr>
                <w:rFonts w:hint="eastAsia" w:eastAsia="仿宋_GB2312"/>
                <w:color w:val="000000"/>
                <w:sz w:val="18"/>
                <w:lang w:val="en-US" w:eastAsia="zh-CN"/>
              </w:rPr>
              <w:t>98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29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jc w:val="center"/>
              <w:rPr>
                <w:rFonts w:eastAsia="仿宋_GB2312"/>
              </w:rPr>
            </w:pPr>
            <w:r>
              <w:rPr>
                <w:rFonts w:eastAsia="仿宋_GB2312"/>
                <w:color w:val="000000"/>
                <w:sz w:val="18"/>
              </w:rPr>
              <w:t>评价结论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rPr>
              <w:t>资金运用准确、进度计划有序、绩效目标明确，绩效自评结果良好，自评得分9</w:t>
            </w:r>
            <w:r>
              <w:rPr>
                <w:rFonts w:hint="eastAsia" w:eastAsia="仿宋_GB2312"/>
                <w:color w:val="000000"/>
                <w:sz w:val="16"/>
                <w:lang w:val="en-US" w:eastAsia="zh-CN"/>
              </w:rPr>
              <w:t>8</w:t>
            </w:r>
            <w:r>
              <w:rPr>
                <w:rFonts w:eastAsia="仿宋_GB2312"/>
                <w:color w:val="000000"/>
                <w:sz w:val="16"/>
              </w:rPr>
              <w:t>分</w:t>
            </w:r>
            <w:r>
              <w:rPr>
                <w:rFonts w:hint="eastAsia" w:eastAsia="仿宋_GB2312"/>
                <w:color w:val="000000"/>
                <w:sz w:val="16"/>
              </w:rPr>
              <w:t>。</w:t>
            </w:r>
          </w:p>
        </w:tc>
      </w:tr>
      <w:tr>
        <w:tblPrEx>
          <w:tblCellMar>
            <w:top w:w="0" w:type="dxa"/>
            <w:left w:w="108" w:type="dxa"/>
            <w:bottom w:w="0" w:type="dxa"/>
            <w:right w:w="108" w:type="dxa"/>
          </w:tblCellMar>
        </w:tblPrEx>
        <w:trPr>
          <w:trHeight w:val="452"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jc w:val="center"/>
              <w:rPr>
                <w:rFonts w:eastAsia="仿宋_GB2312"/>
              </w:rPr>
            </w:pPr>
            <w:r>
              <w:rPr>
                <w:rFonts w:eastAsia="仿宋_GB2312"/>
                <w:color w:val="000000"/>
                <w:sz w:val="18"/>
              </w:rPr>
              <w:t>存在问题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rPr>
              <w:t>无</w:t>
            </w:r>
          </w:p>
        </w:tc>
      </w:tr>
      <w:tr>
        <w:tblPrEx>
          <w:tblCellMar>
            <w:top w:w="0" w:type="dxa"/>
            <w:left w:w="108" w:type="dxa"/>
            <w:bottom w:w="0" w:type="dxa"/>
            <w:right w:w="108" w:type="dxa"/>
          </w:tblCellMar>
        </w:tblPrEx>
        <w:trPr>
          <w:trHeight w:val="246"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jc w:val="center"/>
              <w:rPr>
                <w:rFonts w:eastAsia="仿宋_GB2312"/>
              </w:rPr>
            </w:pPr>
            <w:r>
              <w:rPr>
                <w:rFonts w:eastAsia="仿宋_GB2312"/>
                <w:color w:val="000000"/>
                <w:sz w:val="18"/>
              </w:rPr>
              <w:t>改进措施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rPr>
              <w:t>按照节能降耗增效益，精细管理降成本原则，围绕办公室目标任务，持续抓好政府公报及专项资料编印工作</w:t>
            </w:r>
            <w:r>
              <w:rPr>
                <w:rFonts w:hint="eastAsia" w:eastAsia="仿宋_GB2312"/>
                <w:color w:val="000000"/>
                <w:sz w:val="16"/>
              </w:rPr>
              <w:t>。</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项目负责人：王平</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pPr>
              <w:rPr>
                <w:rFonts w:eastAsia="仿宋_GB2312"/>
              </w:rPr>
            </w:p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529"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51190022T000004978216-监督执纪问责专项经费</w:t>
            </w:r>
          </w:p>
        </w:tc>
      </w:tr>
      <w:tr>
        <w:tblPrEx>
          <w:tblCellMar>
            <w:top w:w="0" w:type="dxa"/>
            <w:left w:w="108" w:type="dxa"/>
            <w:bottom w:w="0" w:type="dxa"/>
            <w:right w:w="108" w:type="dxa"/>
          </w:tblCellMar>
        </w:tblPrEx>
        <w:trPr>
          <w:trHeight w:val="259"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ind w:left="-84" w:leftChars="-40" w:right="-97" w:rightChars="-46"/>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137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84" w:leftChars="-40" w:right="-97" w:rightChars="-46"/>
              <w:rPr>
                <w:rFonts w:eastAsia="仿宋_GB2312"/>
              </w:rPr>
            </w:pPr>
            <w:r>
              <w:rPr>
                <w:rFonts w:eastAsia="仿宋_GB2312"/>
                <w:color w:val="000000"/>
                <w:sz w:val="18"/>
              </w:rPr>
              <w:t>承办处置市纪委监委移送的问题线索；对群众来信来电来函反映被监督单位党员干部违纪违法的问题进行调查处理；对被监督单位落实管党治党主体责任开展每季度一次的监督检查；按照市纪委全会精神，开展交通、政务服务、乡村振兴以及市纪委监委统筹安排的专项整治活动；开展违反中央八项规定精神及实施细则以及违规操办宴席敛财等的暗访活动；开展廉政警示教育和党员领导干部家访活动</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left"/>
              <w:rPr>
                <w:rFonts w:eastAsia="仿宋_GB2312"/>
              </w:rPr>
            </w:pPr>
            <w:r>
              <w:rPr>
                <w:rFonts w:hint="eastAsia" w:eastAsia="仿宋_GB2312"/>
                <w:color w:val="000000"/>
                <w:sz w:val="18"/>
              </w:rPr>
              <w:t>1.</w:t>
            </w:r>
            <w:r>
              <w:rPr>
                <w:rFonts w:eastAsia="仿宋_GB2312"/>
                <w:color w:val="000000"/>
                <w:sz w:val="18"/>
              </w:rPr>
              <w:t>对被监督单位落实主体责任情况开展监督检查4次，反馈问题9个；</w:t>
            </w:r>
            <w:r>
              <w:rPr>
                <w:rFonts w:hint="eastAsia" w:eastAsia="仿宋_GB2312"/>
                <w:color w:val="000000"/>
                <w:sz w:val="18"/>
              </w:rPr>
              <w:t>2.</w:t>
            </w:r>
            <w:r>
              <w:rPr>
                <w:rFonts w:eastAsia="仿宋_GB2312"/>
                <w:color w:val="000000"/>
                <w:sz w:val="18"/>
              </w:rPr>
              <w:t>开展“五一、端午、中秋、国庆”正风肃纪、违规操办宴席、酒醉驾、搭车旅游等专项整治，处置问题线索23条，诫勉6人，</w:t>
            </w:r>
            <w:r>
              <w:rPr>
                <w:rFonts w:hint="eastAsia" w:eastAsia="仿宋_GB2312"/>
                <w:color w:val="000000"/>
                <w:sz w:val="18"/>
              </w:rPr>
              <w:t>办理违纪案件1件，办理涉法涉拆信访1件。</w:t>
            </w:r>
          </w:p>
        </w:tc>
      </w:tr>
      <w:tr>
        <w:tblPrEx>
          <w:tblCellMar>
            <w:top w:w="0" w:type="dxa"/>
            <w:left w:w="108" w:type="dxa"/>
            <w:bottom w:w="0" w:type="dxa"/>
            <w:right w:w="108" w:type="dxa"/>
          </w:tblCellMar>
        </w:tblPrEx>
        <w:trPr>
          <w:trHeight w:val="6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对被监督单位落实主体责任情况开展监督检查，承办市纪委监委移送的问题线索，按照市纪委全会精神</w:t>
            </w:r>
            <w:r>
              <w:rPr>
                <w:rFonts w:hint="eastAsia" w:eastAsia="仿宋_GB2312"/>
                <w:color w:val="000000"/>
                <w:sz w:val="18"/>
                <w:lang w:eastAsia="zh-CN"/>
              </w:rPr>
              <w:t>开展</w:t>
            </w:r>
            <w:r>
              <w:rPr>
                <w:rFonts w:eastAsia="仿宋_GB2312"/>
                <w:color w:val="000000"/>
                <w:sz w:val="18"/>
              </w:rPr>
              <w:t>“水、地、路”“统计造假”“违建房”等专项整治，全面完成了年度目标任务</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color w:val="000000"/>
                <w:sz w:val="18"/>
              </w:rPr>
            </w:pPr>
            <w:r>
              <w:rPr>
                <w:rFonts w:eastAsia="仿宋_GB2312"/>
                <w:color w:val="000000"/>
                <w:sz w:val="18"/>
              </w:rPr>
              <w:t>调整后</w:t>
            </w:r>
          </w:p>
          <w:p>
            <w:pPr>
              <w:spacing w:line="240" w:lineRule="exact"/>
              <w:ind w:left="-84" w:leftChars="-40" w:right="-97" w:rightChars="-46"/>
              <w:jc w:val="center"/>
              <w:rPr>
                <w:rFonts w:eastAsia="仿宋_GB2312"/>
              </w:rPr>
            </w:pPr>
            <w:r>
              <w:rPr>
                <w:rFonts w:eastAsia="仿宋_GB2312"/>
                <w:color w:val="000000"/>
                <w:sz w:val="18"/>
              </w:rPr>
              <w:t>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2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8.00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5.40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5.40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spacing w:val="-8"/>
              </w:rPr>
            </w:pPr>
            <w:r>
              <w:rPr>
                <w:rFonts w:eastAsia="仿宋_GB2312"/>
                <w:color w:val="000000"/>
                <w:spacing w:val="-8"/>
                <w:sz w:val="18"/>
              </w:rPr>
              <w:t>1.预算执行率=预算执行数/调整后预算数;2.年中预算调整财政收回部分指标</w:t>
            </w:r>
          </w:p>
        </w:tc>
      </w:tr>
      <w:tr>
        <w:tblPrEx>
          <w:tblCellMar>
            <w:top w:w="0" w:type="dxa"/>
            <w:left w:w="108" w:type="dxa"/>
            <w:bottom w:w="0" w:type="dxa"/>
            <w:right w:w="108" w:type="dxa"/>
          </w:tblCellMar>
        </w:tblPrEx>
        <w:trPr>
          <w:trHeight w:val="457"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8.00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5.40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5.40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32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282"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color w:val="000000"/>
                <w:sz w:val="18"/>
              </w:rPr>
            </w:pPr>
            <w:r>
              <w:rPr>
                <w:rFonts w:eastAsia="仿宋_GB2312"/>
                <w:color w:val="000000"/>
                <w:sz w:val="18"/>
              </w:rPr>
              <w:t>重点案件</w:t>
            </w:r>
          </w:p>
          <w:p>
            <w:pPr>
              <w:spacing w:line="240" w:lineRule="exact"/>
              <w:ind w:left="-84" w:leftChars="-40" w:right="-97" w:rightChars="-46"/>
              <w:jc w:val="center"/>
              <w:rPr>
                <w:rFonts w:eastAsia="仿宋_GB2312"/>
              </w:rPr>
            </w:pPr>
            <w:r>
              <w:rPr>
                <w:rFonts w:eastAsia="仿宋_GB2312"/>
                <w:color w:val="000000"/>
                <w:sz w:val="18"/>
              </w:rPr>
              <w:t>办理</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color w:val="000000"/>
                <w:sz w:val="18"/>
              </w:rPr>
              <w:t>1</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起</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color w:val="000000"/>
                <w:sz w:val="18"/>
              </w:rPr>
              <w:t>1</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color w:val="000000"/>
                <w:sz w:val="18"/>
              </w:rPr>
            </w:pPr>
            <w:r>
              <w:rPr>
                <w:rFonts w:eastAsia="仿宋_GB2312"/>
                <w:color w:val="000000"/>
                <w:sz w:val="18"/>
              </w:rPr>
              <w:t>信访案件</w:t>
            </w:r>
          </w:p>
          <w:p>
            <w:pPr>
              <w:spacing w:line="240" w:lineRule="exact"/>
              <w:ind w:left="-84" w:leftChars="-40" w:right="-97" w:rightChars="-46"/>
              <w:jc w:val="center"/>
              <w:rPr>
                <w:rFonts w:eastAsia="仿宋_GB2312"/>
              </w:rPr>
            </w:pPr>
            <w:r>
              <w:rPr>
                <w:rFonts w:eastAsia="仿宋_GB2312"/>
                <w:color w:val="000000"/>
                <w:sz w:val="18"/>
              </w:rPr>
              <w:t>办结率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及时查处交办问题线索</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当年预算</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8</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rPr>
              <w:t>5.4</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办结信访案件，维护社会稳定</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hint="default" w:eastAsia="仿宋_GB2312"/>
                <w:lang w:val="en-US" w:eastAsia="zh-CN"/>
              </w:rPr>
            </w:pPr>
            <w:r>
              <w:rPr>
                <w:rFonts w:hint="eastAsia" w:eastAsia="仿宋_GB2312"/>
                <w:lang w:val="en-US" w:eastAsia="zh-CN"/>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hint="default" w:eastAsia="仿宋_GB2312"/>
                <w:lang w:val="en-US" w:eastAsia="zh-CN"/>
              </w:rPr>
            </w:pPr>
            <w:r>
              <w:rPr>
                <w:rFonts w:hint="eastAsia" w:eastAsia="仿宋_GB2312"/>
                <w:color w:val="000000"/>
                <w:sz w:val="18"/>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color w:val="000000"/>
                <w:sz w:val="18"/>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ind w:left="-84" w:leftChars="-40"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服务对象</w:t>
            </w:r>
            <w:r>
              <w:rPr>
                <w:rFonts w:eastAsia="仿宋_GB2312"/>
                <w:color w:val="000000"/>
                <w:spacing w:val="-12"/>
                <w:sz w:val="18"/>
              </w:rPr>
              <w:t>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信访案件办理满意率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rPr>
              <w:t>100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color w:val="000000"/>
                <w:sz w:val="18"/>
              </w:rPr>
              <w:t>100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hint="eastAsia" w:eastAsia="仿宋_GB2312"/>
              </w:rPr>
              <w:t>99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rPr>
                <w:rFonts w:eastAsia="仿宋_GB2312"/>
              </w:rPr>
            </w:pPr>
          </w:p>
        </w:tc>
      </w:tr>
      <w:tr>
        <w:tblPrEx>
          <w:tblCellMar>
            <w:top w:w="0" w:type="dxa"/>
            <w:left w:w="108" w:type="dxa"/>
            <w:bottom w:w="0" w:type="dxa"/>
            <w:right w:w="108" w:type="dxa"/>
          </w:tblCellMar>
        </w:tblPrEx>
        <w:trPr>
          <w:trHeight w:val="456"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84" w:leftChars="-40" w:right="-97" w:rightChars="-46"/>
              <w:jc w:val="center"/>
              <w:rPr>
                <w:rFonts w:eastAsia="仿宋_GB2312"/>
                <w:color w:val="000000"/>
                <w:sz w:val="18"/>
              </w:rPr>
            </w:pPr>
            <w:r>
              <w:rPr>
                <w:rFonts w:eastAsia="仿宋_GB2312"/>
                <w:color w:val="000000"/>
                <w:sz w:val="18"/>
              </w:rPr>
              <w:t>评价</w:t>
            </w:r>
          </w:p>
          <w:p>
            <w:pPr>
              <w:spacing w:line="200" w:lineRule="exact"/>
              <w:ind w:left="-84" w:leftChars="-40" w:right="-97" w:rightChars="-46"/>
              <w:jc w:val="center"/>
              <w:rPr>
                <w:rFonts w:eastAsia="仿宋_GB2312"/>
              </w:rPr>
            </w:pPr>
            <w:r>
              <w:rPr>
                <w:rFonts w:eastAsia="仿宋_GB2312"/>
                <w:color w:val="000000"/>
                <w:sz w:val="18"/>
              </w:rPr>
              <w:t>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84" w:leftChars="-40" w:right="-97" w:rightChars="-46"/>
              <w:rPr>
                <w:rFonts w:eastAsia="仿宋_GB2312"/>
              </w:rPr>
            </w:pPr>
            <w:r>
              <w:rPr>
                <w:rFonts w:eastAsia="仿宋_GB2312"/>
                <w:color w:val="000000"/>
                <w:sz w:val="18"/>
              </w:rPr>
              <w:t>自评得分</w:t>
            </w:r>
            <w:r>
              <w:rPr>
                <w:rFonts w:hint="eastAsia" w:eastAsia="仿宋_GB2312"/>
                <w:color w:val="000000"/>
                <w:sz w:val="18"/>
              </w:rPr>
              <w:t>99</w:t>
            </w:r>
            <w:r>
              <w:rPr>
                <w:rFonts w:eastAsia="仿宋_GB2312"/>
                <w:color w:val="000000"/>
                <w:sz w:val="18"/>
              </w:rPr>
              <w:t>分。日常监督检查、问题项线索处置、群众信访调查处理，形成有力震慑，取得了良好的社会效果</w:t>
            </w:r>
            <w:r>
              <w:rPr>
                <w:rFonts w:hint="eastAsia" w:eastAsia="仿宋_GB2312"/>
                <w:color w:val="000000"/>
                <w:sz w:val="18"/>
              </w:rPr>
              <w:t>。</w:t>
            </w:r>
          </w:p>
        </w:tc>
      </w:tr>
      <w:tr>
        <w:tblPrEx>
          <w:tblCellMar>
            <w:top w:w="0" w:type="dxa"/>
            <w:left w:w="108" w:type="dxa"/>
            <w:bottom w:w="0" w:type="dxa"/>
            <w:right w:w="108" w:type="dxa"/>
          </w:tblCellMar>
        </w:tblPrEx>
        <w:trPr>
          <w:trHeight w:val="41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84" w:leftChars="-40" w:right="-97" w:rightChars="-46"/>
              <w:jc w:val="center"/>
              <w:rPr>
                <w:rFonts w:eastAsia="仿宋_GB2312"/>
                <w:color w:val="000000"/>
                <w:sz w:val="18"/>
              </w:rPr>
            </w:pPr>
            <w:r>
              <w:rPr>
                <w:rFonts w:eastAsia="仿宋_GB2312"/>
                <w:color w:val="000000"/>
                <w:sz w:val="18"/>
              </w:rPr>
              <w:t>存在</w:t>
            </w:r>
          </w:p>
          <w:p>
            <w:pPr>
              <w:spacing w:line="200" w:lineRule="exact"/>
              <w:ind w:left="-84" w:leftChars="-40" w:right="-97" w:rightChars="-46"/>
              <w:jc w:val="center"/>
              <w:rPr>
                <w:rFonts w:eastAsia="仿宋_GB2312"/>
              </w:rPr>
            </w:pPr>
            <w:r>
              <w:rPr>
                <w:rFonts w:eastAsia="仿宋_GB2312"/>
                <w:color w:val="000000"/>
                <w:sz w:val="18"/>
              </w:rPr>
              <w:t>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84" w:leftChars="-40" w:right="-97" w:rightChars="-46"/>
              <w:rPr>
                <w:rFonts w:eastAsia="仿宋_GB2312"/>
              </w:rPr>
            </w:pPr>
            <w:r>
              <w:rPr>
                <w:rFonts w:hint="eastAsia" w:eastAsia="仿宋_GB2312"/>
                <w:color w:val="000000"/>
                <w:sz w:val="18"/>
              </w:rPr>
              <w:t>对部分问题线索和信访件办理期限较长，办件质效有待提高。</w:t>
            </w:r>
          </w:p>
        </w:tc>
      </w:tr>
      <w:tr>
        <w:tblPrEx>
          <w:tblCellMar>
            <w:top w:w="0" w:type="dxa"/>
            <w:left w:w="108" w:type="dxa"/>
            <w:bottom w:w="0" w:type="dxa"/>
            <w:right w:w="108" w:type="dxa"/>
          </w:tblCellMar>
        </w:tblPrEx>
        <w:trPr>
          <w:trHeight w:val="397"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84" w:leftChars="-40" w:right="-97" w:rightChars="-46"/>
              <w:jc w:val="center"/>
              <w:rPr>
                <w:rFonts w:eastAsia="仿宋_GB2312"/>
                <w:color w:val="000000"/>
                <w:sz w:val="18"/>
              </w:rPr>
            </w:pPr>
            <w:r>
              <w:rPr>
                <w:rFonts w:eastAsia="仿宋_GB2312"/>
                <w:color w:val="000000"/>
                <w:sz w:val="18"/>
              </w:rPr>
              <w:t>改进</w:t>
            </w:r>
          </w:p>
          <w:p>
            <w:pPr>
              <w:spacing w:line="200" w:lineRule="exact"/>
              <w:ind w:left="-84" w:leftChars="-40" w:right="-97" w:rightChars="-46"/>
              <w:jc w:val="center"/>
              <w:rPr>
                <w:rFonts w:eastAsia="仿宋_GB2312"/>
              </w:rPr>
            </w:pPr>
            <w:r>
              <w:rPr>
                <w:rFonts w:eastAsia="仿宋_GB2312"/>
                <w:color w:val="000000"/>
                <w:sz w:val="18"/>
              </w:rPr>
              <w:t>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left"/>
              <w:rPr>
                <w:rFonts w:eastAsia="仿宋_GB2312"/>
              </w:rPr>
            </w:pPr>
            <w:r>
              <w:rPr>
                <w:rFonts w:hint="eastAsia" w:eastAsia="仿宋_GB2312"/>
                <w:color w:val="000000"/>
                <w:sz w:val="18"/>
              </w:rPr>
              <w:t>1.加强办案人员能力素质提升；2.加大办案人员力量投入，提升办案质效。</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项目负责人：李金明</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97" w:rightChars="-46"/>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pPr>
              <w:rPr>
                <w:rFonts w:eastAsia="仿宋_GB2312"/>
              </w:rPr>
            </w:p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804"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51190022T000004979675-政务访谈经费（含市长访谈）</w:t>
            </w:r>
          </w:p>
        </w:tc>
      </w:tr>
      <w:tr>
        <w:tblPrEx>
          <w:tblCellMar>
            <w:top w:w="0" w:type="dxa"/>
            <w:left w:w="108" w:type="dxa"/>
            <w:bottom w:w="0" w:type="dxa"/>
            <w:right w:w="108" w:type="dxa"/>
          </w:tblCellMar>
        </w:tblPrEx>
        <w:trPr>
          <w:trHeight w:val="437"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45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每月举办一期《政务访谈》，每季度</w:t>
            </w:r>
            <w:r>
              <w:rPr>
                <w:rFonts w:eastAsia="仿宋_GB2312"/>
                <w:color w:val="000000"/>
                <w:spacing w:val="-8"/>
                <w:sz w:val="18"/>
              </w:rPr>
              <w:t>举办一期《市长访谈》，全年共16期</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已完成。开展《市长访谈》4期、《政务访谈》12期</w:t>
            </w:r>
          </w:p>
        </w:tc>
      </w:tr>
      <w:tr>
        <w:tblPrEx>
          <w:tblCellMar>
            <w:top w:w="0" w:type="dxa"/>
            <w:left w:w="108" w:type="dxa"/>
            <w:bottom w:w="0" w:type="dxa"/>
            <w:right w:w="108" w:type="dxa"/>
          </w:tblCellMar>
        </w:tblPrEx>
        <w:trPr>
          <w:trHeight w:val="6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举办《市长访谈》4期、《政务访谈》12期，通过短视频、PPT、直播连线等节目形态，在省、市政府</w:t>
            </w:r>
            <w:r>
              <w:rPr>
                <w:rFonts w:hint="eastAsia" w:eastAsia="仿宋_GB2312"/>
                <w:color w:val="000000"/>
                <w:sz w:val="18"/>
              </w:rPr>
              <w:t>门户</w:t>
            </w:r>
            <w:r>
              <w:rPr>
                <w:rFonts w:eastAsia="仿宋_GB2312"/>
                <w:color w:val="000000"/>
                <w:sz w:val="18"/>
              </w:rPr>
              <w:t>网站和其他相关媒体宣传报道巴中经济社会发展情况等</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23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预算执行率=预算执行数/调整后预算数</w:t>
            </w:r>
          </w:p>
        </w:tc>
      </w:tr>
      <w:tr>
        <w:tblPrEx>
          <w:tblCellMar>
            <w:top w:w="0" w:type="dxa"/>
            <w:left w:w="108" w:type="dxa"/>
            <w:bottom w:w="0" w:type="dxa"/>
            <w:right w:w="108" w:type="dxa"/>
          </w:tblCellMar>
        </w:tblPrEx>
        <w:trPr>
          <w:trHeight w:val="43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126"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30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525"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政务访谈、市长访谈</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16</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期</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6"/>
              </w:rPr>
              <w:t>16</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p>
        </w:tc>
      </w:tr>
      <w:tr>
        <w:tblPrEx>
          <w:tblCellMar>
            <w:top w:w="0" w:type="dxa"/>
            <w:left w:w="108" w:type="dxa"/>
            <w:bottom w:w="0" w:type="dxa"/>
            <w:right w:w="108" w:type="dxa"/>
          </w:tblCellMar>
        </w:tblPrEx>
        <w:trPr>
          <w:trHeight w:val="52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140" w:lineRule="exact"/>
              <w:ind w:left="-96" w:right="-91"/>
              <w:jc w:val="center"/>
              <w:rPr>
                <w:rFonts w:eastAsia="仿宋_GB2312"/>
                <w:sz w:val="13"/>
                <w:szCs w:val="13"/>
              </w:rPr>
            </w:pPr>
            <w:r>
              <w:rPr>
                <w:rFonts w:eastAsia="仿宋_GB2312"/>
                <w:color w:val="000000"/>
                <w:sz w:val="13"/>
                <w:szCs w:val="13"/>
              </w:rPr>
              <w:t>网站、电视、电台、新媒体等全媒体直播</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p>
        </w:tc>
      </w:tr>
      <w:tr>
        <w:tblPrEx>
          <w:tblCellMar>
            <w:top w:w="0" w:type="dxa"/>
            <w:left w:w="108" w:type="dxa"/>
            <w:bottom w:w="0" w:type="dxa"/>
            <w:right w:w="108" w:type="dxa"/>
          </w:tblCellMar>
        </w:tblPrEx>
        <w:trPr>
          <w:trHeight w:val="6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140" w:lineRule="exact"/>
              <w:ind w:left="-96" w:right="-91"/>
              <w:jc w:val="center"/>
              <w:rPr>
                <w:rFonts w:eastAsia="仿宋_GB2312"/>
                <w:sz w:val="13"/>
                <w:szCs w:val="13"/>
              </w:rPr>
            </w:pPr>
            <w:r>
              <w:rPr>
                <w:rFonts w:eastAsia="仿宋_GB2312"/>
                <w:color w:val="000000"/>
                <w:sz w:val="13"/>
                <w:szCs w:val="13"/>
              </w:rPr>
              <w:t>《政务访谈》每月最后一周举行，《市长访谈》每季度最后10天内举行</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优良中低差</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6"/>
              </w:rPr>
              <w:t>优</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p>
        </w:tc>
      </w:tr>
      <w:tr>
        <w:tblPrEx>
          <w:tblCellMar>
            <w:top w:w="0" w:type="dxa"/>
            <w:left w:w="108" w:type="dxa"/>
            <w:bottom w:w="0" w:type="dxa"/>
            <w:right w:w="108" w:type="dxa"/>
          </w:tblCellMar>
        </w:tblPrEx>
        <w:trPr>
          <w:trHeight w:val="6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140" w:lineRule="exact"/>
              <w:ind w:left="-96" w:right="-91"/>
              <w:jc w:val="center"/>
              <w:rPr>
                <w:rFonts w:eastAsia="仿宋_GB2312"/>
                <w:sz w:val="13"/>
                <w:szCs w:val="13"/>
              </w:rPr>
            </w:pPr>
            <w:r>
              <w:rPr>
                <w:rFonts w:eastAsia="仿宋_GB2312"/>
                <w:color w:val="000000"/>
                <w:sz w:val="13"/>
                <w:szCs w:val="13"/>
              </w:rPr>
              <w:t>节目制作、直播等服务外包给巴中市广播电视台，按合同</w:t>
            </w:r>
            <w:r>
              <w:rPr>
                <w:rFonts w:eastAsia="仿宋_GB2312"/>
                <w:color w:val="000000"/>
                <w:spacing w:val="-14"/>
                <w:sz w:val="13"/>
                <w:szCs w:val="13"/>
              </w:rPr>
              <w:t>支付服务费用</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20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6"/>
              </w:rPr>
              <w:t>20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p>
        </w:tc>
      </w:tr>
      <w:tr>
        <w:tblPrEx>
          <w:tblCellMar>
            <w:top w:w="0" w:type="dxa"/>
            <w:left w:w="108" w:type="dxa"/>
            <w:bottom w:w="0" w:type="dxa"/>
            <w:right w:w="108" w:type="dxa"/>
          </w:tblCellMar>
        </w:tblPrEx>
        <w:trPr>
          <w:trHeight w:val="645"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社会认可度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hint="eastAsia" w:eastAsia="仿宋_GB2312"/>
                <w:color w:val="000000"/>
                <w:sz w:val="18"/>
              </w:rPr>
              <w:t>90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hint="eastAsia" w:eastAsia="仿宋_GB2312"/>
                <w:color w:val="000000"/>
                <w:sz w:val="16"/>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hint="default" w:eastAsia="仿宋_GB2312"/>
                <w:lang w:val="en-US" w:eastAsia="zh-CN"/>
              </w:rPr>
            </w:pPr>
            <w:r>
              <w:rPr>
                <w:rFonts w:hint="eastAsia" w:eastAsia="仿宋_GB2312"/>
                <w:color w:val="000000"/>
                <w:sz w:val="18"/>
                <w:lang w:val="en-US" w:eastAsia="zh-CN"/>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人民群众满意度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hint="eastAsia" w:eastAsia="仿宋_GB2312"/>
                <w:color w:val="000000"/>
                <w:sz w:val="18"/>
              </w:rPr>
              <w:t>90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hint="eastAsia" w:eastAsia="仿宋_GB2312"/>
                <w:color w:val="000000"/>
                <w:sz w:val="16"/>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r>
              <w:rPr>
                <w:rFonts w:hint="eastAsia" w:eastAsia="仿宋_GB2312"/>
                <w:color w:val="000000"/>
                <w:sz w:val="18"/>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88"/>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hint="eastAsia" w:eastAsia="仿宋_GB2312"/>
                <w:lang w:val="en-US" w:eastAsia="zh-CN"/>
              </w:rPr>
            </w:pPr>
            <w:r>
              <w:rPr>
                <w:rFonts w:hint="eastAsia" w:eastAsia="仿宋_GB2312"/>
                <w:color w:val="000000"/>
                <w:sz w:val="18"/>
              </w:rPr>
              <w:t>9</w:t>
            </w:r>
            <w:r>
              <w:rPr>
                <w:rFonts w:hint="eastAsia" w:eastAsia="仿宋_GB2312"/>
                <w:color w:val="000000"/>
                <w:sz w:val="18"/>
                <w:lang w:val="en-US" w:eastAsia="zh-CN"/>
              </w:rPr>
              <w:t>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r>
      <w:tr>
        <w:tblPrEx>
          <w:tblCellMar>
            <w:top w:w="0" w:type="dxa"/>
            <w:left w:w="108" w:type="dxa"/>
            <w:bottom w:w="0" w:type="dxa"/>
            <w:right w:w="108" w:type="dxa"/>
          </w:tblCellMar>
        </w:tblPrEx>
        <w:trPr>
          <w:trHeight w:val="137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评价结论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r>
              <w:rPr>
                <w:rFonts w:eastAsia="仿宋_GB2312"/>
                <w:color w:val="000000"/>
                <w:sz w:val="18"/>
              </w:rPr>
              <w:t>自评得分</w:t>
            </w:r>
            <w:r>
              <w:rPr>
                <w:rFonts w:hint="eastAsia" w:eastAsia="仿宋_GB2312"/>
                <w:color w:val="000000"/>
                <w:sz w:val="18"/>
              </w:rPr>
              <w:t>9</w:t>
            </w:r>
            <w:r>
              <w:rPr>
                <w:rFonts w:hint="eastAsia" w:eastAsia="仿宋_GB2312"/>
                <w:color w:val="000000"/>
                <w:sz w:val="18"/>
                <w:lang w:val="en-US" w:eastAsia="zh-CN"/>
              </w:rPr>
              <w:t>8</w:t>
            </w:r>
            <w:r>
              <w:rPr>
                <w:rFonts w:eastAsia="仿宋_GB2312"/>
                <w:color w:val="000000"/>
                <w:sz w:val="18"/>
              </w:rPr>
              <w:t>分。通过政务访谈、市长访谈栏目，让更多的人了解巴中经济社会发展情况、营商环境和招商引资政策，吸引更多人参与支持巴中建设，促进巴中经济社会发展，同时，通过网站舆论引导、解读政策文件、回应群众关切等，拓宽政民互动渠道，及时跟进网民关切、积极回应市民诉求，保障市民知情权，政府公信力整体提升，亲民、公正的政府形象不断加深，人民群众对政府的信任和支持显著提升</w:t>
            </w:r>
            <w:r>
              <w:rPr>
                <w:rFonts w:hint="eastAsia" w:eastAsia="仿宋_GB2312"/>
                <w:color w:val="000000"/>
                <w:sz w:val="18"/>
              </w:rPr>
              <w:t>。</w:t>
            </w:r>
          </w:p>
        </w:tc>
      </w:tr>
      <w:tr>
        <w:tblPrEx>
          <w:tblCellMar>
            <w:top w:w="0" w:type="dxa"/>
            <w:left w:w="108" w:type="dxa"/>
            <w:bottom w:w="0" w:type="dxa"/>
            <w:right w:w="108" w:type="dxa"/>
          </w:tblCellMar>
        </w:tblPrEx>
        <w:trPr>
          <w:trHeight w:val="372"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存在问题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rPr>
              <w:t>无</w:t>
            </w:r>
          </w:p>
        </w:tc>
      </w:tr>
      <w:tr>
        <w:tblPrEx>
          <w:tblCellMar>
            <w:top w:w="0" w:type="dxa"/>
            <w:left w:w="108" w:type="dxa"/>
            <w:bottom w:w="0" w:type="dxa"/>
            <w:right w:w="108" w:type="dxa"/>
          </w:tblCellMar>
        </w:tblPrEx>
        <w:trPr>
          <w:trHeight w:val="411"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改进措施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rPr>
              <w:t>无</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项目负责人：吴弘</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财务负责人：王兴全</w:t>
            </w:r>
          </w:p>
        </w:tc>
      </w:tr>
    </w:tbl>
    <w:p>
      <w:r>
        <w:br w:type="page"/>
      </w:r>
    </w:p>
    <w:tbl>
      <w:tblPr>
        <w:tblStyle w:val="14"/>
        <w:tblW w:w="9434" w:type="dxa"/>
        <w:tblInd w:w="0" w:type="dxa"/>
        <w:tblLayout w:type="fixed"/>
        <w:tblCellMar>
          <w:top w:w="0" w:type="dxa"/>
          <w:left w:w="108" w:type="dxa"/>
          <w:bottom w:w="0" w:type="dxa"/>
          <w:right w:w="108" w:type="dxa"/>
        </w:tblCellMar>
      </w:tblPr>
      <w:tblGrid>
        <w:gridCol w:w="689"/>
        <w:gridCol w:w="1347"/>
        <w:gridCol w:w="766"/>
        <w:gridCol w:w="1104"/>
        <w:gridCol w:w="1255"/>
        <w:gridCol w:w="7"/>
        <w:gridCol w:w="532"/>
        <w:gridCol w:w="540"/>
        <w:gridCol w:w="965"/>
        <w:gridCol w:w="576"/>
        <w:gridCol w:w="600"/>
        <w:gridCol w:w="1053"/>
      </w:tblGrid>
      <w:tr>
        <w:tblPrEx>
          <w:tblCellMar>
            <w:top w:w="0" w:type="dxa"/>
            <w:left w:w="108" w:type="dxa"/>
            <w:bottom w:w="0" w:type="dxa"/>
            <w:right w:w="108" w:type="dxa"/>
          </w:tblCellMar>
        </w:tblPrEx>
        <w:trPr>
          <w:trHeight w:val="553"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51190022T000004987884-应急指挥中心经费</w:t>
            </w:r>
          </w:p>
        </w:tc>
      </w:tr>
      <w:tr>
        <w:tblPrEx>
          <w:tblCellMar>
            <w:top w:w="0" w:type="dxa"/>
            <w:left w:w="108" w:type="dxa"/>
            <w:bottom w:w="0" w:type="dxa"/>
            <w:right w:w="108" w:type="dxa"/>
          </w:tblCellMar>
        </w:tblPrEx>
        <w:trPr>
          <w:trHeight w:val="325"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70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left"/>
              <w:rPr>
                <w:rFonts w:eastAsia="仿宋_GB2312"/>
              </w:rPr>
            </w:pPr>
            <w:r>
              <w:rPr>
                <w:rFonts w:eastAsia="仿宋_GB2312"/>
                <w:color w:val="000000"/>
                <w:sz w:val="18"/>
              </w:rPr>
              <w:t>加强应急处突能力提升，科学、快速、有效的处置突发事件，确保人民群众的生命财产安全</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left"/>
              <w:rPr>
                <w:rFonts w:eastAsia="仿宋_GB2312"/>
              </w:rPr>
            </w:pPr>
            <w:r>
              <w:rPr>
                <w:rFonts w:eastAsia="仿宋_GB2312"/>
                <w:color w:val="000000"/>
                <w:sz w:val="18"/>
              </w:rPr>
              <w:t>严格执行预算，对所发生突发事件处置及时有效，全力保障人民群众生命财产安全</w:t>
            </w:r>
          </w:p>
        </w:tc>
      </w:tr>
      <w:tr>
        <w:tblPrEx>
          <w:tblCellMar>
            <w:top w:w="0" w:type="dxa"/>
            <w:left w:w="108" w:type="dxa"/>
            <w:bottom w:w="0" w:type="dxa"/>
            <w:right w:w="108" w:type="dxa"/>
          </w:tblCellMar>
        </w:tblPrEx>
        <w:trPr>
          <w:trHeight w:val="6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left"/>
              <w:rPr>
                <w:rFonts w:eastAsia="仿宋_GB2312"/>
              </w:rPr>
            </w:pPr>
            <w:r>
              <w:rPr>
                <w:rFonts w:eastAsia="仿宋_GB2312"/>
                <w:color w:val="000000"/>
                <w:sz w:val="18"/>
              </w:rPr>
              <w:t>用于处置各类突发事件支出，发生突发事件时，反应迅速、决策科学、处置有效，保障全市人民生命财产安全</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9.92</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9.92</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预算执行率=预算执行数/调整后预算数</w:t>
            </w:r>
          </w:p>
        </w:tc>
      </w:tr>
      <w:tr>
        <w:tblPrEx>
          <w:tblCellMar>
            <w:top w:w="0" w:type="dxa"/>
            <w:left w:w="108" w:type="dxa"/>
            <w:bottom w:w="0" w:type="dxa"/>
            <w:right w:w="108" w:type="dxa"/>
          </w:tblCellMar>
        </w:tblPrEx>
        <w:trPr>
          <w:trHeight w:val="43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9.92</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9.92</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r>
      <w:tr>
        <w:tblPrEx>
          <w:tblCellMar>
            <w:top w:w="0" w:type="dxa"/>
            <w:left w:w="108" w:type="dxa"/>
            <w:bottom w:w="0" w:type="dxa"/>
            <w:right w:w="108" w:type="dxa"/>
          </w:tblCellMar>
        </w:tblPrEx>
        <w:trPr>
          <w:trHeight w:val="3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协调处置突发事件</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30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次</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6"/>
              </w:rPr>
              <w:t>50余件</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妥善处置突发事件</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及时处置突发事件</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优良中低差</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6"/>
              </w:rPr>
              <w:t>优</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所有开支不超过预算安排</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6"/>
              </w:rPr>
              <w:t>9.92</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有效处置，维护社会稳定、</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6"/>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 xml:space="preserve">群众满意度 </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hint="default" w:eastAsia="仿宋_GB2312"/>
                <w:lang w:val="en-US" w:eastAsia="zh-CN"/>
              </w:rPr>
            </w:pPr>
            <w:r>
              <w:rPr>
                <w:rFonts w:hint="eastAsia" w:eastAsia="仿宋_GB2312"/>
                <w:color w:val="000000"/>
                <w:sz w:val="16"/>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rPr>
            </w:pPr>
            <w:r>
              <w:rPr>
                <w:rFonts w:eastAsia="仿宋_GB2312"/>
                <w:color w:val="000000"/>
                <w:sz w:val="18"/>
              </w:rPr>
              <w:t>99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rPr>
                <w:rFonts w:eastAsia="仿宋_GB2312"/>
              </w:rPr>
            </w:pPr>
          </w:p>
        </w:tc>
      </w:tr>
      <w:tr>
        <w:tblPrEx>
          <w:tblCellMar>
            <w:top w:w="0" w:type="dxa"/>
            <w:left w:w="108" w:type="dxa"/>
            <w:bottom w:w="0" w:type="dxa"/>
            <w:right w:w="108" w:type="dxa"/>
          </w:tblCellMar>
        </w:tblPrEx>
        <w:trPr>
          <w:trHeight w:val="59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color w:val="000000"/>
                <w:sz w:val="18"/>
              </w:rPr>
            </w:pPr>
            <w:r>
              <w:rPr>
                <w:rFonts w:eastAsia="仿宋_GB2312"/>
                <w:color w:val="000000"/>
                <w:sz w:val="18"/>
              </w:rPr>
              <w:t>评价</w:t>
            </w:r>
          </w:p>
          <w:p>
            <w:pPr>
              <w:spacing w:line="240" w:lineRule="exact"/>
              <w:ind w:left="-84" w:leftChars="-40" w:right="-101" w:rightChars="-48"/>
              <w:jc w:val="center"/>
              <w:rPr>
                <w:rFonts w:eastAsia="仿宋_GB2312"/>
              </w:rPr>
            </w:pPr>
            <w:r>
              <w:rPr>
                <w:rFonts w:eastAsia="仿宋_GB2312"/>
                <w:color w:val="000000"/>
                <w:sz w:val="18"/>
              </w:rPr>
              <w:t>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left"/>
              <w:rPr>
                <w:rFonts w:eastAsia="仿宋_GB2312"/>
              </w:rPr>
            </w:pPr>
            <w:r>
              <w:rPr>
                <w:rFonts w:eastAsia="仿宋_GB2312"/>
                <w:color w:val="000000"/>
                <w:sz w:val="16"/>
              </w:rPr>
              <w:t>资金运用准确、突发事件处置快速有效、绩效自评结果良好，自评得分99分</w:t>
            </w:r>
            <w:r>
              <w:rPr>
                <w:rFonts w:hint="eastAsia" w:eastAsia="仿宋_GB2312"/>
                <w:color w:val="000000"/>
                <w:sz w:val="16"/>
              </w:rPr>
              <w:t>。</w:t>
            </w:r>
          </w:p>
        </w:tc>
      </w:tr>
      <w:tr>
        <w:tblPrEx>
          <w:tblCellMar>
            <w:top w:w="0" w:type="dxa"/>
            <w:left w:w="108" w:type="dxa"/>
            <w:bottom w:w="0" w:type="dxa"/>
            <w:right w:w="108" w:type="dxa"/>
          </w:tblCellMar>
        </w:tblPrEx>
        <w:trPr>
          <w:trHeight w:val="56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color w:val="000000"/>
                <w:sz w:val="18"/>
              </w:rPr>
            </w:pPr>
            <w:r>
              <w:rPr>
                <w:rFonts w:eastAsia="仿宋_GB2312"/>
                <w:color w:val="000000"/>
                <w:sz w:val="18"/>
              </w:rPr>
              <w:t>存在</w:t>
            </w:r>
          </w:p>
          <w:p>
            <w:pPr>
              <w:spacing w:line="240" w:lineRule="exact"/>
              <w:ind w:left="-84" w:leftChars="-40" w:right="-101" w:rightChars="-48"/>
              <w:jc w:val="center"/>
              <w:rPr>
                <w:rFonts w:eastAsia="仿宋_GB2312"/>
              </w:rPr>
            </w:pPr>
            <w:r>
              <w:rPr>
                <w:rFonts w:eastAsia="仿宋_GB2312"/>
                <w:color w:val="000000"/>
                <w:sz w:val="18"/>
              </w:rPr>
              <w:t>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left"/>
              <w:rPr>
                <w:rFonts w:eastAsia="仿宋_GB2312"/>
              </w:rPr>
            </w:pPr>
            <w:r>
              <w:rPr>
                <w:rFonts w:eastAsia="仿宋_GB2312"/>
                <w:color w:val="000000"/>
                <w:sz w:val="16"/>
              </w:rPr>
              <w:t>无</w:t>
            </w:r>
          </w:p>
        </w:tc>
      </w:tr>
      <w:tr>
        <w:tblPrEx>
          <w:tblCellMar>
            <w:top w:w="0" w:type="dxa"/>
            <w:left w:w="108" w:type="dxa"/>
            <w:bottom w:w="0" w:type="dxa"/>
            <w:right w:w="108" w:type="dxa"/>
          </w:tblCellMar>
        </w:tblPrEx>
        <w:trPr>
          <w:trHeight w:val="62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center"/>
              <w:rPr>
                <w:rFonts w:eastAsia="仿宋_GB2312"/>
                <w:color w:val="000000"/>
                <w:sz w:val="18"/>
              </w:rPr>
            </w:pPr>
            <w:r>
              <w:rPr>
                <w:rFonts w:eastAsia="仿宋_GB2312"/>
                <w:color w:val="000000"/>
                <w:sz w:val="18"/>
              </w:rPr>
              <w:t>改进</w:t>
            </w:r>
          </w:p>
          <w:p>
            <w:pPr>
              <w:spacing w:line="240" w:lineRule="exact"/>
              <w:ind w:left="-84" w:leftChars="-40" w:right="-101" w:rightChars="-48"/>
              <w:jc w:val="center"/>
              <w:rPr>
                <w:rFonts w:eastAsia="仿宋_GB2312"/>
              </w:rPr>
            </w:pPr>
            <w:r>
              <w:rPr>
                <w:rFonts w:eastAsia="仿宋_GB2312"/>
                <w:color w:val="000000"/>
                <w:sz w:val="18"/>
              </w:rPr>
              <w:t>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84" w:leftChars="-40" w:right="-101" w:rightChars="-48"/>
              <w:jc w:val="left"/>
              <w:rPr>
                <w:rFonts w:eastAsia="仿宋_GB2312"/>
              </w:rPr>
            </w:pPr>
            <w:r>
              <w:rPr>
                <w:rFonts w:eastAsia="仿宋_GB2312"/>
                <w:color w:val="000000"/>
                <w:sz w:val="16"/>
              </w:rPr>
              <w:t>按照快速反应、科学决策、统一指挥、以人为本原则，继续做好各类突发事件处置工作</w:t>
            </w:r>
            <w:r>
              <w:rPr>
                <w:rFonts w:hint="eastAsia" w:eastAsia="仿宋_GB2312"/>
                <w:color w:val="000000"/>
                <w:sz w:val="16"/>
              </w:rPr>
              <w:t>。</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color w:val="000000"/>
                <w:sz w:val="18"/>
              </w:rPr>
              <w:t>项目负责人：王平</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pPr>
              <w:rPr>
                <w:rFonts w:eastAsia="仿宋_GB2312"/>
              </w:rPr>
            </w:p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899"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51190022T000004987895-市政府常务会全体会会议费</w:t>
            </w:r>
          </w:p>
        </w:tc>
      </w:tr>
      <w:tr>
        <w:tblPrEx>
          <w:tblCellMar>
            <w:top w:w="0" w:type="dxa"/>
            <w:left w:w="108" w:type="dxa"/>
            <w:bottom w:w="0" w:type="dxa"/>
            <w:right w:w="108" w:type="dxa"/>
          </w:tblCellMar>
        </w:tblPrEx>
        <w:trPr>
          <w:trHeight w:val="509"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89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left"/>
              <w:rPr>
                <w:rFonts w:eastAsia="仿宋_GB2312"/>
              </w:rPr>
            </w:pPr>
            <w:r>
              <w:rPr>
                <w:rFonts w:eastAsia="仿宋_GB2312"/>
                <w:color w:val="000000"/>
                <w:sz w:val="18"/>
              </w:rPr>
              <w:t>按照上级和市政府重点工作安排，计划组织召开市政府全体会议、市政府常务会议、市政府专题会议、全国和全省工作现场会、政府系统办公室业务培训会议等</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left"/>
              <w:rPr>
                <w:rFonts w:eastAsia="仿宋_GB2312"/>
              </w:rPr>
            </w:pPr>
            <w:r>
              <w:rPr>
                <w:rFonts w:eastAsia="仿宋_GB2312"/>
                <w:color w:val="000000"/>
                <w:sz w:val="18"/>
              </w:rPr>
              <w:t>严格预算执行，顺利召开各类会议</w:t>
            </w:r>
          </w:p>
        </w:tc>
      </w:tr>
      <w:tr>
        <w:tblPrEx>
          <w:tblCellMar>
            <w:top w:w="0" w:type="dxa"/>
            <w:left w:w="108" w:type="dxa"/>
            <w:bottom w:w="0" w:type="dxa"/>
            <w:right w:w="108" w:type="dxa"/>
          </w:tblCellMar>
        </w:tblPrEx>
        <w:trPr>
          <w:trHeight w:val="6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left"/>
              <w:rPr>
                <w:rFonts w:eastAsia="仿宋_GB2312"/>
              </w:rPr>
            </w:pPr>
            <w:r>
              <w:rPr>
                <w:rFonts w:eastAsia="仿宋_GB2312"/>
                <w:color w:val="000000"/>
                <w:sz w:val="18"/>
              </w:rPr>
              <w:t>用于召开各类会议相关支出，在资金管理使用过程中，预算执行准确，保障各项工作任务落到实处</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20.00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17.91</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17.91</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1.预算执行率=预算执行数/调整后预算数；2.年中预算调整财政收回部分指标</w:t>
            </w:r>
          </w:p>
        </w:tc>
      </w:tr>
      <w:tr>
        <w:tblPrEx>
          <w:tblCellMar>
            <w:top w:w="0" w:type="dxa"/>
            <w:left w:w="108" w:type="dxa"/>
            <w:bottom w:w="0" w:type="dxa"/>
            <w:right w:w="108" w:type="dxa"/>
          </w:tblCellMar>
        </w:tblPrEx>
        <w:trPr>
          <w:trHeight w:val="43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20.00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17.91</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17.91</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r>
      <w:tr>
        <w:tblPrEx>
          <w:tblCellMar>
            <w:top w:w="0" w:type="dxa"/>
            <w:left w:w="108" w:type="dxa"/>
            <w:bottom w:w="0" w:type="dxa"/>
            <w:right w:w="108" w:type="dxa"/>
          </w:tblCellMar>
        </w:tblPrEx>
        <w:trPr>
          <w:trHeight w:val="3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召开各类会议</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150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次</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6"/>
              </w:rPr>
              <w:t>300余次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 xml:space="preserve">议程完成率    </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6"/>
              </w:rPr>
              <w:t>100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 xml:space="preserve">预期效果实现度    </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85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6"/>
              </w:rPr>
              <w:t>90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会议费、会场租赁</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20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6"/>
              </w:rPr>
              <w:t>17.91</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r>
      <w:tr>
        <w:tblPrEx>
          <w:tblCellMar>
            <w:top w:w="0" w:type="dxa"/>
            <w:left w:w="108" w:type="dxa"/>
            <w:bottom w:w="0" w:type="dxa"/>
            <w:right w:w="108" w:type="dxa"/>
          </w:tblCellMar>
        </w:tblPrEx>
        <w:trPr>
          <w:trHeight w:val="34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群众认可度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hint="default" w:eastAsia="仿宋_GB2312"/>
                <w:lang w:val="en-US" w:eastAsia="zh-CN"/>
              </w:rPr>
            </w:pPr>
            <w:r>
              <w:rPr>
                <w:rFonts w:hint="eastAsia" w:eastAsia="仿宋_GB2312"/>
                <w:color w:val="000000"/>
                <w:sz w:val="18"/>
                <w:lang w:val="en-US" w:eastAsia="zh-CN"/>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6"/>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hint="default" w:eastAsia="仿宋_GB2312"/>
                <w:lang w:val="en-US" w:eastAsia="zh-CN"/>
              </w:rPr>
            </w:pPr>
            <w:r>
              <w:rPr>
                <w:rFonts w:hint="eastAsia" w:eastAsia="仿宋_GB2312"/>
                <w:color w:val="000000"/>
                <w:sz w:val="18"/>
                <w:lang w:val="en-US" w:eastAsia="zh-CN"/>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干部群众满意度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hint="default" w:eastAsia="仿宋_GB2312"/>
                <w:lang w:val="en-US" w:eastAsia="zh-CN"/>
              </w:rPr>
            </w:pPr>
            <w:r>
              <w:rPr>
                <w:rFonts w:hint="eastAsia" w:eastAsia="仿宋_GB2312"/>
                <w:color w:val="000000"/>
                <w:sz w:val="16"/>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hint="eastAsia" w:eastAsia="仿宋_GB2312"/>
                <w:lang w:eastAsia="zh-CN"/>
              </w:rPr>
            </w:pPr>
            <w:r>
              <w:rPr>
                <w:rFonts w:hint="eastAsia" w:eastAsia="仿宋_GB2312"/>
                <w:color w:val="000000"/>
                <w:sz w:val="18"/>
                <w:lang w:val="en-US" w:eastAsia="zh-CN"/>
              </w:rPr>
              <w:t>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98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rPr>
                <w:rFonts w:eastAsia="仿宋_GB2312"/>
              </w:rPr>
            </w:pPr>
          </w:p>
        </w:tc>
      </w:tr>
      <w:tr>
        <w:tblPrEx>
          <w:tblCellMar>
            <w:top w:w="0" w:type="dxa"/>
            <w:left w:w="108" w:type="dxa"/>
            <w:bottom w:w="0" w:type="dxa"/>
            <w:right w:w="108" w:type="dxa"/>
          </w:tblCellMar>
        </w:tblPrEx>
        <w:trPr>
          <w:trHeight w:val="59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评价结论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left"/>
              <w:rPr>
                <w:rFonts w:eastAsia="仿宋_GB2312"/>
              </w:rPr>
            </w:pPr>
            <w:r>
              <w:rPr>
                <w:rFonts w:eastAsia="仿宋_GB2312"/>
                <w:color w:val="000000"/>
                <w:szCs w:val="21"/>
              </w:rPr>
              <w:t>资金运用准确、进度计划有序、绩效目标明确，绩效自评结果良好，自评得分98分</w:t>
            </w:r>
            <w:r>
              <w:rPr>
                <w:rFonts w:hint="eastAsia" w:eastAsia="仿宋_GB2312"/>
                <w:color w:val="000000"/>
                <w:szCs w:val="21"/>
              </w:rPr>
              <w:t>。</w:t>
            </w:r>
          </w:p>
        </w:tc>
      </w:tr>
      <w:tr>
        <w:tblPrEx>
          <w:tblCellMar>
            <w:top w:w="0" w:type="dxa"/>
            <w:left w:w="108" w:type="dxa"/>
            <w:bottom w:w="0" w:type="dxa"/>
            <w:right w:w="108" w:type="dxa"/>
          </w:tblCellMar>
        </w:tblPrEx>
        <w:trPr>
          <w:trHeight w:val="56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存在问题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left"/>
              <w:rPr>
                <w:rFonts w:eastAsia="仿宋_GB2312"/>
              </w:rPr>
            </w:pPr>
            <w:r>
              <w:rPr>
                <w:rFonts w:eastAsia="仿宋_GB2312"/>
                <w:color w:val="000000"/>
                <w:sz w:val="18"/>
                <w:szCs w:val="18"/>
              </w:rPr>
              <w:t>无</w:t>
            </w:r>
          </w:p>
        </w:tc>
      </w:tr>
      <w:tr>
        <w:tblPrEx>
          <w:tblCellMar>
            <w:top w:w="0" w:type="dxa"/>
            <w:left w:w="108" w:type="dxa"/>
            <w:bottom w:w="0" w:type="dxa"/>
            <w:right w:w="108" w:type="dxa"/>
          </w:tblCellMar>
        </w:tblPrEx>
        <w:trPr>
          <w:trHeight w:val="62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改进措施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left"/>
              <w:rPr>
                <w:rFonts w:eastAsia="仿宋_GB2312"/>
              </w:rPr>
            </w:pPr>
            <w:r>
              <w:rPr>
                <w:rFonts w:eastAsia="仿宋_GB2312"/>
                <w:color w:val="000000"/>
                <w:szCs w:val="21"/>
              </w:rPr>
              <w:t>围绕办公室目标任务，会议管理进一步加强</w:t>
            </w:r>
            <w:r>
              <w:rPr>
                <w:rFonts w:hint="eastAsia" w:eastAsia="仿宋_GB2312"/>
                <w:color w:val="000000"/>
                <w:szCs w:val="21"/>
              </w:rPr>
              <w:t>。</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项目负责人：王平</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55" w:leftChars="-26" w:right="-126" w:rightChars="-60"/>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pPr>
              <w:rPr>
                <w:rFonts w:eastAsia="仿宋_GB2312"/>
              </w:rPr>
            </w:p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909"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170"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51190022T000005564424-202100813195-现拨付你单位政府网站与政务新媒体建设管理购买服务项目资金如数。</w:t>
            </w:r>
          </w:p>
        </w:tc>
      </w:tr>
      <w:tr>
        <w:tblPrEx>
          <w:tblCellMar>
            <w:top w:w="0" w:type="dxa"/>
            <w:left w:w="108" w:type="dxa"/>
            <w:bottom w:w="0" w:type="dxa"/>
            <w:right w:w="108" w:type="dxa"/>
          </w:tblCellMar>
        </w:tblPrEx>
        <w:trPr>
          <w:trHeight w:val="470"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170"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101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left"/>
              <w:rPr>
                <w:rFonts w:eastAsia="仿宋_GB2312"/>
              </w:rPr>
            </w:pPr>
            <w:r>
              <w:rPr>
                <w:rFonts w:eastAsia="仿宋_GB2312"/>
                <w:color w:val="000000"/>
                <w:sz w:val="18"/>
              </w:rPr>
              <w:t>完成巴中市人民政府网站专业技术服务、全市政府网站与政务新媒体信息内容安全监测服务、全市政府网站与政务新媒体半年检查和年度绩效评估</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left"/>
              <w:rPr>
                <w:rFonts w:eastAsia="仿宋_GB2312"/>
              </w:rPr>
            </w:pPr>
            <w:r>
              <w:rPr>
                <w:rFonts w:eastAsia="仿宋_GB2312"/>
                <w:color w:val="000000"/>
                <w:sz w:val="18"/>
              </w:rPr>
              <w:t>完成巴中市人民政府网站专业技术服务、全市政府网站与政务新媒体信息内容安全监测服务、全市政府网站与政务新媒体半年检查和年度绩效评估</w:t>
            </w:r>
          </w:p>
        </w:tc>
      </w:tr>
      <w:tr>
        <w:tblPrEx>
          <w:tblCellMar>
            <w:top w:w="0" w:type="dxa"/>
            <w:left w:w="108" w:type="dxa"/>
            <w:bottom w:w="0" w:type="dxa"/>
            <w:right w:w="108" w:type="dxa"/>
          </w:tblCellMar>
        </w:tblPrEx>
        <w:trPr>
          <w:trHeight w:val="995"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left"/>
              <w:rPr>
                <w:rFonts w:eastAsia="仿宋_GB2312"/>
              </w:rPr>
            </w:pPr>
            <w:r>
              <w:rPr>
                <w:rFonts w:eastAsia="仿宋_GB2312"/>
                <w:color w:val="000000"/>
                <w:sz w:val="18"/>
              </w:rPr>
              <w:t>完成巴中市人民政府门户网站内容运维服务，发布信息36922条；策划、运维移动端精品内容12个；全年修改制作页面54个；制作重要政策文件图解40期、市政府常务会图解26期；新开设专题专栏3个；策划政民互动专题20期；完成全市政府网站与政务新媒体日常监测、季度普查4次、半年检查1次、年度绩效评估1次</w:t>
            </w:r>
          </w:p>
        </w:tc>
      </w:tr>
      <w:tr>
        <w:tblPrEx>
          <w:tblCellMar>
            <w:top w:w="0" w:type="dxa"/>
            <w:left w:w="108" w:type="dxa"/>
            <w:bottom w:w="0" w:type="dxa"/>
            <w:right w:w="108" w:type="dxa"/>
          </w:tblCellMar>
        </w:tblPrEx>
        <w:trPr>
          <w:trHeight w:val="170"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89.90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89.90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89.90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预算执行率=预算执行数/调整后预算数</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89.90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89.90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89.90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r>
      <w:tr>
        <w:tblPrEx>
          <w:tblCellMar>
            <w:top w:w="0" w:type="dxa"/>
            <w:left w:w="108" w:type="dxa"/>
            <w:bottom w:w="0" w:type="dxa"/>
            <w:right w:w="108" w:type="dxa"/>
          </w:tblCellMar>
        </w:tblPrEx>
        <w:trPr>
          <w:trHeight w:val="170"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nil"/>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nil"/>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nil"/>
              <w:tl2br w:val="nil"/>
              <w:tr2bl w:val="nil"/>
            </w:tcBorders>
            <w:noWrap/>
            <w:vAlign w:val="center"/>
          </w:tcPr>
          <w:p>
            <w:pPr>
              <w:spacing w:line="200" w:lineRule="exact"/>
              <w:ind w:left="-69" w:leftChars="-33" w:right="-69" w:rightChars="-33"/>
              <w:rPr>
                <w:rFonts w:eastAsia="仿宋_GB2312"/>
              </w:rPr>
            </w:pPr>
          </w:p>
        </w:tc>
        <w:tc>
          <w:tcPr>
            <w:tcW w:w="1347"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产出指标</w:t>
            </w:r>
          </w:p>
        </w:tc>
        <w:tc>
          <w:tcPr>
            <w:tcW w:w="766"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数量指标</w:t>
            </w:r>
          </w:p>
        </w:tc>
        <w:tc>
          <w:tcPr>
            <w:tcW w:w="1104" w:type="dxa"/>
            <w:tcBorders>
              <w:top w:val="single" w:color="000000" w:sz="6" w:space="0"/>
              <w:left w:val="nil"/>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sz w:val="15"/>
                <w:szCs w:val="15"/>
              </w:rPr>
            </w:pPr>
            <w:r>
              <w:rPr>
                <w:rFonts w:eastAsia="仿宋_GB2312"/>
                <w:color w:val="000000"/>
                <w:sz w:val="15"/>
                <w:szCs w:val="15"/>
              </w:rPr>
              <w:t>移动端精品内容策划、运维</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12</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个</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12</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nil"/>
              <w:tl2br w:val="nil"/>
              <w:tr2bl w:val="nil"/>
            </w:tcBorders>
            <w:noWrap/>
            <w:vAlign w:val="center"/>
          </w:tcPr>
          <w:p>
            <w:pPr>
              <w:spacing w:line="200" w:lineRule="exact"/>
              <w:ind w:left="-69" w:leftChars="-33" w:right="-69" w:rightChars="-33"/>
              <w:jc w:val="center"/>
              <w:rPr>
                <w:rFonts w:eastAsia="仿宋_GB2312"/>
              </w:rPr>
            </w:pPr>
          </w:p>
        </w:tc>
        <w:tc>
          <w:tcPr>
            <w:tcW w:w="1347"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76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1104" w:type="dxa"/>
            <w:tcBorders>
              <w:top w:val="single" w:color="000000" w:sz="6" w:space="0"/>
              <w:left w:val="nil"/>
              <w:bottom w:val="nil"/>
              <w:right w:val="single" w:color="000000" w:sz="6" w:space="0"/>
              <w:tl2br w:val="nil"/>
              <w:tr2bl w:val="nil"/>
            </w:tcBorders>
            <w:noWrap/>
            <w:vAlign w:val="center"/>
          </w:tcPr>
          <w:p>
            <w:pPr>
              <w:spacing w:line="200" w:lineRule="exact"/>
              <w:ind w:left="-69" w:leftChars="-33" w:right="-69" w:rightChars="-33"/>
              <w:rPr>
                <w:rFonts w:eastAsia="仿宋_GB2312"/>
                <w:sz w:val="15"/>
                <w:szCs w:val="15"/>
              </w:rPr>
            </w:pPr>
            <w:r>
              <w:rPr>
                <w:rFonts w:eastAsia="仿宋_GB2312"/>
                <w:color w:val="000000"/>
                <w:sz w:val="15"/>
                <w:szCs w:val="15"/>
              </w:rPr>
              <w:t>政策文件图解、动画、视频制作</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40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期</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40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nil"/>
              <w:tl2br w:val="nil"/>
              <w:tr2bl w:val="nil"/>
            </w:tcBorders>
            <w:noWrap/>
            <w:vAlign w:val="center"/>
          </w:tcPr>
          <w:p>
            <w:pPr>
              <w:spacing w:line="200" w:lineRule="exact"/>
              <w:ind w:left="-69" w:leftChars="-33" w:right="-69" w:rightChars="-33"/>
              <w:jc w:val="center"/>
              <w:rPr>
                <w:rFonts w:eastAsia="仿宋_GB2312"/>
              </w:rPr>
            </w:pPr>
          </w:p>
        </w:tc>
        <w:tc>
          <w:tcPr>
            <w:tcW w:w="1347"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76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1104" w:type="dxa"/>
            <w:tcBorders>
              <w:top w:val="single" w:color="auto" w:sz="6" w:space="0"/>
              <w:left w:val="nil"/>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sz w:val="15"/>
                <w:szCs w:val="15"/>
              </w:rPr>
            </w:pPr>
            <w:r>
              <w:rPr>
                <w:rFonts w:eastAsia="仿宋_GB2312"/>
                <w:color w:val="000000"/>
                <w:sz w:val="15"/>
                <w:szCs w:val="15"/>
              </w:rPr>
              <w:t>频道、栏目创新设计包装与视觉形象升级</w:t>
            </w:r>
          </w:p>
        </w:tc>
        <w:tc>
          <w:tcPr>
            <w:tcW w:w="1255" w:type="dxa"/>
            <w:tcBorders>
              <w:top w:val="single" w:color="000000" w:sz="6" w:space="0"/>
              <w:left w:val="nil"/>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50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个</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54</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nil"/>
              <w:tl2br w:val="nil"/>
              <w:tr2bl w:val="nil"/>
            </w:tcBorders>
            <w:noWrap/>
            <w:vAlign w:val="center"/>
          </w:tcPr>
          <w:p>
            <w:pPr>
              <w:spacing w:line="200" w:lineRule="exact"/>
              <w:ind w:left="-69" w:leftChars="-33" w:right="-69" w:rightChars="-33"/>
              <w:jc w:val="center"/>
              <w:rPr>
                <w:rFonts w:eastAsia="仿宋_GB2312"/>
              </w:rPr>
            </w:pPr>
          </w:p>
        </w:tc>
        <w:tc>
          <w:tcPr>
            <w:tcW w:w="1347"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76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1104" w:type="dxa"/>
            <w:tcBorders>
              <w:top w:val="single" w:color="000000" w:sz="6" w:space="0"/>
              <w:left w:val="nil"/>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sz w:val="15"/>
                <w:szCs w:val="15"/>
              </w:rPr>
            </w:pPr>
            <w:r>
              <w:rPr>
                <w:rFonts w:eastAsia="仿宋_GB2312"/>
                <w:color w:val="000000"/>
                <w:sz w:val="15"/>
                <w:szCs w:val="15"/>
              </w:rPr>
              <w:t>政民互动专题策划</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20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期</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20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nil"/>
              <w:tl2br w:val="nil"/>
              <w:tr2bl w:val="nil"/>
            </w:tcBorders>
            <w:noWrap/>
            <w:vAlign w:val="center"/>
          </w:tcPr>
          <w:p>
            <w:pPr>
              <w:spacing w:line="200" w:lineRule="exact"/>
              <w:ind w:left="-69" w:leftChars="-33" w:right="-69" w:rightChars="-33"/>
              <w:jc w:val="center"/>
              <w:rPr>
                <w:rFonts w:eastAsia="仿宋_GB2312"/>
              </w:rPr>
            </w:pPr>
          </w:p>
        </w:tc>
        <w:tc>
          <w:tcPr>
            <w:tcW w:w="1347"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76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1104" w:type="dxa"/>
            <w:tcBorders>
              <w:top w:val="single" w:color="000000" w:sz="6" w:space="0"/>
              <w:left w:val="nil"/>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sz w:val="15"/>
                <w:szCs w:val="15"/>
              </w:rPr>
            </w:pPr>
            <w:r>
              <w:rPr>
                <w:rFonts w:eastAsia="仿宋_GB2312"/>
                <w:color w:val="000000"/>
                <w:sz w:val="15"/>
                <w:szCs w:val="15"/>
              </w:rPr>
              <w:t>便民服务专题策划</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3</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个</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3</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nil"/>
              <w:tl2br w:val="nil"/>
              <w:tr2bl w:val="nil"/>
            </w:tcBorders>
            <w:noWrap/>
            <w:vAlign w:val="center"/>
          </w:tcPr>
          <w:p>
            <w:pPr>
              <w:spacing w:line="200" w:lineRule="exact"/>
              <w:ind w:left="-69" w:leftChars="-33" w:right="-69" w:rightChars="-33"/>
              <w:jc w:val="center"/>
              <w:rPr>
                <w:rFonts w:eastAsia="仿宋_GB2312"/>
              </w:rPr>
            </w:pPr>
          </w:p>
        </w:tc>
        <w:tc>
          <w:tcPr>
            <w:tcW w:w="1347"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76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1104" w:type="dxa"/>
            <w:tcBorders>
              <w:top w:val="single" w:color="000000" w:sz="6" w:space="0"/>
              <w:left w:val="nil"/>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sz w:val="15"/>
                <w:szCs w:val="15"/>
              </w:rPr>
            </w:pPr>
            <w:r>
              <w:rPr>
                <w:rFonts w:eastAsia="仿宋_GB2312"/>
                <w:color w:val="000000"/>
                <w:sz w:val="15"/>
                <w:szCs w:val="15"/>
              </w:rPr>
              <w:t>市政府常务会图解制作</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20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期</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26</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nil"/>
              <w:tl2br w:val="nil"/>
              <w:tr2bl w:val="nil"/>
            </w:tcBorders>
            <w:noWrap/>
            <w:vAlign w:val="center"/>
          </w:tcPr>
          <w:p>
            <w:pPr>
              <w:spacing w:line="200" w:lineRule="exact"/>
              <w:ind w:left="-69" w:leftChars="-33" w:right="-69" w:rightChars="-33"/>
              <w:jc w:val="center"/>
              <w:rPr>
                <w:rFonts w:eastAsia="仿宋_GB2312"/>
              </w:rPr>
            </w:pPr>
          </w:p>
        </w:tc>
        <w:tc>
          <w:tcPr>
            <w:tcW w:w="1347"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p>
        </w:tc>
        <w:tc>
          <w:tcPr>
            <w:tcW w:w="766" w:type="dxa"/>
            <w:tcBorders>
              <w:top w:val="single" w:color="auto" w:sz="6" w:space="0"/>
              <w:left w:val="single" w:color="auto" w:sz="6" w:space="0"/>
              <w:bottom w:val="single" w:color="auto" w:sz="6" w:space="0"/>
              <w:right w:val="single" w:color="auto"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质量指标</w:t>
            </w:r>
          </w:p>
        </w:tc>
        <w:tc>
          <w:tcPr>
            <w:tcW w:w="1104" w:type="dxa"/>
            <w:tcBorders>
              <w:top w:val="single" w:color="000000" w:sz="6" w:space="0"/>
              <w:left w:val="nil"/>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专题专栏建设</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hint="eastAsia" w:eastAsia="仿宋_GB2312"/>
              </w:rPr>
              <w:t>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c>
          <w:tcPr>
            <w:tcW w:w="1347" w:type="dxa"/>
            <w:tcBorders>
              <w:top w:val="nil"/>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效益指标</w:t>
            </w:r>
          </w:p>
        </w:tc>
        <w:tc>
          <w:tcPr>
            <w:tcW w:w="766" w:type="dxa"/>
            <w:tcBorders>
              <w:top w:val="nil"/>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使用单位及社会认可度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left"/>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hint="eastAsia" w:eastAsia="仿宋_GB2312"/>
                <w:color w:val="000000"/>
                <w:sz w:val="18"/>
              </w:rPr>
              <w:t>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服务单位满意度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hint="default" w:eastAsia="仿宋_GB2312"/>
                <w:lang w:val="en-US" w:eastAsia="zh-CN"/>
              </w:rPr>
            </w:pPr>
            <w:r>
              <w:rPr>
                <w:rFonts w:hint="eastAsia" w:eastAsia="仿宋_GB2312"/>
                <w:color w:val="000000"/>
                <w:sz w:val="18"/>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hint="eastAsia" w:eastAsia="仿宋_GB2312"/>
              </w:rPr>
              <w:t>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r>
      <w:tr>
        <w:tblPrEx>
          <w:tblCellMar>
            <w:top w:w="0" w:type="dxa"/>
            <w:left w:w="108" w:type="dxa"/>
            <w:bottom w:w="0" w:type="dxa"/>
            <w:right w:w="108" w:type="dxa"/>
          </w:tblCellMar>
        </w:tblPrEx>
        <w:trPr>
          <w:trHeight w:val="170"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hint="eastAsia" w:eastAsia="仿宋_GB2312"/>
              </w:rPr>
              <w:t>97</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p>
        </w:tc>
      </w:tr>
      <w:tr>
        <w:tblPrEx>
          <w:tblCellMar>
            <w:top w:w="0" w:type="dxa"/>
            <w:left w:w="108" w:type="dxa"/>
            <w:bottom w:w="0" w:type="dxa"/>
            <w:right w:w="108" w:type="dxa"/>
          </w:tblCellMar>
        </w:tblPrEx>
        <w:trPr>
          <w:trHeight w:val="1225"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评价结论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rPr>
                <w:rFonts w:eastAsia="仿宋_GB2312"/>
              </w:rPr>
            </w:pPr>
            <w:r>
              <w:rPr>
                <w:rFonts w:eastAsia="仿宋_GB2312"/>
                <w:color w:val="000000"/>
                <w:sz w:val="18"/>
              </w:rPr>
              <w:t>自评得分</w:t>
            </w:r>
            <w:r>
              <w:rPr>
                <w:rFonts w:hint="eastAsia" w:eastAsia="仿宋_GB2312"/>
                <w:color w:val="000000"/>
                <w:sz w:val="18"/>
              </w:rPr>
              <w:t>97</w:t>
            </w:r>
            <w:r>
              <w:rPr>
                <w:rFonts w:eastAsia="仿宋_GB2312"/>
                <w:color w:val="000000"/>
                <w:sz w:val="18"/>
              </w:rPr>
              <w:t>分。通过向第三方购买服务，实现“专业的事由专业的人干”，为全市政府网站与政务新媒体建设管理提供了有力的技术支撑，巴中市人民政府</w:t>
            </w:r>
            <w:r>
              <w:rPr>
                <w:rFonts w:hint="eastAsia" w:eastAsia="仿宋_GB2312"/>
                <w:color w:val="000000"/>
                <w:sz w:val="18"/>
              </w:rPr>
              <w:t>门户</w:t>
            </w:r>
            <w:r>
              <w:rPr>
                <w:rFonts w:eastAsia="仿宋_GB2312"/>
                <w:color w:val="000000"/>
                <w:sz w:val="18"/>
              </w:rPr>
              <w:t>网站功能得到有效拓展、信息内容更加丰富多元、利企便民水平显著提升，守住了网络意识形态安全、不失密泄密、不泄露个人隐私、不涉法涉诉等底线，在全省政府网站与政府系统政务新媒体半年检查和年度绩效评估中取得</w:t>
            </w:r>
            <w:r>
              <w:rPr>
                <w:rFonts w:hint="eastAsia" w:eastAsia="仿宋_GB2312"/>
                <w:color w:val="000000"/>
                <w:sz w:val="18"/>
              </w:rPr>
              <w:t>较好</w:t>
            </w:r>
            <w:r>
              <w:rPr>
                <w:rFonts w:eastAsia="仿宋_GB2312"/>
                <w:color w:val="000000"/>
                <w:sz w:val="18"/>
              </w:rPr>
              <w:t>成绩。全市政府网站、政务新媒体未出现“四不”等单项否决问题，未出现因信息内容不当引发严重负面舆情等问题</w:t>
            </w:r>
            <w:r>
              <w:rPr>
                <w:rFonts w:hint="eastAsia" w:eastAsia="仿宋_GB2312"/>
                <w:color w:val="000000"/>
                <w:sz w:val="18"/>
              </w:rPr>
              <w:t>。</w:t>
            </w: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存在问题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left"/>
              <w:rPr>
                <w:rFonts w:eastAsia="仿宋_GB2312"/>
              </w:rPr>
            </w:pPr>
            <w:r>
              <w:rPr>
                <w:rFonts w:eastAsia="仿宋_GB2312"/>
                <w:color w:val="000000"/>
                <w:sz w:val="16"/>
              </w:rPr>
              <w:t>无</w:t>
            </w: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改进措施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left"/>
              <w:rPr>
                <w:rFonts w:eastAsia="仿宋_GB2312"/>
              </w:rPr>
            </w:pPr>
            <w:r>
              <w:rPr>
                <w:rFonts w:eastAsia="仿宋_GB2312"/>
                <w:color w:val="000000"/>
                <w:sz w:val="16"/>
              </w:rPr>
              <w:t>无</w:t>
            </w:r>
          </w:p>
        </w:tc>
      </w:tr>
      <w:tr>
        <w:tblPrEx>
          <w:tblCellMar>
            <w:top w:w="0" w:type="dxa"/>
            <w:left w:w="108" w:type="dxa"/>
            <w:bottom w:w="0" w:type="dxa"/>
            <w:right w:w="108" w:type="dxa"/>
          </w:tblCellMar>
        </w:tblPrEx>
        <w:trPr>
          <w:trHeight w:val="170"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项目负责人：吴弘</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00" w:lineRule="exact"/>
              <w:ind w:left="-69" w:leftChars="-33" w:right="-69" w:rightChars="-33"/>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pPr>
              <w:rPr>
                <w:rFonts w:eastAsia="仿宋_GB2312"/>
              </w:rPr>
            </w:p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694"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284"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51190022T000006074370-2021033031-中国巴中网巴中新闻视频传输转换费</w:t>
            </w:r>
          </w:p>
        </w:tc>
      </w:tr>
      <w:tr>
        <w:tblPrEx>
          <w:tblCellMar>
            <w:top w:w="0" w:type="dxa"/>
            <w:left w:w="108" w:type="dxa"/>
            <w:bottom w:w="0" w:type="dxa"/>
            <w:right w:w="108" w:type="dxa"/>
          </w:tblCellMar>
        </w:tblPrEx>
        <w:trPr>
          <w:trHeight w:val="509"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284"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70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left"/>
              <w:rPr>
                <w:rFonts w:eastAsia="仿宋_GB2312"/>
              </w:rPr>
            </w:pPr>
            <w:r>
              <w:rPr>
                <w:rFonts w:eastAsia="仿宋_GB2312"/>
                <w:color w:val="000000"/>
                <w:sz w:val="18"/>
              </w:rPr>
              <w:t>保障巴中市人民政府门户网站每天的巴中新闻正常播放</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left"/>
              <w:rPr>
                <w:rFonts w:eastAsia="仿宋_GB2312"/>
              </w:rPr>
            </w:pPr>
            <w:r>
              <w:rPr>
                <w:rFonts w:eastAsia="仿宋_GB2312"/>
                <w:color w:val="000000"/>
                <w:sz w:val="18"/>
              </w:rPr>
              <w:t>播放正常，社会公众认可度高</w:t>
            </w:r>
          </w:p>
        </w:tc>
      </w:tr>
      <w:tr>
        <w:tblPrEx>
          <w:tblCellMar>
            <w:top w:w="0" w:type="dxa"/>
            <w:left w:w="108" w:type="dxa"/>
            <w:bottom w:w="0" w:type="dxa"/>
            <w:right w:w="108" w:type="dxa"/>
          </w:tblCellMar>
        </w:tblPrEx>
        <w:trPr>
          <w:trHeight w:val="6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left"/>
              <w:rPr>
                <w:rFonts w:eastAsia="仿宋_GB2312"/>
              </w:rPr>
            </w:pPr>
            <w:r>
              <w:rPr>
                <w:rFonts w:eastAsia="仿宋_GB2312"/>
                <w:color w:val="000000"/>
                <w:sz w:val="18"/>
              </w:rPr>
              <w:t>从2004年门户网站建设完成开始至今，每天的巴中新闻视频向巴中市人民政府门户网站进行传输转换</w:t>
            </w:r>
          </w:p>
        </w:tc>
      </w:tr>
      <w:tr>
        <w:tblPrEx>
          <w:tblCellMar>
            <w:top w:w="0" w:type="dxa"/>
            <w:left w:w="108" w:type="dxa"/>
            <w:bottom w:w="0" w:type="dxa"/>
            <w:right w:w="108" w:type="dxa"/>
          </w:tblCellMar>
        </w:tblPrEx>
        <w:trPr>
          <w:trHeight w:val="35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4.00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4.00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4.00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预算执行率=预算执行数/调整后预算数</w:t>
            </w:r>
          </w:p>
        </w:tc>
      </w:tr>
      <w:tr>
        <w:tblPrEx>
          <w:tblCellMar>
            <w:top w:w="0" w:type="dxa"/>
            <w:left w:w="108" w:type="dxa"/>
            <w:bottom w:w="0" w:type="dxa"/>
            <w:right w:w="108" w:type="dxa"/>
          </w:tblCellMar>
        </w:tblPrEx>
        <w:trPr>
          <w:trHeight w:val="43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4.00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4.00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4.00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r>
      <w:tr>
        <w:tblPrEx>
          <w:tblCellMar>
            <w:top w:w="0" w:type="dxa"/>
            <w:left w:w="108" w:type="dxa"/>
            <w:bottom w:w="0" w:type="dxa"/>
            <w:right w:w="108" w:type="dxa"/>
          </w:tblCellMar>
        </w:tblPrEx>
        <w:trPr>
          <w:trHeight w:val="38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r>
      <w:tr>
        <w:tblPrEx>
          <w:tblCellMar>
            <w:top w:w="0" w:type="dxa"/>
            <w:left w:w="108" w:type="dxa"/>
            <w:bottom w:w="0" w:type="dxa"/>
            <w:right w:w="108" w:type="dxa"/>
          </w:tblCellMar>
        </w:tblPrEx>
        <w:trPr>
          <w:trHeight w:val="374"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r>
      <w:tr>
        <w:tblPrEx>
          <w:tblCellMar>
            <w:top w:w="0" w:type="dxa"/>
            <w:left w:w="108" w:type="dxa"/>
            <w:bottom w:w="0" w:type="dxa"/>
            <w:right w:w="108" w:type="dxa"/>
          </w:tblCellMar>
        </w:tblPrEx>
        <w:trPr>
          <w:trHeight w:val="449"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107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vMerge w:val="restart"/>
            <w:tcBorders>
              <w:top w:val="single" w:color="000000" w:sz="6" w:space="0"/>
              <w:left w:val="single" w:color="000000" w:sz="6" w:space="0"/>
              <w:bottom w:val="nil"/>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sz w:val="13"/>
                <w:szCs w:val="13"/>
              </w:rPr>
            </w:pPr>
            <w:r>
              <w:rPr>
                <w:rFonts w:eastAsia="仿宋_GB2312"/>
                <w:color w:val="000000"/>
                <w:sz w:val="13"/>
                <w:szCs w:val="13"/>
              </w:rPr>
              <w:t>每天的巴中新闻视频向中国门户网站进行传输转换</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1</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年</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1</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r>
      <w:tr>
        <w:tblPrEx>
          <w:tblCellMar>
            <w:top w:w="0" w:type="dxa"/>
            <w:left w:w="108" w:type="dxa"/>
            <w:bottom w:w="0" w:type="dxa"/>
            <w:right w:w="108" w:type="dxa"/>
          </w:tblCellMar>
        </w:tblPrEx>
        <w:trPr>
          <w:trHeight w:val="592"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vMerge w:val="continue"/>
            <w:tcBorders>
              <w:top w:val="nil"/>
              <w:left w:val="single" w:color="000000" w:sz="6" w:space="0"/>
              <w:bottom w:val="nil"/>
              <w:right w:val="single" w:color="000000" w:sz="6" w:space="0"/>
              <w:tl2br w:val="nil"/>
              <w:tr2bl w:val="nil"/>
            </w:tcBorders>
            <w:noWrap/>
            <w:vAlign w:val="center"/>
          </w:tcPr>
          <w:p>
            <w:pPr>
              <w:spacing w:line="240" w:lineRule="exact"/>
              <w:ind w:left="-69" w:leftChars="-33" w:right="-97" w:rightChars="-46"/>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播放质量</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r>
      <w:tr>
        <w:tblPrEx>
          <w:tblCellMar>
            <w:top w:w="0" w:type="dxa"/>
            <w:left w:w="108" w:type="dxa"/>
            <w:bottom w:w="0" w:type="dxa"/>
            <w:right w:w="108" w:type="dxa"/>
          </w:tblCellMar>
        </w:tblPrEx>
        <w:trPr>
          <w:trHeight w:val="449"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vMerge w:val="continue"/>
            <w:tcBorders>
              <w:top w:val="nil"/>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hint="eastAsia" w:eastAsia="仿宋_GB2312"/>
                <w:color w:val="000000"/>
                <w:sz w:val="18"/>
              </w:rPr>
              <w:t>项目</w:t>
            </w:r>
            <w:r>
              <w:rPr>
                <w:rFonts w:eastAsia="仿宋_GB2312"/>
                <w:color w:val="000000"/>
                <w:sz w:val="18"/>
              </w:rPr>
              <w:t>成本</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4</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4</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r>
      <w:tr>
        <w:tblPrEx>
          <w:tblCellMar>
            <w:top w:w="0" w:type="dxa"/>
            <w:left w:w="108" w:type="dxa"/>
            <w:bottom w:w="0" w:type="dxa"/>
            <w:right w:w="108" w:type="dxa"/>
          </w:tblCellMar>
        </w:tblPrEx>
        <w:trPr>
          <w:trHeight w:val="993"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sz w:val="13"/>
                <w:szCs w:val="13"/>
              </w:rPr>
            </w:pPr>
            <w:r>
              <w:rPr>
                <w:rFonts w:eastAsia="仿宋_GB2312"/>
                <w:color w:val="000000"/>
                <w:sz w:val="13"/>
                <w:szCs w:val="13"/>
              </w:rPr>
              <w:t>提高社会公众对新闻、政策等知晓度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hint="eastAsia"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hint="default" w:eastAsia="仿宋_GB2312"/>
                <w:lang w:val="en-US" w:eastAsia="zh-CN"/>
              </w:rPr>
            </w:pPr>
            <w:r>
              <w:rPr>
                <w:rFonts w:hint="eastAsia" w:eastAsia="仿宋_GB2312"/>
                <w:color w:val="000000"/>
                <w:sz w:val="18"/>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hint="default" w:eastAsia="仿宋_GB2312"/>
                <w:lang w:val="en-US" w:eastAsia="zh-CN"/>
              </w:rPr>
            </w:pPr>
            <w:r>
              <w:rPr>
                <w:rFonts w:hint="eastAsia" w:eastAsia="仿宋_GB2312"/>
                <w:color w:val="000000"/>
                <w:sz w:val="18"/>
                <w:lang w:val="en-US" w:eastAsia="zh-CN"/>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r>
      <w:tr>
        <w:tblPrEx>
          <w:tblCellMar>
            <w:top w:w="0" w:type="dxa"/>
            <w:left w:w="108" w:type="dxa"/>
            <w:bottom w:w="0" w:type="dxa"/>
            <w:right w:w="108" w:type="dxa"/>
          </w:tblCellMar>
        </w:tblPrEx>
        <w:trPr>
          <w:trHeight w:val="845"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sz w:val="15"/>
                <w:szCs w:val="15"/>
              </w:rPr>
            </w:pPr>
            <w:r>
              <w:rPr>
                <w:rFonts w:eastAsia="仿宋_GB2312"/>
                <w:color w:val="000000"/>
                <w:sz w:val="15"/>
                <w:szCs w:val="15"/>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szCs w:val="18"/>
              </w:rPr>
              <w:t>公众满意度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hint="eastAsia"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hint="default" w:eastAsia="仿宋_GB2312"/>
                <w:lang w:val="en-US" w:eastAsia="zh-CN"/>
              </w:rPr>
            </w:pPr>
            <w:r>
              <w:rPr>
                <w:rFonts w:hint="eastAsia" w:eastAsia="仿宋_GB2312"/>
                <w:color w:val="000000"/>
                <w:sz w:val="18"/>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hint="default" w:eastAsia="仿宋_GB2312"/>
                <w:lang w:val="en-US" w:eastAsia="zh-CN"/>
              </w:rPr>
            </w:pPr>
            <w:r>
              <w:rPr>
                <w:rFonts w:hint="eastAsia" w:eastAsia="仿宋_GB2312"/>
                <w:color w:val="000000"/>
                <w:sz w:val="18"/>
                <w:lang w:val="en-US" w:eastAsia="zh-CN"/>
              </w:rPr>
              <w:t>19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p>
        </w:tc>
      </w:tr>
      <w:tr>
        <w:tblPrEx>
          <w:tblCellMar>
            <w:top w:w="0" w:type="dxa"/>
            <w:left w:w="108" w:type="dxa"/>
            <w:bottom w:w="0" w:type="dxa"/>
            <w:right w:w="108" w:type="dxa"/>
          </w:tblCellMar>
        </w:tblPrEx>
        <w:trPr>
          <w:trHeight w:val="284"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hint="eastAsia" w:eastAsia="仿宋_GB2312"/>
                <w:lang w:eastAsia="zh-CN"/>
              </w:rPr>
            </w:pPr>
            <w:r>
              <w:rPr>
                <w:rFonts w:hint="eastAsia" w:eastAsia="仿宋_GB2312"/>
                <w:color w:val="000000"/>
                <w:sz w:val="18"/>
                <w:lang w:eastAsia="zh-CN"/>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hint="default" w:eastAsia="仿宋_GB2312"/>
                <w:lang w:val="en-US" w:eastAsia="zh-CN"/>
              </w:rPr>
            </w:pPr>
            <w:r>
              <w:rPr>
                <w:rFonts w:hint="eastAsia" w:eastAsia="仿宋_GB2312"/>
                <w:lang w:val="en-US" w:eastAsia="zh-CN"/>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hint="default" w:eastAsia="仿宋_GB2312"/>
                <w:lang w:val="en-US" w:eastAsia="zh-CN"/>
              </w:rPr>
            </w:pPr>
            <w:r>
              <w:rPr>
                <w:rFonts w:hint="eastAsia" w:eastAsia="仿宋_GB2312"/>
                <w:lang w:val="en-US" w:eastAsia="zh-CN"/>
              </w:rPr>
              <w:t>98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rPr>
                <w:rFonts w:eastAsia="仿宋_GB2312"/>
              </w:rPr>
            </w:pPr>
          </w:p>
        </w:tc>
      </w:tr>
      <w:tr>
        <w:tblPrEx>
          <w:tblCellMar>
            <w:top w:w="0" w:type="dxa"/>
            <w:left w:w="108" w:type="dxa"/>
            <w:bottom w:w="0" w:type="dxa"/>
            <w:right w:w="108" w:type="dxa"/>
          </w:tblCellMar>
        </w:tblPrEx>
        <w:trPr>
          <w:trHeight w:val="59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评价结论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left"/>
              <w:rPr>
                <w:rFonts w:eastAsia="仿宋_GB2312"/>
              </w:rPr>
            </w:pPr>
            <w:r>
              <w:rPr>
                <w:rFonts w:eastAsia="仿宋_GB2312"/>
                <w:color w:val="000000"/>
                <w:sz w:val="16"/>
                <w:szCs w:val="16"/>
              </w:rPr>
              <w:t>自评得分</w:t>
            </w:r>
            <w:r>
              <w:rPr>
                <w:rFonts w:hint="eastAsia" w:eastAsia="仿宋_GB2312"/>
                <w:color w:val="000000"/>
                <w:sz w:val="16"/>
                <w:szCs w:val="16"/>
                <w:lang w:val="en-US" w:eastAsia="zh-CN"/>
              </w:rPr>
              <w:t>98</w:t>
            </w:r>
            <w:r>
              <w:rPr>
                <w:rFonts w:eastAsia="仿宋_GB2312"/>
                <w:color w:val="000000"/>
                <w:sz w:val="16"/>
                <w:szCs w:val="16"/>
              </w:rPr>
              <w:t>分。丰富巴中市人民政府门户网站节目内容，保障巴中市人民政府门户网站每天的巴中新闻正常播放，社会公众可以通过门户网站了解巴中重大新闻事件信息，有利于政府信息公开和服务信息宣传，提高公众知晓率和满意度。</w:t>
            </w:r>
          </w:p>
        </w:tc>
      </w:tr>
      <w:tr>
        <w:tblPrEx>
          <w:tblCellMar>
            <w:top w:w="0" w:type="dxa"/>
            <w:left w:w="108" w:type="dxa"/>
            <w:bottom w:w="0" w:type="dxa"/>
            <w:right w:w="108" w:type="dxa"/>
          </w:tblCellMar>
        </w:tblPrEx>
        <w:trPr>
          <w:trHeight w:val="56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存在问题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left"/>
              <w:rPr>
                <w:rFonts w:eastAsia="仿宋_GB2312"/>
              </w:rPr>
            </w:pPr>
            <w:r>
              <w:rPr>
                <w:rFonts w:hint="eastAsia" w:eastAsia="仿宋_GB2312"/>
                <w:color w:val="000000"/>
                <w:sz w:val="16"/>
              </w:rPr>
              <w:t>无</w:t>
            </w:r>
          </w:p>
        </w:tc>
      </w:tr>
      <w:tr>
        <w:tblPrEx>
          <w:tblCellMar>
            <w:top w:w="0" w:type="dxa"/>
            <w:left w:w="108" w:type="dxa"/>
            <w:bottom w:w="0" w:type="dxa"/>
            <w:right w:w="108" w:type="dxa"/>
          </w:tblCellMar>
        </w:tblPrEx>
        <w:trPr>
          <w:trHeight w:val="629"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改进措施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left"/>
              <w:rPr>
                <w:rFonts w:eastAsia="仿宋_GB2312"/>
              </w:rPr>
            </w:pPr>
            <w:r>
              <w:rPr>
                <w:rFonts w:hint="eastAsia" w:eastAsia="仿宋_GB2312"/>
                <w:color w:val="000000"/>
                <w:sz w:val="16"/>
              </w:rPr>
              <w:t>无</w:t>
            </w:r>
          </w:p>
        </w:tc>
      </w:tr>
      <w:tr>
        <w:tblPrEx>
          <w:tblCellMar>
            <w:top w:w="0" w:type="dxa"/>
            <w:left w:w="108" w:type="dxa"/>
            <w:bottom w:w="0" w:type="dxa"/>
            <w:right w:w="108" w:type="dxa"/>
          </w:tblCellMar>
        </w:tblPrEx>
        <w:trPr>
          <w:trHeight w:val="284"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项目负责人：吴弘</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69" w:leftChars="-33" w:right="-97" w:rightChars="-46"/>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284" w:hRule="atLeast"/>
        </w:trPr>
        <w:tc>
          <w:tcPr>
            <w:tcW w:w="689" w:type="dxa"/>
            <w:tcBorders>
              <w:top w:val="nil"/>
              <w:left w:val="nil"/>
              <w:bottom w:val="nil"/>
              <w:right w:val="nil"/>
              <w:tl2br w:val="nil"/>
              <w:tr2bl w:val="nil"/>
            </w:tcBorders>
            <w:noWrap/>
            <w:vAlign w:val="center"/>
          </w:tcPr>
          <w:p>
            <w:pPr>
              <w:rPr>
                <w:rFonts w:eastAsia="仿宋_GB2312"/>
              </w:rPr>
            </w:pPr>
          </w:p>
        </w:tc>
        <w:tc>
          <w:tcPr>
            <w:tcW w:w="1347" w:type="dxa"/>
            <w:tcBorders>
              <w:top w:val="nil"/>
              <w:left w:val="nil"/>
              <w:bottom w:val="nil"/>
              <w:right w:val="nil"/>
              <w:tl2br w:val="nil"/>
              <w:tr2bl w:val="nil"/>
            </w:tcBorders>
            <w:noWrap/>
            <w:vAlign w:val="center"/>
          </w:tcPr>
          <w:p>
            <w:pPr>
              <w:rPr>
                <w:rFonts w:eastAsia="仿宋_GB2312"/>
              </w:rPr>
            </w:pPr>
          </w:p>
        </w:tc>
        <w:tc>
          <w:tcPr>
            <w:tcW w:w="766" w:type="dxa"/>
            <w:tcBorders>
              <w:top w:val="nil"/>
              <w:left w:val="nil"/>
              <w:bottom w:val="nil"/>
              <w:right w:val="nil"/>
              <w:tl2br w:val="nil"/>
              <w:tr2bl w:val="nil"/>
            </w:tcBorders>
            <w:noWrap/>
            <w:vAlign w:val="center"/>
          </w:tcPr>
          <w:p>
            <w:pPr>
              <w:rPr>
                <w:rFonts w:eastAsia="仿宋_GB2312"/>
              </w:rPr>
            </w:pPr>
          </w:p>
        </w:tc>
        <w:tc>
          <w:tcPr>
            <w:tcW w:w="1104" w:type="dxa"/>
            <w:tcBorders>
              <w:top w:val="nil"/>
              <w:left w:val="nil"/>
              <w:bottom w:val="nil"/>
              <w:right w:val="nil"/>
              <w:tl2br w:val="nil"/>
              <w:tr2bl w:val="nil"/>
            </w:tcBorders>
            <w:noWrap/>
            <w:vAlign w:val="center"/>
          </w:tcPr>
          <w:p>
            <w:pPr>
              <w:rPr>
                <w:rFonts w:eastAsia="仿宋_GB2312"/>
              </w:rPr>
            </w:pPr>
          </w:p>
        </w:tc>
        <w:tc>
          <w:tcPr>
            <w:tcW w:w="1255" w:type="dxa"/>
            <w:tcBorders>
              <w:top w:val="nil"/>
              <w:left w:val="nil"/>
              <w:bottom w:val="nil"/>
              <w:right w:val="nil"/>
              <w:tl2br w:val="nil"/>
              <w:tr2bl w:val="nil"/>
            </w:tcBorders>
            <w:noWrap/>
            <w:vAlign w:val="center"/>
          </w:tcPr>
          <w:p>
            <w:pPr>
              <w:rPr>
                <w:rFonts w:eastAsia="仿宋_GB2312"/>
              </w:rPr>
            </w:pPr>
          </w:p>
        </w:tc>
        <w:tc>
          <w:tcPr>
            <w:tcW w:w="539" w:type="dxa"/>
            <w:gridSpan w:val="2"/>
            <w:tcBorders>
              <w:top w:val="nil"/>
              <w:left w:val="nil"/>
              <w:bottom w:val="nil"/>
              <w:right w:val="nil"/>
              <w:tl2br w:val="nil"/>
              <w:tr2bl w:val="nil"/>
            </w:tcBorders>
            <w:noWrap/>
            <w:vAlign w:val="center"/>
          </w:tcPr>
          <w:p>
            <w:pPr>
              <w:rPr>
                <w:rFonts w:eastAsia="仿宋_GB2312"/>
              </w:rPr>
            </w:pPr>
          </w:p>
        </w:tc>
        <w:tc>
          <w:tcPr>
            <w:tcW w:w="540" w:type="dxa"/>
            <w:tcBorders>
              <w:top w:val="nil"/>
              <w:left w:val="nil"/>
              <w:bottom w:val="nil"/>
              <w:right w:val="nil"/>
              <w:tl2br w:val="nil"/>
              <w:tr2bl w:val="nil"/>
            </w:tcBorders>
            <w:noWrap/>
            <w:vAlign w:val="center"/>
          </w:tcPr>
          <w:p>
            <w:pPr>
              <w:rPr>
                <w:rFonts w:eastAsia="仿宋_GB2312"/>
              </w:rPr>
            </w:pPr>
          </w:p>
        </w:tc>
        <w:tc>
          <w:tcPr>
            <w:tcW w:w="965" w:type="dxa"/>
            <w:tcBorders>
              <w:top w:val="nil"/>
              <w:left w:val="nil"/>
              <w:bottom w:val="nil"/>
              <w:right w:val="nil"/>
              <w:tl2br w:val="nil"/>
              <w:tr2bl w:val="nil"/>
            </w:tcBorders>
            <w:noWrap/>
            <w:vAlign w:val="center"/>
          </w:tcPr>
          <w:p>
            <w:pPr>
              <w:rPr>
                <w:rFonts w:eastAsia="仿宋_GB2312"/>
              </w:rPr>
            </w:pPr>
          </w:p>
        </w:tc>
        <w:tc>
          <w:tcPr>
            <w:tcW w:w="576" w:type="dxa"/>
            <w:tcBorders>
              <w:top w:val="nil"/>
              <w:left w:val="nil"/>
              <w:bottom w:val="nil"/>
              <w:right w:val="nil"/>
              <w:tl2br w:val="nil"/>
              <w:tr2bl w:val="nil"/>
            </w:tcBorders>
            <w:noWrap/>
            <w:vAlign w:val="center"/>
          </w:tcPr>
          <w:p>
            <w:pPr>
              <w:rPr>
                <w:rFonts w:eastAsia="仿宋_GB2312"/>
              </w:rPr>
            </w:pPr>
          </w:p>
        </w:tc>
        <w:tc>
          <w:tcPr>
            <w:tcW w:w="600" w:type="dxa"/>
            <w:tcBorders>
              <w:top w:val="nil"/>
              <w:left w:val="nil"/>
              <w:bottom w:val="nil"/>
              <w:right w:val="nil"/>
              <w:tl2br w:val="nil"/>
              <w:tr2bl w:val="nil"/>
            </w:tcBorders>
            <w:noWrap/>
            <w:vAlign w:val="center"/>
          </w:tcPr>
          <w:p>
            <w:pPr>
              <w:rPr>
                <w:rFonts w:eastAsia="仿宋_GB2312"/>
              </w:rPr>
            </w:pPr>
          </w:p>
        </w:tc>
        <w:tc>
          <w:tcPr>
            <w:tcW w:w="1053" w:type="dxa"/>
            <w:tcBorders>
              <w:top w:val="nil"/>
              <w:left w:val="nil"/>
              <w:bottom w:val="nil"/>
              <w:right w:val="nil"/>
              <w:tl2br w:val="nil"/>
              <w:tr2bl w:val="nil"/>
            </w:tcBorders>
            <w:noWrap/>
            <w:vAlign w:val="center"/>
          </w:tcPr>
          <w:p>
            <w:pPr>
              <w:rPr>
                <w:rFonts w:eastAsia="仿宋_GB2312"/>
              </w:rPr>
            </w:pPr>
          </w:p>
        </w:tc>
      </w:tr>
      <w:tr>
        <w:tblPrEx>
          <w:tblCellMar>
            <w:top w:w="0" w:type="dxa"/>
            <w:left w:w="108" w:type="dxa"/>
            <w:bottom w:w="0" w:type="dxa"/>
            <w:right w:w="108" w:type="dxa"/>
          </w:tblCellMar>
        </w:tblPrEx>
        <w:trPr>
          <w:trHeight w:val="924"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170"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51190022T000006102625-巴中市政府一网协同OA办公平台建设</w:t>
            </w:r>
          </w:p>
        </w:tc>
      </w:tr>
      <w:tr>
        <w:tblPrEx>
          <w:tblCellMar>
            <w:top w:w="0" w:type="dxa"/>
            <w:left w:w="108" w:type="dxa"/>
            <w:bottom w:w="0" w:type="dxa"/>
            <w:right w:w="108" w:type="dxa"/>
          </w:tblCellMar>
        </w:tblPrEx>
        <w:trPr>
          <w:trHeight w:val="170"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c>
          <w:tcPr>
            <w:tcW w:w="2037" w:type="dxa"/>
            <w:gridSpan w:val="3"/>
            <w:tcBorders>
              <w:top w:val="nil"/>
              <w:left w:val="nil"/>
              <w:bottom w:val="nil"/>
              <w:right w:val="nil"/>
              <w:tl2br w:val="nil"/>
              <w:tr2bl w:val="nil"/>
            </w:tcBorders>
            <w:noWrap/>
            <w:vAlign w:val="center"/>
          </w:tcPr>
          <w:p>
            <w:pPr>
              <w:spacing w:line="240" w:lineRule="exact"/>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170"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全面整合市级单位的办公自动化系统，推进“一网协同”办公，有效对接省、县（区）协同办公平台，实现横向协同、纵向联通、“一网协同”办公</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szCs w:val="18"/>
              </w:rPr>
              <w:t>完成2000个点位的软件授权许可、新建设“领导活动”“一键归档”两项功能、数据迁移</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8"/>
              </w:rPr>
              <w:t>项目建设主要包括2000个点位的软件授权许可、新建设“领导活动”“一键归档”两项功能、数据迁移</w:t>
            </w:r>
          </w:p>
        </w:tc>
      </w:tr>
      <w:tr>
        <w:tblPrEx>
          <w:tblCellMar>
            <w:top w:w="0" w:type="dxa"/>
            <w:left w:w="108" w:type="dxa"/>
            <w:bottom w:w="0" w:type="dxa"/>
            <w:right w:w="108" w:type="dxa"/>
          </w:tblCellMar>
        </w:tblPrEx>
        <w:trPr>
          <w:trHeight w:val="170"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227.70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214.17</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94.06%</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预算执行率=预算执行数/调整后预算数</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227.70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214.17</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94.06%</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170"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restart"/>
            <w:tcBorders>
              <w:top w:val="single" w:color="000000" w:sz="6" w:space="0"/>
              <w:left w:val="single" w:color="000000" w:sz="6" w:space="0"/>
              <w:bottom w:val="nil"/>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sz w:val="11"/>
                <w:szCs w:val="11"/>
              </w:rPr>
            </w:pPr>
            <w:r>
              <w:rPr>
                <w:rFonts w:eastAsia="仿宋_GB2312"/>
                <w:color w:val="000000"/>
                <w:sz w:val="11"/>
                <w:szCs w:val="11"/>
              </w:rPr>
              <w:t>2000个PC端和移动端授权</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2000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个</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2000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30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30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nil"/>
              <w:left w:val="single" w:color="000000" w:sz="6" w:space="0"/>
              <w:bottom w:val="nil"/>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sz w:val="11"/>
                <w:szCs w:val="11"/>
              </w:rPr>
            </w:pPr>
            <w:r>
              <w:rPr>
                <w:rFonts w:eastAsia="仿宋_GB2312"/>
                <w:color w:val="000000"/>
                <w:sz w:val="11"/>
                <w:szCs w:val="11"/>
              </w:rPr>
              <w:t>满足新增单位的实施、调研、培训工作</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实施功能完善</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完善</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nil"/>
              <w:left w:val="single" w:color="000000" w:sz="6" w:space="0"/>
              <w:bottom w:val="nil"/>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时效指标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hint="eastAsia" w:eastAsia="仿宋_GB2312"/>
                <w:color w:val="000000"/>
                <w:sz w:val="18"/>
              </w:rPr>
              <w:t>长期</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长期</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1</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vMerge w:val="continue"/>
            <w:tcBorders>
              <w:top w:val="nil"/>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rPr>
              <w:t>项目成本</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227.7</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214.17</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right="-76"/>
              <w:rPr>
                <w:rFonts w:eastAsia="仿宋_GB2312"/>
              </w:rPr>
            </w:pPr>
            <w:r>
              <w:rPr>
                <w:rFonts w:hint="eastAsia" w:eastAsia="仿宋_GB2312"/>
              </w:rPr>
              <w:t>按合同约定支付</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社会效益指标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加快公文、事项流转时间，提高工作效率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hint="default" w:eastAsia="仿宋_GB2312"/>
                <w:lang w:val="en-US" w:eastAsia="zh-CN"/>
              </w:rPr>
            </w:pPr>
            <w:r>
              <w:rPr>
                <w:rFonts w:hint="eastAsia" w:eastAsia="仿宋_GB2312"/>
                <w:color w:val="000000"/>
                <w:sz w:val="18"/>
                <w:lang w:val="en-US" w:eastAsia="zh-CN"/>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hint="default" w:eastAsia="仿宋_GB2312"/>
                <w:lang w:val="en-US" w:eastAsia="zh-CN"/>
              </w:rPr>
            </w:pPr>
            <w:r>
              <w:rPr>
                <w:rFonts w:hint="eastAsia" w:eastAsia="仿宋_GB2312"/>
                <w:color w:val="000000"/>
                <w:sz w:val="18"/>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hint="eastAsia" w:eastAsia="仿宋_GB2312"/>
                <w:color w:val="000000"/>
                <w:sz w:val="18"/>
              </w:rPr>
              <w:t>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各部门满意度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hint="default" w:eastAsia="仿宋_GB2312"/>
                <w:lang w:val="en-US" w:eastAsia="zh-CN"/>
              </w:rPr>
            </w:pPr>
            <w:r>
              <w:rPr>
                <w:rFonts w:hint="eastAsia" w:eastAsia="仿宋_GB2312"/>
                <w:color w:val="000000"/>
                <w:sz w:val="18"/>
                <w:lang w:val="en-US" w:eastAsia="zh-CN"/>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hint="default" w:eastAsia="仿宋_GB2312"/>
                <w:lang w:val="en-US" w:eastAsia="zh-CN"/>
              </w:rPr>
            </w:pPr>
            <w:r>
              <w:rPr>
                <w:rFonts w:hint="eastAsia" w:eastAsia="仿宋_GB2312"/>
                <w:color w:val="000000"/>
                <w:sz w:val="18"/>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r>
              <w:rPr>
                <w:rFonts w:hint="eastAsia" w:eastAsia="仿宋_GB2312"/>
                <w:color w:val="000000"/>
                <w:sz w:val="18"/>
              </w:rPr>
              <w:t>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right="-76"/>
              <w:jc w:val="center"/>
              <w:rPr>
                <w:rFonts w:eastAsia="仿宋_GB2312"/>
              </w:rPr>
            </w:pPr>
          </w:p>
        </w:tc>
      </w:tr>
      <w:tr>
        <w:tblPrEx>
          <w:tblCellMar>
            <w:top w:w="0" w:type="dxa"/>
            <w:left w:w="108" w:type="dxa"/>
            <w:bottom w:w="0" w:type="dxa"/>
            <w:right w:w="108" w:type="dxa"/>
          </w:tblCellMar>
        </w:tblPrEx>
        <w:trPr>
          <w:trHeight w:val="170"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right"/>
              <w:rPr>
                <w:rFonts w:eastAsia="仿宋_GB2312"/>
              </w:rPr>
            </w:pPr>
            <w:r>
              <w:rPr>
                <w:rFonts w:hint="eastAsia" w:eastAsia="仿宋_GB2312"/>
                <w:color w:val="000000"/>
                <w:sz w:val="18"/>
              </w:rPr>
              <w:t>98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rPr>
                <w:rFonts w:eastAsia="仿宋_GB2312"/>
              </w:rPr>
            </w:pPr>
          </w:p>
        </w:tc>
      </w:tr>
      <w:tr>
        <w:tblPrEx>
          <w:tblCellMar>
            <w:top w:w="0" w:type="dxa"/>
            <w:left w:w="108" w:type="dxa"/>
            <w:bottom w:w="0" w:type="dxa"/>
            <w:right w:w="108" w:type="dxa"/>
          </w:tblCellMar>
        </w:tblPrEx>
        <w:trPr>
          <w:trHeight w:val="117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评价结论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szCs w:val="16"/>
              </w:rPr>
              <w:t>自评得分</w:t>
            </w:r>
            <w:r>
              <w:rPr>
                <w:rFonts w:hint="eastAsia" w:eastAsia="仿宋_GB2312"/>
                <w:color w:val="000000"/>
                <w:sz w:val="16"/>
                <w:szCs w:val="16"/>
              </w:rPr>
              <w:t>98</w:t>
            </w:r>
            <w:r>
              <w:rPr>
                <w:rFonts w:eastAsia="仿宋_GB2312"/>
                <w:color w:val="000000"/>
                <w:sz w:val="16"/>
                <w:szCs w:val="16"/>
              </w:rPr>
              <w:t>分</w:t>
            </w:r>
            <w:r>
              <w:rPr>
                <w:rFonts w:hint="eastAsia" w:eastAsia="仿宋_GB2312"/>
                <w:color w:val="000000"/>
                <w:sz w:val="16"/>
                <w:szCs w:val="16"/>
              </w:rPr>
              <w:t>。</w:t>
            </w:r>
            <w:r>
              <w:rPr>
                <w:rFonts w:eastAsia="仿宋_GB2312"/>
                <w:color w:val="000000"/>
                <w:sz w:val="16"/>
                <w:szCs w:val="16"/>
              </w:rPr>
              <w:t>一是大幅提高办公效率。市级单位“一网协同”办公，增加了协同办公覆盖面和信息通达度，提高了办公效率；二是大幅降低财政支出。降低运维成本，更有利于推进无纸化办公和无纸化会议，进一步降低</w:t>
            </w:r>
            <w:r>
              <w:rPr>
                <w:rFonts w:hint="eastAsia" w:eastAsia="仿宋_GB2312"/>
                <w:color w:val="000000"/>
                <w:sz w:val="16"/>
                <w:szCs w:val="16"/>
              </w:rPr>
              <w:t>行政</w:t>
            </w:r>
            <w:r>
              <w:rPr>
                <w:rFonts w:eastAsia="仿宋_GB2312"/>
                <w:color w:val="000000"/>
                <w:sz w:val="16"/>
                <w:szCs w:val="16"/>
              </w:rPr>
              <w:t>运行成本；三是大幅提高运维效率和安全。按照“统一规划、统一标准”的建设思路，解决了以前市级单位办公自动化系统建设模式不一、数据共享难、数据安全隐患</w:t>
            </w:r>
            <w:r>
              <w:rPr>
                <w:rFonts w:hint="eastAsia" w:eastAsia="仿宋_GB2312"/>
                <w:color w:val="000000"/>
                <w:sz w:val="16"/>
                <w:szCs w:val="16"/>
              </w:rPr>
              <w:t>大</w:t>
            </w:r>
            <w:r>
              <w:rPr>
                <w:rFonts w:eastAsia="仿宋_GB2312"/>
                <w:color w:val="000000"/>
                <w:sz w:val="16"/>
                <w:szCs w:val="16"/>
              </w:rPr>
              <w:t>等问题，大幅提高了运维效率和安全</w:t>
            </w:r>
            <w:r>
              <w:rPr>
                <w:rFonts w:hint="eastAsia" w:eastAsia="仿宋_GB2312"/>
                <w:color w:val="000000"/>
                <w:sz w:val="16"/>
                <w:szCs w:val="16"/>
              </w:rPr>
              <w:t>。</w:t>
            </w:r>
          </w:p>
        </w:tc>
      </w:tr>
      <w:tr>
        <w:tblPrEx>
          <w:tblCellMar>
            <w:top w:w="0" w:type="dxa"/>
            <w:left w:w="108" w:type="dxa"/>
            <w:bottom w:w="0" w:type="dxa"/>
            <w:right w:w="108" w:type="dxa"/>
          </w:tblCellMar>
        </w:tblPrEx>
        <w:trPr>
          <w:trHeight w:val="75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存在问题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rPr>
              <w:t>系统功能还不完善；稳定性和兼容性存在一定的问题</w:t>
            </w:r>
            <w:r>
              <w:rPr>
                <w:rFonts w:hint="eastAsia" w:eastAsia="仿宋_GB2312"/>
                <w:color w:val="000000"/>
                <w:sz w:val="16"/>
              </w:rPr>
              <w:t>。</w:t>
            </w:r>
          </w:p>
        </w:tc>
      </w:tr>
      <w:tr>
        <w:tblPrEx>
          <w:tblCellMar>
            <w:top w:w="0" w:type="dxa"/>
            <w:left w:w="108" w:type="dxa"/>
            <w:bottom w:w="0" w:type="dxa"/>
            <w:right w:w="108" w:type="dxa"/>
          </w:tblCellMar>
        </w:tblPrEx>
        <w:trPr>
          <w:trHeight w:val="84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改进措施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left"/>
              <w:rPr>
                <w:rFonts w:eastAsia="仿宋_GB2312"/>
              </w:rPr>
            </w:pPr>
            <w:r>
              <w:rPr>
                <w:rFonts w:eastAsia="仿宋_GB2312"/>
                <w:color w:val="000000"/>
                <w:sz w:val="16"/>
              </w:rPr>
              <w:t>加大对日常工作的调研，进一步完善系统功能。优化协同办公系统后台，</w:t>
            </w:r>
            <w:r>
              <w:rPr>
                <w:rFonts w:hint="eastAsia" w:eastAsia="仿宋_GB2312"/>
                <w:color w:val="000000"/>
                <w:sz w:val="16"/>
                <w:lang w:eastAsia="zh-CN"/>
              </w:rPr>
              <w:t>有</w:t>
            </w:r>
            <w:r>
              <w:rPr>
                <w:rFonts w:eastAsia="仿宋_GB2312"/>
                <w:color w:val="000000"/>
                <w:sz w:val="16"/>
              </w:rPr>
              <w:t>针对性</w:t>
            </w:r>
            <w:r>
              <w:rPr>
                <w:rFonts w:hint="eastAsia" w:eastAsia="仿宋_GB2312"/>
                <w:color w:val="000000"/>
                <w:sz w:val="16"/>
              </w:rPr>
              <w:t>地</w:t>
            </w:r>
            <w:r>
              <w:rPr>
                <w:rFonts w:eastAsia="仿宋_GB2312"/>
                <w:color w:val="000000"/>
                <w:sz w:val="16"/>
              </w:rPr>
              <w:t>增加稳定性和兼容性</w:t>
            </w:r>
            <w:r>
              <w:rPr>
                <w:rFonts w:hint="eastAsia" w:eastAsia="仿宋_GB2312"/>
                <w:color w:val="000000"/>
                <w:sz w:val="16"/>
              </w:rPr>
              <w:t>。</w:t>
            </w:r>
          </w:p>
        </w:tc>
      </w:tr>
      <w:tr>
        <w:tblPrEx>
          <w:tblCellMar>
            <w:top w:w="0" w:type="dxa"/>
            <w:left w:w="108" w:type="dxa"/>
            <w:bottom w:w="0" w:type="dxa"/>
            <w:right w:w="108" w:type="dxa"/>
          </w:tblCellMar>
        </w:tblPrEx>
        <w:trPr>
          <w:trHeight w:val="170"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项目负责人：吴弘</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jc w:val="center"/>
              <w:rPr>
                <w:rFonts w:eastAsia="仿宋_GB2312"/>
              </w:rPr>
            </w:pPr>
            <w:r>
              <w:rPr>
                <w:rFonts w:eastAsia="仿宋_GB2312"/>
                <w:color w:val="000000"/>
                <w:sz w:val="18"/>
              </w:rPr>
              <w:t>财务负责人：王兴全</w:t>
            </w:r>
          </w:p>
        </w:tc>
      </w:tr>
      <w:tr>
        <w:tblPrEx>
          <w:tblCellMar>
            <w:top w:w="0" w:type="dxa"/>
            <w:left w:w="108" w:type="dxa"/>
            <w:bottom w:w="0" w:type="dxa"/>
            <w:right w:w="108" w:type="dxa"/>
          </w:tblCellMar>
        </w:tblPrEx>
        <w:trPr>
          <w:trHeight w:val="851" w:hRule="atLeast"/>
        </w:trPr>
        <w:tc>
          <w:tcPr>
            <w:tcW w:w="9434" w:type="dxa"/>
            <w:gridSpan w:val="1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eastAsia="仿宋_GB2312"/>
              </w:rPr>
            </w:pPr>
            <w:r>
              <w:rPr>
                <w:rFonts w:eastAsia="仿宋_GB2312"/>
                <w:b/>
                <w:color w:val="000000"/>
                <w:sz w:val="30"/>
              </w:rPr>
              <w:t>部门预算项目支出绩效自评表（2022年度）</w:t>
            </w:r>
          </w:p>
        </w:tc>
      </w:tr>
      <w:tr>
        <w:tblPrEx>
          <w:tblCellMar>
            <w:top w:w="0" w:type="dxa"/>
            <w:left w:w="108" w:type="dxa"/>
            <w:bottom w:w="0" w:type="dxa"/>
            <w:right w:w="108" w:type="dxa"/>
          </w:tblCellMar>
        </w:tblPrEx>
        <w:trPr>
          <w:trHeight w:val="170"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项目名称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51190023T000008489284-工作经费</w:t>
            </w:r>
          </w:p>
        </w:tc>
      </w:tr>
      <w:tr>
        <w:tblPrEx>
          <w:tblCellMar>
            <w:top w:w="0" w:type="dxa"/>
            <w:left w:w="108" w:type="dxa"/>
            <w:bottom w:w="0" w:type="dxa"/>
            <w:right w:w="108" w:type="dxa"/>
          </w:tblCellMar>
        </w:tblPrEx>
        <w:trPr>
          <w:trHeight w:val="170" w:hRule="atLeast"/>
        </w:trPr>
        <w:tc>
          <w:tcPr>
            <w:tcW w:w="203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主管部门</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巴中市人民政府办公室部门</w:t>
            </w:r>
          </w:p>
        </w:tc>
        <w:tc>
          <w:tcPr>
            <w:tcW w:w="2037" w:type="dxa"/>
            <w:gridSpan w:val="3"/>
            <w:tcBorders>
              <w:top w:val="nil"/>
              <w:left w:val="nil"/>
              <w:bottom w:val="nil"/>
              <w:right w:val="nil"/>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实施单位 （盖章）</w:t>
            </w:r>
          </w:p>
        </w:tc>
        <w:tc>
          <w:tcPr>
            <w:tcW w:w="2229"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巴中市人民政府办公室</w:t>
            </w:r>
          </w:p>
        </w:tc>
      </w:tr>
      <w:tr>
        <w:tblPrEx>
          <w:tblCellMar>
            <w:top w:w="0" w:type="dxa"/>
            <w:left w:w="108" w:type="dxa"/>
            <w:bottom w:w="0" w:type="dxa"/>
            <w:right w:w="108" w:type="dxa"/>
          </w:tblCellMar>
        </w:tblPrEx>
        <w:trPr>
          <w:trHeight w:val="170"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项目基本情况</w:t>
            </w:r>
          </w:p>
        </w:tc>
        <w:tc>
          <w:tcPr>
            <w:tcW w:w="1347"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1.项目年度目标完成情况</w:t>
            </w: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项目年度目标</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年度目标完成情况</w:t>
            </w:r>
          </w:p>
        </w:tc>
      </w:tr>
      <w:tr>
        <w:tblPrEx>
          <w:tblCellMar>
            <w:top w:w="0" w:type="dxa"/>
            <w:left w:w="108" w:type="dxa"/>
            <w:bottom w:w="0" w:type="dxa"/>
            <w:right w:w="108" w:type="dxa"/>
          </w:tblCellMar>
        </w:tblPrEx>
        <w:trPr>
          <w:trHeight w:val="1905"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3132" w:type="dxa"/>
            <w:gridSpan w:val="4"/>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r>
              <w:rPr>
                <w:rFonts w:eastAsia="仿宋_GB2312"/>
                <w:color w:val="000000"/>
                <w:sz w:val="18"/>
              </w:rPr>
              <w:t>一是提高疫情防控应急处置能力，加强疫情防控物资保障，保障市疫情防控应急指挥部办公室常态化的疫情防控工作有序有效开展；二是高质量完成今年乡村振兴战略实绩考核工作，巩固脱贫成效；三是对标对表，补齐短板弱项，推动文明城市创建提质增效</w:t>
            </w:r>
          </w:p>
        </w:tc>
        <w:tc>
          <w:tcPr>
            <w:tcW w:w="4266"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r>
              <w:rPr>
                <w:rFonts w:eastAsia="仿宋_GB2312"/>
                <w:color w:val="000000"/>
                <w:sz w:val="18"/>
              </w:rPr>
              <w:t>一是抽派专人参与疫情防控前线指挥部工作，组织90余人（次）党员干部带头下沉一线开展疫情防控工作；二是全面兑现落实“1+34”配套政策，为3个联系帮扶社区（村）争取产业发展资金650万元，助推集体经济年增收入40万元，三是每周定期开展一次创文工作，常态化巩固创文成果</w:t>
            </w:r>
          </w:p>
        </w:tc>
      </w:tr>
      <w:tr>
        <w:tblPrEx>
          <w:tblCellMar>
            <w:top w:w="0" w:type="dxa"/>
            <w:left w:w="108" w:type="dxa"/>
            <w:bottom w:w="0" w:type="dxa"/>
            <w:right w:w="108" w:type="dxa"/>
          </w:tblCellMar>
        </w:tblPrEx>
        <w:trPr>
          <w:trHeight w:val="75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2.项目实施内容及过程概述</w:t>
            </w:r>
          </w:p>
        </w:tc>
        <w:tc>
          <w:tcPr>
            <w:tcW w:w="7398" w:type="dxa"/>
            <w:gridSpan w:val="10"/>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r>
              <w:rPr>
                <w:rFonts w:eastAsia="仿宋_GB2312"/>
                <w:color w:val="000000"/>
                <w:sz w:val="18"/>
              </w:rPr>
              <w:t>用于市政府办公室与市疫情防控应急指挥部办公室合署办公、乡村振兴考核、文明城市创建经费支出，在资金使用过程中，严格按照用途支付管理</w:t>
            </w:r>
          </w:p>
        </w:tc>
      </w:tr>
      <w:tr>
        <w:tblPrEx>
          <w:tblCellMar>
            <w:top w:w="0" w:type="dxa"/>
            <w:left w:w="108" w:type="dxa"/>
            <w:bottom w:w="0" w:type="dxa"/>
            <w:right w:w="108" w:type="dxa"/>
          </w:tblCellMar>
        </w:tblPrEx>
        <w:trPr>
          <w:trHeight w:val="170"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预算执行情况（10分）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年度预算数（万元）</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年初预算</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调整后预算数</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预算执行数</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预算执行率</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原因</w:t>
            </w:r>
          </w:p>
        </w:tc>
      </w:tr>
      <w:tr>
        <w:tblPrEx>
          <w:tblCellMar>
            <w:top w:w="0" w:type="dxa"/>
            <w:left w:w="108" w:type="dxa"/>
            <w:bottom w:w="0" w:type="dxa"/>
            <w:right w:w="108" w:type="dxa"/>
          </w:tblCellMar>
        </w:tblPrEx>
        <w:trPr>
          <w:trHeight w:val="39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总额</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31.50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31.50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10</w:t>
            </w:r>
          </w:p>
        </w:tc>
        <w:tc>
          <w:tcPr>
            <w:tcW w:w="1053"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r>
              <w:rPr>
                <w:rFonts w:eastAsia="仿宋_GB2312"/>
                <w:color w:val="000000"/>
                <w:sz w:val="18"/>
              </w:rPr>
              <w:t>1.预算执行率=预算执行数/调整后预算数;2.根据工作需要，年中追加工作经费</w:t>
            </w:r>
          </w:p>
        </w:tc>
      </w:tr>
      <w:tr>
        <w:tblPrEx>
          <w:tblCellMar>
            <w:top w:w="0" w:type="dxa"/>
            <w:left w:w="108" w:type="dxa"/>
            <w:bottom w:w="0" w:type="dxa"/>
            <w:right w:w="108" w:type="dxa"/>
          </w:tblCellMar>
        </w:tblPrEx>
        <w:trPr>
          <w:trHeight w:val="42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其中：财政资金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31.50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31.50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100.00%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财政专户管理资金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r>
      <w:tr>
        <w:tblPrEx>
          <w:tblCellMar>
            <w:top w:w="0" w:type="dxa"/>
            <w:left w:w="108" w:type="dxa"/>
            <w:bottom w:w="0" w:type="dxa"/>
            <w:right w:w="108" w:type="dxa"/>
          </w:tblCellMar>
        </w:tblPrEx>
        <w:trPr>
          <w:trHeight w:val="375"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单位资金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0.00%</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r>
      <w:tr>
        <w:tblPrEx>
          <w:tblCellMar>
            <w:top w:w="0" w:type="dxa"/>
            <w:left w:w="108" w:type="dxa"/>
            <w:bottom w:w="0" w:type="dxa"/>
            <w:right w:w="108" w:type="dxa"/>
          </w:tblCellMar>
        </w:tblPrEx>
        <w:trPr>
          <w:trHeight w:val="42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其他资金</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c>
          <w:tcPr>
            <w:tcW w:w="126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c>
          <w:tcPr>
            <w:tcW w:w="2037"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1053"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r>
      <w:tr>
        <w:tblPrEx>
          <w:tblCellMar>
            <w:top w:w="0" w:type="dxa"/>
            <w:left w:w="108" w:type="dxa"/>
            <w:bottom w:w="0" w:type="dxa"/>
            <w:right w:w="108" w:type="dxa"/>
          </w:tblCellMar>
        </w:tblPrEx>
        <w:trPr>
          <w:trHeight w:val="170" w:hRule="atLeast"/>
        </w:trPr>
        <w:tc>
          <w:tcPr>
            <w:tcW w:w="689" w:type="dxa"/>
            <w:vMerge w:val="restart"/>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绩效指标（90分）</w:t>
            </w: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一级指标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二级指标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三级指标</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指标性质</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指标值</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度量单位</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完成值</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权重</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得分</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未完成原因分析</w:t>
            </w: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vMerge w:val="restart"/>
            <w:tcBorders>
              <w:top w:val="single" w:color="000000" w:sz="6" w:space="0"/>
              <w:left w:val="single" w:color="000000" w:sz="6" w:space="0"/>
              <w:bottom w:val="nil"/>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产出指标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创文工作</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次</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每周至少一次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15</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15</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vMerge w:val="continue"/>
            <w:tcBorders>
              <w:top w:val="nil"/>
              <w:left w:val="single" w:color="000000" w:sz="6" w:space="0"/>
              <w:bottom w:val="nil"/>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数量指标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疫情防控</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20</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套</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20余套</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25</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25</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vMerge w:val="continue"/>
            <w:tcBorders>
              <w:top w:val="nil"/>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质量指标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创文、疫情、乡村振兴</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20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20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vMerge w:val="restart"/>
            <w:tcBorders>
              <w:top w:val="single" w:color="000000" w:sz="6" w:space="0"/>
              <w:left w:val="single" w:color="000000" w:sz="6" w:space="0"/>
              <w:bottom w:val="nil"/>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效益指标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经济效益指标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经济收入提高</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5</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5</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vMerge w:val="continue"/>
            <w:tcBorders>
              <w:top w:val="nil"/>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可持续影响指标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防控能力、城市影响力</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定性</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好坏</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好</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15</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hint="default" w:eastAsia="仿宋_GB2312"/>
                <w:lang w:val="en-US" w:eastAsia="zh-CN"/>
              </w:rPr>
            </w:pPr>
            <w:r>
              <w:rPr>
                <w:rFonts w:hint="eastAsia" w:eastAsia="仿宋_GB2312"/>
                <w:color w:val="000000"/>
                <w:sz w:val="18"/>
                <w:lang w:val="en-US" w:eastAsia="zh-CN"/>
              </w:rPr>
              <w:t>14</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成本指标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经济成本指标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项目成本</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35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万元</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31.5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10</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r>
      <w:tr>
        <w:tblPrEx>
          <w:tblCellMar>
            <w:top w:w="0" w:type="dxa"/>
            <w:left w:w="108" w:type="dxa"/>
            <w:bottom w:w="0" w:type="dxa"/>
            <w:right w:w="108" w:type="dxa"/>
          </w:tblCellMar>
        </w:tblPrEx>
        <w:trPr>
          <w:trHeight w:val="170" w:hRule="atLeast"/>
        </w:trPr>
        <w:tc>
          <w:tcPr>
            <w:tcW w:w="689" w:type="dxa"/>
            <w:vMerge w:val="continue"/>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c>
          <w:tcPr>
            <w:tcW w:w="1347"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满意度指标</w:t>
            </w:r>
          </w:p>
        </w:tc>
        <w:tc>
          <w:tcPr>
            <w:tcW w:w="76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服务对象满意度指标</w:t>
            </w:r>
          </w:p>
        </w:tc>
        <w:tc>
          <w:tcPr>
            <w:tcW w:w="1104"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社会公众或服务对象满意度</w:t>
            </w:r>
          </w:p>
        </w:tc>
        <w:tc>
          <w:tcPr>
            <w:tcW w:w="12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539"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95</w:t>
            </w:r>
          </w:p>
        </w:tc>
        <w:tc>
          <w:tcPr>
            <w:tcW w:w="5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w:t>
            </w:r>
          </w:p>
        </w:tc>
        <w:tc>
          <w:tcPr>
            <w:tcW w:w="965"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hint="default" w:eastAsia="仿宋_GB2312"/>
                <w:lang w:val="en-US" w:eastAsia="zh-CN"/>
              </w:rPr>
            </w:pPr>
            <w:r>
              <w:rPr>
                <w:rFonts w:hint="eastAsia" w:eastAsia="仿宋_GB2312"/>
                <w:color w:val="000000"/>
                <w:sz w:val="18"/>
                <w:lang w:val="en-US" w:eastAsia="zh-CN"/>
              </w:rPr>
              <w:t>95</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hint="eastAsia" w:eastAsia="仿宋_GB2312"/>
                <w:lang w:val="en-US" w:eastAsia="zh-CN"/>
              </w:rPr>
            </w:pPr>
            <w:r>
              <w:rPr>
                <w:rFonts w:hint="eastAsia" w:eastAsia="仿宋_GB2312"/>
                <w:lang w:val="en-US" w:eastAsia="zh-CN"/>
              </w:rPr>
              <w:t>9</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p>
        </w:tc>
      </w:tr>
      <w:tr>
        <w:tblPrEx>
          <w:tblCellMar>
            <w:top w:w="0" w:type="dxa"/>
            <w:left w:w="108" w:type="dxa"/>
            <w:bottom w:w="0" w:type="dxa"/>
            <w:right w:w="108" w:type="dxa"/>
          </w:tblCellMar>
        </w:tblPrEx>
        <w:trPr>
          <w:trHeight w:val="170" w:hRule="atLeast"/>
        </w:trPr>
        <w:tc>
          <w:tcPr>
            <w:tcW w:w="7205" w:type="dxa"/>
            <w:gridSpan w:val="9"/>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合计</w:t>
            </w:r>
          </w:p>
        </w:tc>
        <w:tc>
          <w:tcPr>
            <w:tcW w:w="576"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100</w:t>
            </w:r>
          </w:p>
        </w:tc>
        <w:tc>
          <w:tcPr>
            <w:tcW w:w="600"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hint="default" w:eastAsia="仿宋_GB2312"/>
                <w:lang w:val="en-US" w:eastAsia="zh-CN"/>
              </w:rPr>
            </w:pPr>
            <w:r>
              <w:rPr>
                <w:rFonts w:hint="eastAsia" w:eastAsia="仿宋_GB2312"/>
                <w:color w:val="000000"/>
                <w:sz w:val="18"/>
                <w:lang w:val="en-US" w:eastAsia="zh-CN"/>
              </w:rPr>
              <w:t>98</w:t>
            </w:r>
          </w:p>
        </w:tc>
        <w:tc>
          <w:tcPr>
            <w:tcW w:w="1053"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rPr>
                <w:rFonts w:eastAsia="仿宋_GB2312"/>
              </w:rPr>
            </w:pP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评价结论</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left"/>
              <w:rPr>
                <w:rFonts w:eastAsia="仿宋_GB2312"/>
              </w:rPr>
            </w:pPr>
            <w:r>
              <w:rPr>
                <w:rFonts w:eastAsia="仿宋_GB2312"/>
                <w:color w:val="000000"/>
                <w:sz w:val="18"/>
                <w:szCs w:val="18"/>
              </w:rPr>
              <w:t>资金运用准确、进度计划有序、绩效目标明确，绩效自评结果良好，自评得分9</w:t>
            </w:r>
            <w:r>
              <w:rPr>
                <w:rFonts w:hint="eastAsia" w:eastAsia="仿宋_GB2312"/>
                <w:color w:val="000000"/>
                <w:sz w:val="18"/>
                <w:szCs w:val="18"/>
                <w:lang w:val="en-US" w:eastAsia="zh-CN"/>
              </w:rPr>
              <w:t>8</w:t>
            </w:r>
            <w:r>
              <w:rPr>
                <w:rFonts w:eastAsia="仿宋_GB2312"/>
                <w:color w:val="000000"/>
                <w:sz w:val="18"/>
                <w:szCs w:val="18"/>
              </w:rPr>
              <w:t>分</w:t>
            </w:r>
            <w:r>
              <w:rPr>
                <w:rFonts w:hint="eastAsia" w:eastAsia="仿宋_GB2312"/>
                <w:color w:val="000000"/>
                <w:sz w:val="18"/>
                <w:szCs w:val="18"/>
              </w:rPr>
              <w:t>。</w:t>
            </w: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存在问题</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left"/>
              <w:rPr>
                <w:rFonts w:eastAsia="仿宋_GB2312"/>
              </w:rPr>
            </w:pPr>
            <w:r>
              <w:rPr>
                <w:rFonts w:eastAsia="仿宋_GB2312"/>
                <w:color w:val="000000"/>
                <w:sz w:val="18"/>
                <w:szCs w:val="18"/>
              </w:rPr>
              <w:t>无</w:t>
            </w:r>
          </w:p>
        </w:tc>
      </w:tr>
      <w:tr>
        <w:tblPrEx>
          <w:tblCellMar>
            <w:top w:w="0" w:type="dxa"/>
            <w:left w:w="108" w:type="dxa"/>
            <w:bottom w:w="0" w:type="dxa"/>
            <w:right w:w="108" w:type="dxa"/>
          </w:tblCellMar>
        </w:tblPrEx>
        <w:trPr>
          <w:trHeight w:val="170" w:hRule="atLeast"/>
        </w:trPr>
        <w:tc>
          <w:tcPr>
            <w:tcW w:w="689" w:type="dxa"/>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改进措施</w:t>
            </w:r>
          </w:p>
        </w:tc>
        <w:tc>
          <w:tcPr>
            <w:tcW w:w="8745" w:type="dxa"/>
            <w:gridSpan w:val="11"/>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left"/>
              <w:rPr>
                <w:rFonts w:eastAsia="仿宋_GB2312"/>
              </w:rPr>
            </w:pPr>
            <w:r>
              <w:rPr>
                <w:rFonts w:eastAsia="仿宋_GB2312"/>
                <w:color w:val="000000"/>
                <w:sz w:val="18"/>
                <w:szCs w:val="18"/>
              </w:rPr>
              <w:t>继续做好乡村振兴、文明城市创建工作</w:t>
            </w:r>
            <w:r>
              <w:rPr>
                <w:rFonts w:hint="eastAsia" w:eastAsia="仿宋_GB2312"/>
                <w:color w:val="000000"/>
                <w:sz w:val="18"/>
                <w:szCs w:val="18"/>
              </w:rPr>
              <w:t>。</w:t>
            </w:r>
          </w:p>
        </w:tc>
      </w:tr>
      <w:tr>
        <w:tblPrEx>
          <w:tblCellMar>
            <w:top w:w="0" w:type="dxa"/>
            <w:left w:w="108" w:type="dxa"/>
            <w:bottom w:w="0" w:type="dxa"/>
            <w:right w:w="108" w:type="dxa"/>
          </w:tblCellMar>
        </w:tblPrEx>
        <w:trPr>
          <w:trHeight w:val="170" w:hRule="atLeast"/>
        </w:trPr>
        <w:tc>
          <w:tcPr>
            <w:tcW w:w="5161" w:type="dxa"/>
            <w:gridSpan w:val="5"/>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项目负责人：王平</w:t>
            </w:r>
          </w:p>
        </w:tc>
        <w:tc>
          <w:tcPr>
            <w:tcW w:w="4273"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spacing w:line="240" w:lineRule="exact"/>
              <w:ind w:left="-97" w:leftChars="-46" w:right="-111" w:rightChars="-53"/>
              <w:jc w:val="center"/>
              <w:rPr>
                <w:rFonts w:eastAsia="仿宋_GB2312"/>
              </w:rPr>
            </w:pPr>
            <w:r>
              <w:rPr>
                <w:rFonts w:eastAsia="仿宋_GB2312"/>
                <w:color w:val="000000"/>
                <w:sz w:val="18"/>
              </w:rPr>
              <w:t>财务负责人：</w:t>
            </w:r>
            <w:r>
              <w:rPr>
                <w:rFonts w:hint="eastAsia" w:eastAsia="仿宋_GB2312"/>
                <w:color w:val="000000"/>
                <w:sz w:val="18"/>
              </w:rPr>
              <w:t>王兴全</w:t>
            </w:r>
          </w:p>
        </w:tc>
      </w:tr>
    </w:tbl>
    <w:p>
      <w:pPr>
        <w:rPr>
          <w:rFonts w:eastAsia="仿宋_GB2312"/>
          <w:kern w:val="0"/>
          <w:sz w:val="30"/>
        </w:rPr>
      </w:pPr>
      <w:bookmarkStart w:id="87" w:name="_Toc22884"/>
      <w:bookmarkStart w:id="88" w:name="_Toc15396618"/>
      <w:r>
        <w:br w:type="page"/>
      </w:r>
    </w:p>
    <w:p>
      <w:pPr>
        <w:spacing w:line="600" w:lineRule="exact"/>
        <w:jc w:val="left"/>
        <w:outlineLvl w:val="0"/>
        <w:rPr>
          <w:rFonts w:ascii="黑体" w:hAnsi="黑体" w:eastAsia="黑体"/>
          <w:sz w:val="32"/>
          <w:szCs w:val="32"/>
        </w:rPr>
      </w:pPr>
      <w:r>
        <w:rPr>
          <w:rFonts w:ascii="黑体" w:hAnsi="黑体" w:eastAsia="黑体"/>
          <w:sz w:val="32"/>
          <w:szCs w:val="32"/>
        </w:rPr>
        <w:t>附件2</w:t>
      </w:r>
    </w:p>
    <w:p>
      <w:pPr>
        <w:pStyle w:val="28"/>
        <w:spacing w:line="560" w:lineRule="exact"/>
        <w:jc w:val="center"/>
        <w:rPr>
          <w:rFonts w:ascii="方正小标宋简体" w:hAnsi="Times New Roman" w:eastAsia="方正小标宋简体"/>
          <w:b/>
          <w:color w:val="auto"/>
          <w:sz w:val="44"/>
          <w:szCs w:val="44"/>
        </w:rPr>
      </w:pPr>
      <w:r>
        <w:rPr>
          <w:rFonts w:hint="eastAsia" w:ascii="方正小标宋简体" w:hAnsi="Times New Roman" w:eastAsia="方正小标宋简体"/>
          <w:b/>
          <w:color w:val="auto"/>
          <w:kern w:val="2"/>
          <w:sz w:val="44"/>
          <w:szCs w:val="44"/>
          <w:lang w:val="en-US"/>
        </w:rPr>
        <w:t>2022年巴中市</w:t>
      </w:r>
      <w:r>
        <w:rPr>
          <w:rFonts w:hint="eastAsia" w:ascii="方正小标宋简体" w:hAnsi="Times New Roman" w:eastAsia="方正小标宋简体"/>
          <w:b/>
          <w:color w:val="auto"/>
          <w:sz w:val="44"/>
          <w:szCs w:val="44"/>
        </w:rPr>
        <w:t>市级单位办公自动化系统</w:t>
      </w:r>
    </w:p>
    <w:p>
      <w:pPr>
        <w:pStyle w:val="28"/>
        <w:spacing w:line="560" w:lineRule="exact"/>
        <w:jc w:val="center"/>
        <w:rPr>
          <w:rFonts w:ascii="方正小标宋简体" w:hAnsi="Times New Roman" w:eastAsia="方正小标宋简体"/>
          <w:b/>
          <w:color w:val="auto"/>
          <w:kern w:val="2"/>
          <w:sz w:val="44"/>
          <w:szCs w:val="44"/>
          <w:lang w:val="en-US"/>
        </w:rPr>
      </w:pPr>
      <w:r>
        <w:rPr>
          <w:rFonts w:hint="eastAsia" w:ascii="方正小标宋简体" w:hAnsi="Times New Roman" w:eastAsia="方正小标宋简体"/>
          <w:b/>
          <w:color w:val="auto"/>
          <w:sz w:val="44"/>
          <w:szCs w:val="44"/>
        </w:rPr>
        <w:t>“一网协同”一期</w:t>
      </w:r>
      <w:r>
        <w:rPr>
          <w:rFonts w:hint="eastAsia" w:ascii="方正小标宋简体" w:hAnsi="Times New Roman" w:eastAsia="方正小标宋简体"/>
          <w:b/>
          <w:color w:val="auto"/>
          <w:kern w:val="2"/>
          <w:sz w:val="44"/>
          <w:szCs w:val="44"/>
          <w:lang w:val="en-US"/>
        </w:rPr>
        <w:t>建设项目绩效自评报告</w:t>
      </w:r>
    </w:p>
    <w:p>
      <w:pPr>
        <w:pStyle w:val="28"/>
        <w:spacing w:line="560" w:lineRule="exact"/>
        <w:ind w:firstLine="640"/>
        <w:jc w:val="center"/>
        <w:rPr>
          <w:rFonts w:ascii="Times New Roman" w:hAnsi="Times New Roman" w:eastAsia="仿宋_GB2312"/>
          <w:color w:val="auto"/>
          <w:kern w:val="2"/>
          <w:sz w:val="32"/>
          <w:szCs w:val="32"/>
        </w:rPr>
      </w:pPr>
    </w:p>
    <w:p>
      <w:pPr>
        <w:adjustRightInd w:val="0"/>
        <w:snapToGrid w:val="0"/>
        <w:spacing w:line="560" w:lineRule="exact"/>
        <w:ind w:firstLine="720"/>
        <w:outlineLvl w:val="1"/>
        <w:rPr>
          <w:rFonts w:ascii="黑体" w:hAnsi="黑体" w:eastAsia="黑体"/>
          <w:sz w:val="32"/>
          <w:szCs w:val="32"/>
          <w:lang w:val="zh-CN"/>
        </w:rPr>
      </w:pPr>
      <w:bookmarkStart w:id="89" w:name="_Toc9143"/>
      <w:r>
        <w:rPr>
          <w:rFonts w:ascii="黑体" w:hAnsi="黑体" w:eastAsia="黑体"/>
          <w:sz w:val="32"/>
          <w:szCs w:val="32"/>
        </w:rPr>
        <w:t>一、</w:t>
      </w:r>
      <w:r>
        <w:rPr>
          <w:rFonts w:ascii="黑体" w:hAnsi="黑体" w:eastAsia="黑体"/>
          <w:sz w:val="32"/>
          <w:szCs w:val="32"/>
          <w:lang w:val="zh-CN"/>
        </w:rPr>
        <w:t>项目概况</w:t>
      </w:r>
      <w:bookmarkEnd w:id="89"/>
    </w:p>
    <w:p>
      <w:pPr>
        <w:adjustRightInd w:val="0"/>
        <w:snapToGrid w:val="0"/>
        <w:spacing w:line="560" w:lineRule="exact"/>
        <w:ind w:firstLine="720"/>
        <w:rPr>
          <w:rFonts w:ascii="楷体_GB2312" w:eastAsia="楷体_GB2312"/>
          <w:b/>
          <w:sz w:val="32"/>
          <w:szCs w:val="32"/>
          <w:lang w:val="zh-CN"/>
        </w:rPr>
      </w:pPr>
      <w:r>
        <w:rPr>
          <w:rFonts w:ascii="楷体_GB2312" w:eastAsia="楷体_GB2312"/>
          <w:b/>
          <w:sz w:val="32"/>
          <w:szCs w:val="32"/>
          <w:lang w:val="zh-CN"/>
        </w:rPr>
        <w:t>（一）项目基本情况</w:t>
      </w:r>
    </w:p>
    <w:p>
      <w:pPr>
        <w:tabs>
          <w:tab w:val="left" w:pos="658"/>
        </w:tabs>
        <w:spacing w:line="560" w:lineRule="exact"/>
        <w:ind w:firstLine="665" w:firstLineChars="208"/>
        <w:rPr>
          <w:rFonts w:eastAsia="仿宋_GB2312"/>
          <w:sz w:val="32"/>
          <w:szCs w:val="32"/>
        </w:rPr>
      </w:pPr>
      <w:r>
        <w:rPr>
          <w:rFonts w:eastAsia="仿宋_GB2312"/>
          <w:sz w:val="32"/>
          <w:szCs w:val="32"/>
        </w:rPr>
        <w:t>为贯彻落实省政府信息化建设工作要求、完成市党政代表团赴信阳市学习考察工作建议办理清单有关任务及信创适配改造目标任务，根据四届市政府第215次常务会议安排部署，由市政府办公室牵头负责市级单位办公自动化系统（OA系统）“一网协同”项目建设，分两期进行。2022年，市级单位办公自动化系统（OA系统）“一网协同”一期，将未使用OA系统的15个单位、已使用但需增加点位的7个单位、须完成信创适配改造的7个自建系统单位、租用系统到期的13个单位，共计42个单位需求的2000个点位纳入一期建设，并在原系统基础上新增“领导活动”“一键归档”两项功能。</w:t>
      </w:r>
    </w:p>
    <w:p>
      <w:pPr>
        <w:tabs>
          <w:tab w:val="left" w:pos="658"/>
        </w:tabs>
        <w:spacing w:line="560" w:lineRule="exact"/>
        <w:ind w:firstLine="665" w:firstLineChars="208"/>
        <w:rPr>
          <w:rFonts w:eastAsia="仿宋_GB2312"/>
          <w:sz w:val="32"/>
          <w:szCs w:val="32"/>
        </w:rPr>
      </w:pPr>
      <w:r>
        <w:rPr>
          <w:rFonts w:eastAsia="仿宋_GB2312"/>
          <w:sz w:val="32"/>
          <w:szCs w:val="32"/>
          <w:lang w:val="zh-CN"/>
        </w:rPr>
        <w:t>市政府办公室</w:t>
      </w:r>
      <w:r>
        <w:rPr>
          <w:rFonts w:eastAsia="仿宋_GB2312"/>
          <w:sz w:val="32"/>
          <w:szCs w:val="32"/>
        </w:rPr>
        <w:t>严格执行政府采购法律法规相关规定，</w:t>
      </w:r>
      <w:r>
        <w:rPr>
          <w:rFonts w:eastAsia="仿宋_GB2312"/>
          <w:sz w:val="32"/>
          <w:szCs w:val="32"/>
          <w:lang w:val="zh-CN"/>
        </w:rPr>
        <w:t>按照国家信息化项目建设的相关要求及本项目</w:t>
      </w:r>
      <w:r>
        <w:rPr>
          <w:rFonts w:eastAsia="仿宋_GB2312"/>
          <w:sz w:val="32"/>
          <w:szCs w:val="32"/>
        </w:rPr>
        <w:t>招投标文件具体要求，坚持专款专用，秉持公开、公正的原则，有序有力有效推进市级单位办公自动化系统（OA系统）“一网协同”一期建设。该项目于2022年7月通过专家组验收合格。</w:t>
      </w:r>
    </w:p>
    <w:p>
      <w:pPr>
        <w:adjustRightInd w:val="0"/>
        <w:snapToGrid w:val="0"/>
        <w:spacing w:line="560" w:lineRule="exact"/>
        <w:ind w:firstLine="720"/>
        <w:rPr>
          <w:rFonts w:ascii="楷体_GB2312" w:eastAsia="楷体_GB2312"/>
          <w:b/>
          <w:sz w:val="32"/>
          <w:szCs w:val="32"/>
          <w:lang w:val="zh-CN"/>
        </w:rPr>
      </w:pPr>
      <w:r>
        <w:rPr>
          <w:rFonts w:ascii="楷体_GB2312" w:eastAsia="楷体_GB2312"/>
          <w:b/>
          <w:sz w:val="32"/>
          <w:szCs w:val="32"/>
          <w:lang w:val="zh-CN"/>
        </w:rPr>
        <w:t>（二）项目绩效目标</w:t>
      </w:r>
    </w:p>
    <w:p>
      <w:pPr>
        <w:tabs>
          <w:tab w:val="left" w:pos="658"/>
        </w:tabs>
        <w:spacing w:line="560" w:lineRule="exact"/>
        <w:ind w:firstLine="665" w:firstLineChars="208"/>
        <w:rPr>
          <w:rFonts w:eastAsia="仿宋_GB2312"/>
          <w:sz w:val="32"/>
          <w:szCs w:val="32"/>
        </w:rPr>
      </w:pPr>
      <w:r>
        <w:rPr>
          <w:rFonts w:eastAsia="仿宋_GB2312"/>
          <w:sz w:val="32"/>
          <w:szCs w:val="32"/>
        </w:rPr>
        <w:t>2021年7月，市政府办公室专题调研全市72个市级单位OA系统建设、运维、使用情况，随后组织人员赴广元、遂宁、广安等市考察学习。针对市级单位OA系统存在的问题，结合调研、考察情况，</w:t>
      </w:r>
      <w:r>
        <w:rPr>
          <w:rFonts w:hint="eastAsia" w:eastAsia="仿宋_GB2312"/>
          <w:sz w:val="32"/>
          <w:szCs w:val="32"/>
          <w:lang w:eastAsia="zh-CN"/>
        </w:rPr>
        <w:t>制定了</w:t>
      </w:r>
      <w:r>
        <w:rPr>
          <w:rFonts w:eastAsia="仿宋_GB2312"/>
          <w:sz w:val="32"/>
          <w:szCs w:val="32"/>
        </w:rPr>
        <w:t>《市级单位办公自动化系统“一网协同”实施方案》。项目建设主要包括2000个点位的软件授权许可、新建“领导活动”“一键归档”两项功能、数据迁移。主要目标是全面整合市级单位的办公自动化系统，推进“一网协同”办公，有效对接省、县（区）协同办公平台，实现横向协同、纵向联通、“一网协同”办公。</w:t>
      </w:r>
    </w:p>
    <w:p>
      <w:pPr>
        <w:adjustRightInd w:val="0"/>
        <w:snapToGrid w:val="0"/>
        <w:spacing w:line="560" w:lineRule="exact"/>
        <w:ind w:firstLine="720"/>
        <w:outlineLvl w:val="1"/>
        <w:rPr>
          <w:rFonts w:ascii="黑体" w:hAnsi="黑体" w:eastAsia="黑体"/>
          <w:sz w:val="32"/>
          <w:szCs w:val="32"/>
          <w:lang w:val="zh-CN"/>
        </w:rPr>
      </w:pPr>
      <w:bookmarkStart w:id="90" w:name="_Toc23972"/>
      <w:r>
        <w:rPr>
          <w:rFonts w:ascii="黑体" w:hAnsi="黑体" w:eastAsia="黑体"/>
          <w:sz w:val="32"/>
          <w:szCs w:val="32"/>
          <w:lang w:val="zh-CN"/>
        </w:rPr>
        <w:t>二、项目资金申报及使用情况</w:t>
      </w:r>
      <w:bookmarkEnd w:id="90"/>
    </w:p>
    <w:p>
      <w:pPr>
        <w:adjustRightInd w:val="0"/>
        <w:snapToGrid w:val="0"/>
        <w:spacing w:line="560" w:lineRule="exact"/>
        <w:ind w:firstLine="720"/>
        <w:rPr>
          <w:rFonts w:ascii="楷体_GB2312" w:eastAsia="楷体_GB2312"/>
          <w:b/>
          <w:sz w:val="32"/>
          <w:szCs w:val="32"/>
          <w:lang w:val="zh-CN"/>
        </w:rPr>
      </w:pPr>
      <w:r>
        <w:rPr>
          <w:rFonts w:ascii="楷体_GB2312" w:eastAsia="楷体_GB2312"/>
          <w:b/>
          <w:sz w:val="32"/>
          <w:szCs w:val="32"/>
          <w:lang w:val="zh-CN"/>
        </w:rPr>
        <w:t>（一）项目资金申报及批复情况</w:t>
      </w:r>
    </w:p>
    <w:p>
      <w:pPr>
        <w:tabs>
          <w:tab w:val="left" w:pos="658"/>
        </w:tabs>
        <w:spacing w:line="560" w:lineRule="exact"/>
        <w:ind w:firstLine="665" w:firstLineChars="208"/>
        <w:rPr>
          <w:rFonts w:eastAsia="仿宋_GB2312"/>
          <w:sz w:val="32"/>
          <w:szCs w:val="32"/>
        </w:rPr>
      </w:pPr>
      <w:r>
        <w:rPr>
          <w:rFonts w:eastAsia="仿宋_GB2312"/>
          <w:sz w:val="32"/>
          <w:szCs w:val="32"/>
        </w:rPr>
        <w:t>根据四届市政府第215次常务会议安排部署,市政府办公室向市政府请示解决市级单位办公自动化系统“一网协同”建设经费，市政府审批后，经市财政评审，市财政局于2022年划拨一期建设费用227.7万元。</w:t>
      </w:r>
    </w:p>
    <w:p>
      <w:pPr>
        <w:adjustRightInd w:val="0"/>
        <w:snapToGrid w:val="0"/>
        <w:spacing w:line="560" w:lineRule="exact"/>
        <w:ind w:firstLine="720"/>
        <w:rPr>
          <w:rFonts w:ascii="楷体_GB2312" w:eastAsia="楷体_GB2312"/>
          <w:b/>
          <w:sz w:val="32"/>
          <w:szCs w:val="32"/>
          <w:lang w:val="zh-CN"/>
        </w:rPr>
      </w:pPr>
      <w:r>
        <w:rPr>
          <w:rFonts w:ascii="楷体_GB2312" w:eastAsia="楷体_GB2312"/>
          <w:b/>
          <w:sz w:val="32"/>
          <w:szCs w:val="32"/>
          <w:lang w:val="zh-CN"/>
        </w:rPr>
        <w:t>（二）资金计划、到位及使用情况</w:t>
      </w:r>
    </w:p>
    <w:p>
      <w:pPr>
        <w:tabs>
          <w:tab w:val="left" w:pos="658"/>
        </w:tabs>
        <w:spacing w:line="560" w:lineRule="exact"/>
        <w:ind w:firstLine="665" w:firstLineChars="208"/>
        <w:rPr>
          <w:rFonts w:eastAsia="仿宋_GB2312"/>
          <w:sz w:val="32"/>
          <w:szCs w:val="32"/>
        </w:rPr>
      </w:pPr>
      <w:r>
        <w:rPr>
          <w:rFonts w:eastAsia="仿宋_GB2312"/>
          <w:sz w:val="32"/>
          <w:szCs w:val="32"/>
        </w:rPr>
        <w:t>市政府办公室与中标单位（四川国创数字产业发展有限公司）签订合同，合同金额为227.7万元，约定费用分三次支付：合同签订后20个工作日内，支付总价款的50%，即113.85万元；项目通过验收后20个工作日内，支付总价款的47%，即107.02万元；项目总价款的3%，即6.83万元，待项目通过验收满1年后支付。</w:t>
      </w:r>
    </w:p>
    <w:p>
      <w:pPr>
        <w:tabs>
          <w:tab w:val="left" w:pos="658"/>
        </w:tabs>
        <w:spacing w:line="560" w:lineRule="exact"/>
        <w:ind w:firstLine="665" w:firstLineChars="208"/>
        <w:rPr>
          <w:rFonts w:eastAsia="仿宋_GB2312"/>
          <w:sz w:val="32"/>
          <w:szCs w:val="32"/>
        </w:rPr>
      </w:pPr>
      <w:r>
        <w:rPr>
          <w:rFonts w:eastAsia="仿宋_GB2312"/>
          <w:sz w:val="32"/>
          <w:szCs w:val="32"/>
        </w:rPr>
        <w:t>根据该项目建设实际情况，</w:t>
      </w:r>
      <w:r>
        <w:rPr>
          <w:rFonts w:hint="eastAsia" w:eastAsia="仿宋_GB2312"/>
          <w:sz w:val="32"/>
          <w:szCs w:val="32"/>
          <w:lang w:eastAsia="zh-CN"/>
        </w:rPr>
        <w:t>截至目前</w:t>
      </w:r>
      <w:r>
        <w:rPr>
          <w:rFonts w:eastAsia="仿宋_GB2312"/>
          <w:sz w:val="32"/>
          <w:szCs w:val="32"/>
        </w:rPr>
        <w:t>，已经支付214.17万元，剩余13.53万元暂未支付。未支付原因：一是由于市档案馆电子档案管理系统尚未建成，无法接收电子档案，已建成的“一键归档”无法与市档案馆实现对接，经与四川国创数字产业发展有限公司协商，暂不支付该项建设费用6.7万元，待“一键归档”实现对接后再支付该笔费用；二是按</w:t>
      </w:r>
      <w:r>
        <w:rPr>
          <w:rFonts w:hint="eastAsia" w:eastAsia="仿宋_GB2312"/>
          <w:sz w:val="32"/>
          <w:szCs w:val="32"/>
          <w:lang w:eastAsia="zh-CN"/>
        </w:rPr>
        <w:t>合约规定</w:t>
      </w:r>
      <w:r>
        <w:rPr>
          <w:rFonts w:eastAsia="仿宋_GB2312"/>
          <w:sz w:val="32"/>
          <w:szCs w:val="32"/>
        </w:rPr>
        <w:t>“项目通过验收满1年后支付6.83万元”，该项目通过专家组验收合格刚满1年，正在按程序申报支付。</w:t>
      </w:r>
    </w:p>
    <w:p>
      <w:pPr>
        <w:adjustRightInd w:val="0"/>
        <w:snapToGrid w:val="0"/>
        <w:spacing w:line="560" w:lineRule="exact"/>
        <w:ind w:firstLine="720"/>
        <w:rPr>
          <w:rFonts w:ascii="楷体_GB2312" w:eastAsia="楷体_GB2312"/>
          <w:b/>
          <w:sz w:val="32"/>
          <w:szCs w:val="32"/>
          <w:lang w:val="zh-CN"/>
        </w:rPr>
      </w:pPr>
      <w:r>
        <w:rPr>
          <w:rFonts w:hint="eastAsia" w:ascii="楷体_GB2312" w:eastAsia="楷体_GB2312"/>
          <w:b/>
          <w:sz w:val="32"/>
          <w:szCs w:val="32"/>
          <w:lang w:val="zh-CN"/>
        </w:rPr>
        <w:t>（三）项目财务管理情况</w:t>
      </w:r>
    </w:p>
    <w:p>
      <w:pPr>
        <w:tabs>
          <w:tab w:val="left" w:pos="658"/>
        </w:tabs>
        <w:spacing w:line="560" w:lineRule="exact"/>
        <w:ind w:firstLine="665" w:firstLineChars="208"/>
        <w:rPr>
          <w:rFonts w:eastAsia="仿宋_GB2312"/>
          <w:sz w:val="32"/>
          <w:szCs w:val="32"/>
        </w:rPr>
      </w:pPr>
      <w:bookmarkStart w:id="91" w:name="_Toc3264"/>
      <w:r>
        <w:rPr>
          <w:rFonts w:eastAsia="仿宋_GB2312"/>
          <w:sz w:val="32"/>
          <w:szCs w:val="32"/>
        </w:rPr>
        <w:t>市政府办公室高度重视市级单位办公自动化系统（OA系统）“一网协同”一期建设财务管理工作，组织召开专题会议，对此项工作进行研究部署，建立了分管领导主抓、业务科室主办、行政科监督、定期汇报的项目工作推进机制。在项目财务管理中，严格按照国家有关法律、法规和财务管理制度使用项目资金，实行收支统一管理、统一审批、统一监管。严格执行财务管理各项规定，强化财务监督管理，确保资金使用安全，监督有效。</w:t>
      </w:r>
    </w:p>
    <w:p>
      <w:pPr>
        <w:adjustRightInd w:val="0"/>
        <w:snapToGrid w:val="0"/>
        <w:spacing w:line="560" w:lineRule="exact"/>
        <w:ind w:firstLine="720"/>
        <w:outlineLvl w:val="1"/>
        <w:rPr>
          <w:rFonts w:ascii="黑体" w:hAnsi="黑体" w:eastAsia="黑体"/>
          <w:sz w:val="32"/>
          <w:szCs w:val="32"/>
          <w:lang w:val="zh-CN"/>
        </w:rPr>
      </w:pPr>
      <w:r>
        <w:rPr>
          <w:rFonts w:ascii="黑体" w:hAnsi="黑体" w:eastAsia="黑体"/>
          <w:sz w:val="32"/>
          <w:szCs w:val="32"/>
          <w:lang w:val="zh-CN"/>
        </w:rPr>
        <w:t>三、项目实施及管理情况</w:t>
      </w:r>
      <w:bookmarkEnd w:id="91"/>
    </w:p>
    <w:p>
      <w:pPr>
        <w:tabs>
          <w:tab w:val="left" w:pos="658"/>
        </w:tabs>
        <w:spacing w:line="560" w:lineRule="exact"/>
        <w:ind w:firstLine="665" w:firstLineChars="208"/>
        <w:rPr>
          <w:rFonts w:eastAsia="仿宋_GB2312"/>
          <w:sz w:val="32"/>
          <w:szCs w:val="32"/>
        </w:rPr>
      </w:pPr>
      <w:bookmarkStart w:id="92" w:name="_Toc20210"/>
      <w:r>
        <w:rPr>
          <w:rFonts w:eastAsia="仿宋_GB2312"/>
          <w:sz w:val="32"/>
          <w:szCs w:val="32"/>
        </w:rPr>
        <w:t>在项目实施过程中，市政府办公室坚持公开、公正原则，严格执行政府采购法律法规相关规定，严格按流程申报审批，经市财政局审批同意后，再由市政务服务和公共资源交易中心组织实施采购工作。为保证项目质效，市政府办公室组织工程质量监督人员，定期对项目实施进度、项目指标进行监督检查。</w:t>
      </w:r>
    </w:p>
    <w:p>
      <w:pPr>
        <w:adjustRightInd w:val="0"/>
        <w:snapToGrid w:val="0"/>
        <w:spacing w:line="560" w:lineRule="exact"/>
        <w:ind w:firstLine="720"/>
        <w:outlineLvl w:val="1"/>
        <w:rPr>
          <w:rFonts w:ascii="黑体" w:hAnsi="黑体" w:eastAsia="黑体"/>
          <w:sz w:val="32"/>
          <w:szCs w:val="32"/>
          <w:lang w:val="zh-CN"/>
        </w:rPr>
      </w:pPr>
      <w:r>
        <w:rPr>
          <w:rFonts w:ascii="黑体" w:hAnsi="黑体" w:eastAsia="黑体"/>
          <w:sz w:val="32"/>
          <w:szCs w:val="32"/>
          <w:lang w:val="zh-CN"/>
        </w:rPr>
        <w:t>四、项目绩效情况</w:t>
      </w:r>
      <w:bookmarkEnd w:id="92"/>
      <w:r>
        <w:rPr>
          <w:rFonts w:ascii="黑体" w:hAnsi="黑体" w:eastAsia="黑体"/>
          <w:sz w:val="32"/>
          <w:szCs w:val="32"/>
          <w:lang w:val="zh-CN"/>
        </w:rPr>
        <w:tab/>
      </w:r>
    </w:p>
    <w:p>
      <w:pPr>
        <w:tabs>
          <w:tab w:val="left" w:pos="658"/>
        </w:tabs>
        <w:spacing w:line="560" w:lineRule="exact"/>
        <w:ind w:firstLine="665" w:firstLineChars="208"/>
        <w:rPr>
          <w:rFonts w:eastAsia="仿宋_GB2312"/>
          <w:sz w:val="32"/>
          <w:szCs w:val="32"/>
        </w:rPr>
      </w:pPr>
      <w:bookmarkStart w:id="93" w:name="_Toc10046"/>
      <w:r>
        <w:rPr>
          <w:rFonts w:eastAsia="仿宋_GB2312"/>
          <w:sz w:val="32"/>
          <w:szCs w:val="32"/>
        </w:rPr>
        <w:t>该项目的效益主要体现在以下三个方面：</w:t>
      </w:r>
      <w:r>
        <w:rPr>
          <w:rFonts w:eastAsia="仿宋_GB2312"/>
          <w:b/>
          <w:bCs/>
          <w:sz w:val="32"/>
          <w:szCs w:val="32"/>
        </w:rPr>
        <w:t>一是大幅提高办公效率。</w:t>
      </w:r>
      <w:r>
        <w:rPr>
          <w:rFonts w:eastAsia="仿宋_GB2312"/>
          <w:sz w:val="32"/>
          <w:szCs w:val="32"/>
        </w:rPr>
        <w:t>实现“一网协同”的OA系统成熟可靠，技术架构满足工作需求，经实践检验，适合普遍推广。市级单位“一网协同”办公，增加了协同办公覆盖面和信息通达度，提高了办公效率。</w:t>
      </w:r>
      <w:r>
        <w:rPr>
          <w:rFonts w:eastAsia="仿宋_GB2312"/>
          <w:b/>
          <w:bCs/>
          <w:sz w:val="32"/>
          <w:szCs w:val="32"/>
        </w:rPr>
        <w:t>二是大幅降低财政支出</w:t>
      </w:r>
      <w:r>
        <w:rPr>
          <w:rFonts w:eastAsia="仿宋_GB2312"/>
          <w:sz w:val="32"/>
          <w:szCs w:val="32"/>
        </w:rPr>
        <w:t>。通过自建核心平台，按需采购点位，将各单位分散建设变为统一建设管理。根据调研统计，经初步估算，如果市级部门分散建设需投入1190万元，而统一建设仅需投入461万元，可节约财政支出729万元。同时，还降低了运维成本，更有利于推进无纸化办公和无纸化会议，进一步降低政府会议、文电等日常运行成本。</w:t>
      </w:r>
      <w:r>
        <w:rPr>
          <w:rFonts w:eastAsia="仿宋_GB2312"/>
          <w:b/>
          <w:bCs/>
          <w:sz w:val="32"/>
          <w:szCs w:val="32"/>
        </w:rPr>
        <w:t>三是大幅提高运维效率和安全。</w:t>
      </w:r>
      <w:r>
        <w:rPr>
          <w:rFonts w:eastAsia="仿宋_GB2312"/>
          <w:sz w:val="32"/>
          <w:szCs w:val="32"/>
        </w:rPr>
        <w:t>按照“统一规划、统一标准”的建设思路，市级单位办公自动化系统（OA系统）“一网协同”的技术支撑平台具有开放的体系，采用B/S结构设计，具有支持Windows及国产操作系统、支持集中和</w:t>
      </w:r>
      <w:r>
        <w:rPr>
          <w:rFonts w:hint="eastAsia" w:eastAsia="仿宋_GB2312"/>
          <w:sz w:val="32"/>
          <w:szCs w:val="32"/>
          <w:lang w:eastAsia="zh-CN"/>
        </w:rPr>
        <w:t>分布式</w:t>
      </w:r>
      <w:r>
        <w:rPr>
          <w:rFonts w:eastAsia="仿宋_GB2312"/>
          <w:sz w:val="32"/>
          <w:szCs w:val="32"/>
        </w:rPr>
        <w:t>部署、支持分级权限管理、支持虚拟组织管理等多种功能。系统具有高度的灵活性和扩展性，各模块可根据需求定制拔插、组合，提供二次规范开发接口。大幅提高了运维效率和安全。</w:t>
      </w:r>
    </w:p>
    <w:p>
      <w:pPr>
        <w:adjustRightInd w:val="0"/>
        <w:snapToGrid w:val="0"/>
        <w:spacing w:line="560" w:lineRule="exact"/>
        <w:ind w:firstLine="720"/>
        <w:outlineLvl w:val="1"/>
        <w:rPr>
          <w:rFonts w:ascii="黑体" w:hAnsi="黑体" w:eastAsia="黑体"/>
          <w:sz w:val="32"/>
          <w:szCs w:val="32"/>
        </w:rPr>
      </w:pPr>
      <w:r>
        <w:rPr>
          <w:rFonts w:ascii="黑体" w:hAnsi="黑体" w:eastAsia="黑体"/>
          <w:sz w:val="32"/>
          <w:szCs w:val="32"/>
        </w:rPr>
        <w:t>五、评价结论及建议</w:t>
      </w:r>
      <w:bookmarkEnd w:id="93"/>
      <w:bookmarkStart w:id="120" w:name="_GoBack"/>
      <w:bookmarkEnd w:id="120"/>
    </w:p>
    <w:p>
      <w:pPr>
        <w:tabs>
          <w:tab w:val="left" w:pos="658"/>
        </w:tabs>
        <w:spacing w:line="560" w:lineRule="exact"/>
        <w:ind w:firstLine="665" w:firstLineChars="208"/>
        <w:rPr>
          <w:rFonts w:eastAsia="仿宋_GB2312"/>
          <w:sz w:val="32"/>
          <w:szCs w:val="32"/>
        </w:rPr>
      </w:pPr>
      <w:r>
        <w:rPr>
          <w:rFonts w:eastAsia="仿宋_GB2312"/>
          <w:sz w:val="32"/>
          <w:szCs w:val="32"/>
        </w:rPr>
        <w:t>市级单位办公自动化系统（OA系统）“一网协同”项目，解决了数据共享难、数据安全隐患大、建设运维成本高等问题，促进了数据共享、提升了工作质效、降低了财政支出成本、夯实了数据安全保障、保障了系统稳定安全运行，基本实现全市“一张网”协同办公。</w:t>
      </w:r>
    </w:p>
    <w:p>
      <w:pPr>
        <w:spacing w:line="600" w:lineRule="exact"/>
        <w:jc w:val="center"/>
        <w:outlineLvl w:val="0"/>
        <w:rPr>
          <w:rFonts w:eastAsia="仿宋_GB2312"/>
          <w:sz w:val="44"/>
          <w:szCs w:val="44"/>
        </w:rPr>
      </w:pPr>
    </w:p>
    <w:p>
      <w:pPr>
        <w:jc w:val="left"/>
        <w:rPr>
          <w:rFonts w:eastAsia="仿宋_GB2312"/>
          <w:sz w:val="44"/>
          <w:szCs w:val="44"/>
        </w:rPr>
      </w:pPr>
      <w:r>
        <w:rPr>
          <w:rFonts w:eastAsia="仿宋_GB2312"/>
          <w:sz w:val="44"/>
          <w:szCs w:val="44"/>
        </w:rPr>
        <w:br w:type="page"/>
      </w:r>
    </w:p>
    <w:p>
      <w:pPr>
        <w:spacing w:line="600" w:lineRule="exact"/>
        <w:jc w:val="center"/>
        <w:outlineLvl w:val="0"/>
        <w:rPr>
          <w:rFonts w:ascii="方正小标宋简体" w:eastAsia="方正小标宋简体"/>
        </w:rPr>
      </w:pPr>
      <w:r>
        <w:rPr>
          <w:rFonts w:hint="eastAsia" w:ascii="方正小标宋简体" w:eastAsia="方正小标宋简体"/>
          <w:sz w:val="44"/>
          <w:szCs w:val="44"/>
        </w:rPr>
        <w:t>第</w:t>
      </w:r>
      <w:r>
        <w:rPr>
          <w:rStyle w:val="18"/>
          <w:rFonts w:hint="eastAsia" w:ascii="方正小标宋简体" w:eastAsia="方正小标宋简体"/>
          <w:b w:val="0"/>
        </w:rPr>
        <w:t>五部分  附表</w:t>
      </w:r>
      <w:bookmarkEnd w:id="80"/>
      <w:bookmarkEnd w:id="87"/>
      <w:bookmarkEnd w:id="88"/>
      <w:bookmarkStart w:id="94" w:name="_Toc15396619"/>
    </w:p>
    <w:p>
      <w:pPr>
        <w:pStyle w:val="4"/>
        <w:keepNext w:val="0"/>
        <w:keepLines w:val="0"/>
        <w:spacing w:before="0" w:after="0" w:line="600" w:lineRule="exact"/>
        <w:rPr>
          <w:rFonts w:ascii="Times New Roman" w:hAnsi="Times New Roman" w:eastAsia="仿宋_GB2312"/>
          <w:b w:val="0"/>
        </w:rPr>
      </w:pPr>
      <w:bookmarkStart w:id="95" w:name="_Toc2757"/>
    </w:p>
    <w:p>
      <w:pPr>
        <w:pStyle w:val="4"/>
        <w:keepNext w:val="0"/>
        <w:keepLines w:val="0"/>
        <w:spacing w:before="0" w:after="0" w:line="600" w:lineRule="exact"/>
        <w:rPr>
          <w:rFonts w:ascii="Times New Roman" w:hAnsi="Times New Roman" w:eastAsia="仿宋_GB2312"/>
        </w:rPr>
      </w:pPr>
      <w:r>
        <w:rPr>
          <w:rFonts w:ascii="Times New Roman" w:hAnsi="Times New Roman" w:eastAsia="仿宋_GB2312"/>
          <w:b w:val="0"/>
        </w:rPr>
        <w:t>一、收</w:t>
      </w:r>
      <w:r>
        <w:rPr>
          <w:rStyle w:val="19"/>
          <w:rFonts w:ascii="Times New Roman" w:hAnsi="Times New Roman" w:eastAsia="仿宋_GB2312"/>
          <w:b w:val="0"/>
          <w:bCs w:val="0"/>
        </w:rPr>
        <w:t>入支出决算总表</w:t>
      </w:r>
      <w:bookmarkEnd w:id="94"/>
      <w:bookmarkEnd w:id="95"/>
    </w:p>
    <w:p>
      <w:pPr>
        <w:pStyle w:val="4"/>
        <w:keepNext w:val="0"/>
        <w:keepLines w:val="0"/>
        <w:spacing w:before="0" w:after="0" w:line="600" w:lineRule="exact"/>
        <w:rPr>
          <w:rFonts w:ascii="Times New Roman" w:hAnsi="Times New Roman" w:eastAsia="仿宋_GB2312"/>
        </w:rPr>
      </w:pPr>
      <w:bookmarkStart w:id="96" w:name="_Toc15396620"/>
      <w:bookmarkStart w:id="97" w:name="_Toc29781"/>
      <w:r>
        <w:rPr>
          <w:rFonts w:ascii="Times New Roman" w:hAnsi="Times New Roman" w:eastAsia="仿宋_GB2312"/>
          <w:b w:val="0"/>
        </w:rPr>
        <w:t>二、收</w:t>
      </w:r>
      <w:r>
        <w:rPr>
          <w:rStyle w:val="19"/>
          <w:rFonts w:ascii="Times New Roman" w:hAnsi="Times New Roman" w:eastAsia="仿宋_GB2312"/>
          <w:b w:val="0"/>
          <w:bCs w:val="0"/>
        </w:rPr>
        <w:t>入决算表</w:t>
      </w:r>
      <w:bookmarkEnd w:id="96"/>
      <w:bookmarkEnd w:id="97"/>
    </w:p>
    <w:p>
      <w:pPr>
        <w:pStyle w:val="4"/>
        <w:keepNext w:val="0"/>
        <w:keepLines w:val="0"/>
        <w:spacing w:before="0" w:after="0" w:line="600" w:lineRule="exact"/>
        <w:rPr>
          <w:rFonts w:ascii="Times New Roman" w:hAnsi="Times New Roman" w:eastAsia="仿宋_GB2312"/>
        </w:rPr>
      </w:pPr>
      <w:bookmarkStart w:id="98" w:name="_Toc15396621"/>
      <w:bookmarkStart w:id="99" w:name="_Toc32502"/>
      <w:r>
        <w:rPr>
          <w:rStyle w:val="19"/>
          <w:rFonts w:ascii="Times New Roman" w:hAnsi="Times New Roman" w:eastAsia="仿宋_GB2312"/>
          <w:b w:val="0"/>
          <w:bCs w:val="0"/>
        </w:rPr>
        <w:t>三、</w:t>
      </w:r>
      <w:r>
        <w:rPr>
          <w:rFonts w:ascii="Times New Roman" w:hAnsi="Times New Roman" w:eastAsia="仿宋_GB2312"/>
          <w:b w:val="0"/>
        </w:rPr>
        <w:t>支</w:t>
      </w:r>
      <w:r>
        <w:rPr>
          <w:rStyle w:val="19"/>
          <w:rFonts w:ascii="Times New Roman" w:hAnsi="Times New Roman" w:eastAsia="仿宋_GB2312"/>
          <w:b w:val="0"/>
          <w:bCs w:val="0"/>
        </w:rPr>
        <w:t>出决算表</w:t>
      </w:r>
      <w:bookmarkEnd w:id="98"/>
      <w:bookmarkEnd w:id="99"/>
    </w:p>
    <w:p>
      <w:pPr>
        <w:pStyle w:val="4"/>
        <w:keepNext w:val="0"/>
        <w:keepLines w:val="0"/>
        <w:spacing w:before="0" w:after="0" w:line="600" w:lineRule="exact"/>
        <w:rPr>
          <w:rFonts w:ascii="Times New Roman" w:hAnsi="Times New Roman" w:eastAsia="仿宋_GB2312"/>
          <w:b w:val="0"/>
        </w:rPr>
      </w:pPr>
      <w:bookmarkStart w:id="100" w:name="_Toc15396622"/>
      <w:bookmarkStart w:id="101" w:name="_Toc2005"/>
      <w:r>
        <w:rPr>
          <w:rStyle w:val="19"/>
          <w:rFonts w:ascii="Times New Roman" w:hAnsi="Times New Roman" w:eastAsia="仿宋_GB2312"/>
          <w:b w:val="0"/>
          <w:bCs w:val="0"/>
        </w:rPr>
        <w:t>四、</w:t>
      </w:r>
      <w:r>
        <w:rPr>
          <w:rFonts w:ascii="Times New Roman" w:hAnsi="Times New Roman" w:eastAsia="仿宋_GB2312"/>
          <w:b w:val="0"/>
        </w:rPr>
        <w:t>财</w:t>
      </w:r>
      <w:r>
        <w:rPr>
          <w:rStyle w:val="19"/>
          <w:rFonts w:ascii="Times New Roman" w:hAnsi="Times New Roman" w:eastAsia="仿宋_GB2312"/>
          <w:b w:val="0"/>
          <w:bCs w:val="0"/>
        </w:rPr>
        <w:t>政拨款收入支出决算总表</w:t>
      </w:r>
      <w:bookmarkEnd w:id="100"/>
      <w:bookmarkEnd w:id="101"/>
    </w:p>
    <w:p>
      <w:pPr>
        <w:pStyle w:val="4"/>
        <w:keepNext w:val="0"/>
        <w:keepLines w:val="0"/>
        <w:spacing w:before="0" w:after="0" w:line="600" w:lineRule="exact"/>
        <w:rPr>
          <w:rStyle w:val="19"/>
          <w:rFonts w:ascii="Times New Roman" w:hAnsi="Times New Roman" w:eastAsia="仿宋_GB2312"/>
          <w:b w:val="0"/>
          <w:bCs w:val="0"/>
        </w:rPr>
      </w:pPr>
      <w:bookmarkStart w:id="102" w:name="_Toc15396623"/>
      <w:bookmarkStart w:id="103" w:name="_Toc14055"/>
      <w:r>
        <w:rPr>
          <w:rStyle w:val="19"/>
          <w:rFonts w:ascii="Times New Roman" w:hAnsi="Times New Roman" w:eastAsia="仿宋_GB2312"/>
          <w:b w:val="0"/>
          <w:bCs w:val="0"/>
        </w:rPr>
        <w:t>五、</w:t>
      </w:r>
      <w:r>
        <w:rPr>
          <w:rFonts w:ascii="Times New Roman" w:hAnsi="Times New Roman" w:eastAsia="仿宋_GB2312"/>
          <w:b w:val="0"/>
        </w:rPr>
        <w:t>财</w:t>
      </w:r>
      <w:r>
        <w:rPr>
          <w:rStyle w:val="19"/>
          <w:rFonts w:ascii="Times New Roman" w:hAnsi="Times New Roman" w:eastAsia="仿宋_GB2312"/>
          <w:b w:val="0"/>
          <w:bCs w:val="0"/>
        </w:rPr>
        <w:t>政拨款支出决算明细表</w:t>
      </w:r>
      <w:bookmarkEnd w:id="102"/>
      <w:bookmarkEnd w:id="103"/>
      <w:bookmarkStart w:id="104" w:name="_Toc15396624"/>
    </w:p>
    <w:p>
      <w:pPr>
        <w:pStyle w:val="4"/>
        <w:keepNext w:val="0"/>
        <w:keepLines w:val="0"/>
        <w:spacing w:before="0" w:after="0" w:line="600" w:lineRule="exact"/>
        <w:rPr>
          <w:rFonts w:ascii="Times New Roman" w:hAnsi="Times New Roman" w:eastAsia="仿宋_GB2312"/>
        </w:rPr>
      </w:pPr>
      <w:bookmarkStart w:id="105" w:name="_Toc16595"/>
      <w:r>
        <w:rPr>
          <w:rStyle w:val="19"/>
          <w:rFonts w:ascii="Times New Roman" w:hAnsi="Times New Roman" w:eastAsia="仿宋_GB2312"/>
          <w:b w:val="0"/>
          <w:bCs w:val="0"/>
        </w:rPr>
        <w:t>六、</w:t>
      </w:r>
      <w:r>
        <w:rPr>
          <w:rFonts w:ascii="Times New Roman" w:hAnsi="Times New Roman" w:eastAsia="仿宋_GB2312"/>
          <w:b w:val="0"/>
        </w:rPr>
        <w:t>一</w:t>
      </w:r>
      <w:r>
        <w:rPr>
          <w:rStyle w:val="19"/>
          <w:rFonts w:ascii="Times New Roman" w:hAnsi="Times New Roman" w:eastAsia="仿宋_GB2312"/>
          <w:b w:val="0"/>
          <w:bCs w:val="0"/>
        </w:rPr>
        <w:t>般公共预算财政拨款支出决算表</w:t>
      </w:r>
      <w:bookmarkEnd w:id="104"/>
      <w:bookmarkEnd w:id="105"/>
    </w:p>
    <w:p>
      <w:pPr>
        <w:pStyle w:val="4"/>
        <w:keepNext w:val="0"/>
        <w:keepLines w:val="0"/>
        <w:spacing w:before="0" w:after="0" w:line="600" w:lineRule="exact"/>
        <w:rPr>
          <w:rFonts w:ascii="Times New Roman" w:hAnsi="Times New Roman" w:eastAsia="仿宋_GB2312"/>
        </w:rPr>
      </w:pPr>
      <w:bookmarkStart w:id="106" w:name="_Toc15396625"/>
      <w:bookmarkStart w:id="107" w:name="_Toc16663"/>
      <w:r>
        <w:rPr>
          <w:rStyle w:val="19"/>
          <w:rFonts w:ascii="Times New Roman" w:hAnsi="Times New Roman" w:eastAsia="仿宋_GB2312"/>
          <w:b w:val="0"/>
          <w:bCs w:val="0"/>
        </w:rPr>
        <w:t>七、</w:t>
      </w:r>
      <w:r>
        <w:rPr>
          <w:rFonts w:ascii="Times New Roman" w:hAnsi="Times New Roman" w:eastAsia="仿宋_GB2312"/>
          <w:b w:val="0"/>
        </w:rPr>
        <w:t>一</w:t>
      </w:r>
      <w:r>
        <w:rPr>
          <w:rStyle w:val="19"/>
          <w:rFonts w:ascii="Times New Roman" w:hAnsi="Times New Roman" w:eastAsia="仿宋_GB2312"/>
          <w:b w:val="0"/>
          <w:bCs w:val="0"/>
        </w:rPr>
        <w:t>般公共预算财政拨款支出决算明细表</w:t>
      </w:r>
      <w:bookmarkEnd w:id="106"/>
      <w:bookmarkEnd w:id="107"/>
    </w:p>
    <w:p>
      <w:pPr>
        <w:pStyle w:val="4"/>
        <w:keepNext w:val="0"/>
        <w:keepLines w:val="0"/>
        <w:spacing w:before="0" w:after="0" w:line="600" w:lineRule="exact"/>
        <w:rPr>
          <w:rFonts w:ascii="Times New Roman" w:hAnsi="Times New Roman" w:eastAsia="仿宋_GB2312"/>
        </w:rPr>
      </w:pPr>
      <w:bookmarkStart w:id="108" w:name="_Toc31712"/>
      <w:bookmarkStart w:id="109" w:name="_Toc15396626"/>
      <w:r>
        <w:rPr>
          <w:rStyle w:val="19"/>
          <w:rFonts w:ascii="Times New Roman" w:hAnsi="Times New Roman" w:eastAsia="仿宋_GB2312"/>
          <w:b w:val="0"/>
          <w:bCs w:val="0"/>
        </w:rPr>
        <w:t>八、</w:t>
      </w:r>
      <w:r>
        <w:rPr>
          <w:rFonts w:ascii="Times New Roman" w:hAnsi="Times New Roman" w:eastAsia="仿宋_GB2312"/>
          <w:b w:val="0"/>
        </w:rPr>
        <w:t>一</w:t>
      </w:r>
      <w:r>
        <w:rPr>
          <w:rStyle w:val="19"/>
          <w:rFonts w:ascii="Times New Roman" w:hAnsi="Times New Roman" w:eastAsia="仿宋_GB2312"/>
          <w:b w:val="0"/>
          <w:bCs w:val="0"/>
        </w:rPr>
        <w:t>般公共预算财政拨款基本支出决算表</w:t>
      </w:r>
      <w:bookmarkEnd w:id="108"/>
      <w:bookmarkEnd w:id="109"/>
    </w:p>
    <w:p>
      <w:pPr>
        <w:pStyle w:val="4"/>
        <w:keepNext w:val="0"/>
        <w:keepLines w:val="0"/>
        <w:spacing w:before="0" w:after="0" w:line="600" w:lineRule="exact"/>
        <w:rPr>
          <w:rFonts w:ascii="Times New Roman" w:hAnsi="Times New Roman" w:eastAsia="仿宋_GB2312"/>
        </w:rPr>
      </w:pPr>
      <w:bookmarkStart w:id="110" w:name="_Toc15396627"/>
      <w:bookmarkStart w:id="111" w:name="_Toc6077"/>
      <w:r>
        <w:rPr>
          <w:rStyle w:val="19"/>
          <w:rFonts w:ascii="Times New Roman" w:hAnsi="Times New Roman" w:eastAsia="仿宋_GB2312"/>
          <w:b w:val="0"/>
          <w:bCs w:val="0"/>
        </w:rPr>
        <w:t>九、</w:t>
      </w:r>
      <w:r>
        <w:rPr>
          <w:rFonts w:ascii="Times New Roman" w:hAnsi="Times New Roman" w:eastAsia="仿宋_GB2312"/>
          <w:b w:val="0"/>
        </w:rPr>
        <w:t>一</w:t>
      </w:r>
      <w:r>
        <w:rPr>
          <w:rStyle w:val="19"/>
          <w:rFonts w:ascii="Times New Roman" w:hAnsi="Times New Roman" w:eastAsia="仿宋_GB2312"/>
          <w:b w:val="0"/>
          <w:bCs w:val="0"/>
        </w:rPr>
        <w:t>般公共预算财政拨款项目支出决算表</w:t>
      </w:r>
      <w:bookmarkEnd w:id="110"/>
      <w:bookmarkEnd w:id="111"/>
    </w:p>
    <w:p>
      <w:pPr>
        <w:pStyle w:val="4"/>
        <w:keepNext w:val="0"/>
        <w:keepLines w:val="0"/>
        <w:spacing w:before="0" w:after="0" w:line="600" w:lineRule="exact"/>
        <w:rPr>
          <w:rFonts w:ascii="Times New Roman" w:hAnsi="Times New Roman" w:eastAsia="仿宋_GB2312"/>
        </w:rPr>
      </w:pPr>
      <w:bookmarkStart w:id="112" w:name="_Toc15396628"/>
      <w:bookmarkStart w:id="113" w:name="_Toc8880"/>
      <w:r>
        <w:rPr>
          <w:rStyle w:val="19"/>
          <w:rFonts w:ascii="Times New Roman" w:hAnsi="Times New Roman" w:eastAsia="仿宋_GB2312"/>
          <w:b w:val="0"/>
          <w:bCs w:val="0"/>
        </w:rPr>
        <w:t>十、</w:t>
      </w:r>
      <w:bookmarkEnd w:id="112"/>
      <w:r>
        <w:rPr>
          <w:rFonts w:ascii="Times New Roman" w:hAnsi="Times New Roman" w:eastAsia="仿宋_GB2312"/>
          <w:b w:val="0"/>
        </w:rPr>
        <w:t>政</w:t>
      </w:r>
      <w:r>
        <w:rPr>
          <w:rStyle w:val="19"/>
          <w:rFonts w:ascii="Times New Roman" w:hAnsi="Times New Roman" w:eastAsia="仿宋_GB2312"/>
          <w:b w:val="0"/>
          <w:bCs w:val="0"/>
        </w:rPr>
        <w:t>府性基金预算财政拨款收入支出决算表</w:t>
      </w:r>
      <w:bookmarkEnd w:id="113"/>
    </w:p>
    <w:p>
      <w:pPr>
        <w:pStyle w:val="4"/>
        <w:keepNext w:val="0"/>
        <w:keepLines w:val="0"/>
        <w:spacing w:before="0" w:after="0" w:line="600" w:lineRule="exact"/>
        <w:rPr>
          <w:rFonts w:ascii="Times New Roman" w:hAnsi="Times New Roman" w:eastAsia="仿宋_GB2312"/>
        </w:rPr>
      </w:pPr>
      <w:bookmarkStart w:id="114" w:name="_Toc15396629"/>
      <w:bookmarkStart w:id="115" w:name="_Toc23717"/>
      <w:r>
        <w:rPr>
          <w:rStyle w:val="19"/>
          <w:rFonts w:ascii="Times New Roman" w:hAnsi="Times New Roman" w:eastAsia="仿宋_GB2312"/>
          <w:b w:val="0"/>
          <w:bCs w:val="0"/>
        </w:rPr>
        <w:t>十一、</w:t>
      </w:r>
      <w:bookmarkEnd w:id="114"/>
      <w:r>
        <w:rPr>
          <w:rFonts w:ascii="Times New Roman" w:hAnsi="Times New Roman" w:eastAsia="仿宋_GB2312"/>
          <w:b w:val="0"/>
        </w:rPr>
        <w:t>国</w:t>
      </w:r>
      <w:r>
        <w:rPr>
          <w:rStyle w:val="19"/>
          <w:rFonts w:ascii="Times New Roman" w:hAnsi="Times New Roman" w:eastAsia="仿宋_GB2312"/>
          <w:b w:val="0"/>
          <w:bCs w:val="0"/>
        </w:rPr>
        <w:t>有资本经营预算财政拨款收入支出决算表</w:t>
      </w:r>
      <w:bookmarkEnd w:id="115"/>
    </w:p>
    <w:p>
      <w:pPr>
        <w:pStyle w:val="4"/>
        <w:keepNext w:val="0"/>
        <w:keepLines w:val="0"/>
        <w:spacing w:before="0" w:after="0" w:line="600" w:lineRule="exact"/>
        <w:rPr>
          <w:rFonts w:ascii="Times New Roman" w:hAnsi="Times New Roman" w:eastAsia="仿宋_GB2312"/>
        </w:rPr>
      </w:pPr>
      <w:bookmarkStart w:id="116" w:name="_Toc15396630"/>
      <w:bookmarkStart w:id="117" w:name="_Toc31497"/>
      <w:r>
        <w:rPr>
          <w:rStyle w:val="19"/>
          <w:rFonts w:ascii="Times New Roman" w:hAnsi="Times New Roman" w:eastAsia="仿宋_GB2312"/>
          <w:b w:val="0"/>
          <w:bCs w:val="0"/>
        </w:rPr>
        <w:t>十二、</w:t>
      </w:r>
      <w:bookmarkEnd w:id="116"/>
      <w:r>
        <w:rPr>
          <w:rStyle w:val="19"/>
          <w:rFonts w:ascii="Times New Roman" w:hAnsi="Times New Roman" w:eastAsia="仿宋_GB2312"/>
          <w:b w:val="0"/>
          <w:bCs w:val="0"/>
        </w:rPr>
        <w:t>国有资本经营预算财政拨款支出决算表</w:t>
      </w:r>
      <w:bookmarkEnd w:id="117"/>
    </w:p>
    <w:p>
      <w:pPr>
        <w:pStyle w:val="4"/>
        <w:keepNext w:val="0"/>
        <w:keepLines w:val="0"/>
        <w:spacing w:before="0" w:after="0" w:line="600" w:lineRule="exact"/>
        <w:rPr>
          <w:rFonts w:ascii="Times New Roman" w:hAnsi="Times New Roman" w:eastAsia="仿宋_GB2312"/>
        </w:rPr>
      </w:pPr>
      <w:bookmarkStart w:id="118" w:name="_Toc15396631"/>
      <w:bookmarkStart w:id="119" w:name="_Toc25862"/>
      <w:r>
        <w:rPr>
          <w:rStyle w:val="19"/>
          <w:rFonts w:ascii="Times New Roman" w:hAnsi="Times New Roman" w:eastAsia="仿宋_GB2312"/>
          <w:b w:val="0"/>
          <w:bCs w:val="0"/>
        </w:rPr>
        <w:t>十三、</w:t>
      </w:r>
      <w:bookmarkEnd w:id="118"/>
      <w:r>
        <w:rPr>
          <w:rStyle w:val="19"/>
          <w:rFonts w:ascii="Times New Roman" w:hAnsi="Times New Roman" w:eastAsia="仿宋_GB2312"/>
          <w:b w:val="0"/>
          <w:bCs w:val="0"/>
        </w:rPr>
        <w:t>财政拨款“三公”经费支出决算表</w:t>
      </w:r>
      <w:bookmarkEnd w:id="119"/>
    </w:p>
    <w:sectPr>
      <w:headerReference r:id="rId3" w:type="default"/>
      <w:footerReference r:id="rId4" w:type="default"/>
      <w:footerReference r:id="rId5" w:type="even"/>
      <w:pgSz w:w="11906" w:h="16838"/>
      <w:pgMar w:top="1985" w:right="1474" w:bottom="141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971D9F-B892-4990-AD16-8435CF8234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ABA568DC-EB38-47AA-A0A7-75E63E114A2B}"/>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3" w:fontKey="{B636F79A-474A-419D-8969-4FD609E564B4}"/>
  </w:font>
  <w:font w:name="楷体_GB2312">
    <w:panose1 w:val="02010609030101010101"/>
    <w:charset w:val="86"/>
    <w:family w:val="modern"/>
    <w:pitch w:val="default"/>
    <w:sig w:usb0="00000001" w:usb1="080E0000" w:usb2="00000000" w:usb3="00000000" w:csb0="00040000" w:csb1="00000000"/>
    <w:embedRegular r:id="rId4" w:fontKey="{CD777557-4D0C-45BE-BE75-9BC8A85E253F}"/>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996345"/>
    </w:sdtPr>
    <w:sdtEndPr>
      <w:rPr>
        <w:rFonts w:asciiTheme="minorEastAsia" w:hAnsiTheme="minorEastAsia" w:eastAsiaTheme="minorEastAsia"/>
        <w:sz w:val="28"/>
        <w:szCs w:val="28"/>
      </w:rPr>
    </w:sdtEndPr>
    <w:sdtContent>
      <w:p>
        <w:pPr>
          <w:pStyle w:val="9"/>
          <w:jc w:val="right"/>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699996363"/>
    </w:sdtPr>
    <w:sdtEndPr>
      <w:rPr>
        <w:rFonts w:asciiTheme="minorEastAsia" w:hAnsiTheme="minorEastAsia" w:eastAsiaTheme="minorEastAsia"/>
        <w:sz w:val="28"/>
        <w:szCs w:val="28"/>
      </w:rPr>
    </w:sdtEndPr>
    <w:sdtContent>
      <w:p>
        <w:pPr>
          <w:pStyle w:val="9"/>
          <w:rPr>
            <w:rFonts w:asciiTheme="minorEastAsia" w:hAnsiTheme="minorEastAsia" w:eastAsiaTheme="minorEastAsia"/>
            <w:sz w:val="28"/>
            <w:szCs w:val="28"/>
          </w:rPr>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36</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DEBEF323"/>
    <w:multiLevelType w:val="singleLevel"/>
    <w:tmpl w:val="DEBEF323"/>
    <w:lvl w:ilvl="0" w:tentative="0">
      <w:start w:val="4"/>
      <w:numFmt w:val="chineseCounting"/>
      <w:suff w:val="nothing"/>
      <w:lvlText w:val="（%1）"/>
      <w:lvlJc w:val="left"/>
      <w:pPr>
        <w:ind w:left="0" w:firstLine="0"/>
      </w:pPr>
      <w:rPr>
        <w:rFonts w:hint="eastAsia"/>
      </w:rPr>
    </w:lvl>
  </w:abstractNum>
  <w:abstractNum w:abstractNumId="2">
    <w:nsid w:val="E2FA047D"/>
    <w:multiLevelType w:val="singleLevel"/>
    <w:tmpl w:val="E2FA047D"/>
    <w:lvl w:ilvl="0" w:tentative="0">
      <w:start w:val="3"/>
      <w:numFmt w:val="chineseCounting"/>
      <w:suff w:val="space"/>
      <w:lvlText w:val="第%1部分"/>
      <w:lvlJc w:val="left"/>
      <w:pPr>
        <w:ind w:left="0" w:firstLine="0"/>
      </w:pPr>
      <w:rPr>
        <w:rFonts w:hint="eastAsia"/>
      </w:rPr>
    </w:lvl>
  </w:abstractNum>
  <w:abstractNum w:abstractNumId="3">
    <w:nsid w:val="FFF674BC"/>
    <w:multiLevelType w:val="singleLevel"/>
    <w:tmpl w:val="FFF674BC"/>
    <w:lvl w:ilvl="0" w:tentative="0">
      <w:start w:val="1"/>
      <w:numFmt w:val="chineseCounting"/>
      <w:suff w:val="nothing"/>
      <w:lvlText w:val="%1、"/>
      <w:lvlJc w:val="left"/>
      <w:pPr>
        <w:ind w:left="0" w:firstLine="0"/>
      </w:pPr>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hideSpellingErrors/>
  <w:documentProtection w:edit="readOnly"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MWQ2ZmMyMGQzNmZlNTM3YmNjYmYzZGJlZDVmMGE2NzkifQ=="/>
  </w:docVars>
  <w:rsids>
    <w:rsidRoot w:val="00067412"/>
    <w:rsid w:val="00027611"/>
    <w:rsid w:val="00055D9D"/>
    <w:rsid w:val="000600A4"/>
    <w:rsid w:val="00067412"/>
    <w:rsid w:val="000A697F"/>
    <w:rsid w:val="000B0CCF"/>
    <w:rsid w:val="000C4B8F"/>
    <w:rsid w:val="000D130C"/>
    <w:rsid w:val="000E4F55"/>
    <w:rsid w:val="00172EF5"/>
    <w:rsid w:val="0018254A"/>
    <w:rsid w:val="001B489F"/>
    <w:rsid w:val="001E4738"/>
    <w:rsid w:val="002079BB"/>
    <w:rsid w:val="00252CAD"/>
    <w:rsid w:val="0027528E"/>
    <w:rsid w:val="002831FB"/>
    <w:rsid w:val="00296F69"/>
    <w:rsid w:val="002C4D02"/>
    <w:rsid w:val="002C6397"/>
    <w:rsid w:val="002E710C"/>
    <w:rsid w:val="0031304A"/>
    <w:rsid w:val="00333F66"/>
    <w:rsid w:val="003919CD"/>
    <w:rsid w:val="003D7E24"/>
    <w:rsid w:val="003F0F55"/>
    <w:rsid w:val="004310E9"/>
    <w:rsid w:val="004A7E86"/>
    <w:rsid w:val="004C5848"/>
    <w:rsid w:val="004E1B6E"/>
    <w:rsid w:val="004F11EF"/>
    <w:rsid w:val="0050698E"/>
    <w:rsid w:val="00545F91"/>
    <w:rsid w:val="005545EB"/>
    <w:rsid w:val="00591C99"/>
    <w:rsid w:val="005C4D1A"/>
    <w:rsid w:val="00627B25"/>
    <w:rsid w:val="006768E3"/>
    <w:rsid w:val="006C7F78"/>
    <w:rsid w:val="006D08E1"/>
    <w:rsid w:val="00720585"/>
    <w:rsid w:val="007B7F21"/>
    <w:rsid w:val="007F337C"/>
    <w:rsid w:val="00811055"/>
    <w:rsid w:val="008A2A29"/>
    <w:rsid w:val="008D7928"/>
    <w:rsid w:val="00950A56"/>
    <w:rsid w:val="009D72F8"/>
    <w:rsid w:val="00A03DCB"/>
    <w:rsid w:val="00A42B70"/>
    <w:rsid w:val="00A43526"/>
    <w:rsid w:val="00A5352A"/>
    <w:rsid w:val="00A7164A"/>
    <w:rsid w:val="00A836C3"/>
    <w:rsid w:val="00A84908"/>
    <w:rsid w:val="00AA181E"/>
    <w:rsid w:val="00AB68E4"/>
    <w:rsid w:val="00AE5BE6"/>
    <w:rsid w:val="00AE6C32"/>
    <w:rsid w:val="00B02BC5"/>
    <w:rsid w:val="00B04274"/>
    <w:rsid w:val="00B16C94"/>
    <w:rsid w:val="00B739AB"/>
    <w:rsid w:val="00BA5C25"/>
    <w:rsid w:val="00BB2B1A"/>
    <w:rsid w:val="00C450A6"/>
    <w:rsid w:val="00C72516"/>
    <w:rsid w:val="00C72876"/>
    <w:rsid w:val="00C95745"/>
    <w:rsid w:val="00CA43D1"/>
    <w:rsid w:val="00CC3A23"/>
    <w:rsid w:val="00D4494F"/>
    <w:rsid w:val="00D82C4A"/>
    <w:rsid w:val="00E019A7"/>
    <w:rsid w:val="00E20731"/>
    <w:rsid w:val="00E21132"/>
    <w:rsid w:val="00E27E44"/>
    <w:rsid w:val="00E430E8"/>
    <w:rsid w:val="00E536C1"/>
    <w:rsid w:val="00E5496F"/>
    <w:rsid w:val="00E9738D"/>
    <w:rsid w:val="00F0713E"/>
    <w:rsid w:val="00F118DD"/>
    <w:rsid w:val="00F2693B"/>
    <w:rsid w:val="00F9238E"/>
    <w:rsid w:val="00F95966"/>
    <w:rsid w:val="00FE4E48"/>
    <w:rsid w:val="01033A87"/>
    <w:rsid w:val="012271E6"/>
    <w:rsid w:val="01CC556B"/>
    <w:rsid w:val="01F50835"/>
    <w:rsid w:val="020D70BA"/>
    <w:rsid w:val="027855C7"/>
    <w:rsid w:val="02A42B73"/>
    <w:rsid w:val="02D22565"/>
    <w:rsid w:val="03A80A7F"/>
    <w:rsid w:val="03E4573C"/>
    <w:rsid w:val="04624886"/>
    <w:rsid w:val="04BF42BE"/>
    <w:rsid w:val="04F56CD0"/>
    <w:rsid w:val="05157912"/>
    <w:rsid w:val="053B7370"/>
    <w:rsid w:val="053C6B02"/>
    <w:rsid w:val="053D264F"/>
    <w:rsid w:val="05811660"/>
    <w:rsid w:val="058F59CB"/>
    <w:rsid w:val="05AE675E"/>
    <w:rsid w:val="066576A1"/>
    <w:rsid w:val="068D4652"/>
    <w:rsid w:val="069866FA"/>
    <w:rsid w:val="06B83E74"/>
    <w:rsid w:val="06EE3939"/>
    <w:rsid w:val="0784363C"/>
    <w:rsid w:val="0830045A"/>
    <w:rsid w:val="084C02B9"/>
    <w:rsid w:val="085200A7"/>
    <w:rsid w:val="08983B28"/>
    <w:rsid w:val="090D325A"/>
    <w:rsid w:val="097408A6"/>
    <w:rsid w:val="09940975"/>
    <w:rsid w:val="099B0E3E"/>
    <w:rsid w:val="099F5C0E"/>
    <w:rsid w:val="0A0A4BAC"/>
    <w:rsid w:val="0A4946DB"/>
    <w:rsid w:val="0AA86E23"/>
    <w:rsid w:val="0AAB0C68"/>
    <w:rsid w:val="0AD0692C"/>
    <w:rsid w:val="0B497403"/>
    <w:rsid w:val="0B5C363D"/>
    <w:rsid w:val="0BA9075E"/>
    <w:rsid w:val="0C1D1BD9"/>
    <w:rsid w:val="0CBE5545"/>
    <w:rsid w:val="0D277A92"/>
    <w:rsid w:val="0D313628"/>
    <w:rsid w:val="0D3E5011"/>
    <w:rsid w:val="0D9E43A4"/>
    <w:rsid w:val="0DB24F55"/>
    <w:rsid w:val="0DBB1EF0"/>
    <w:rsid w:val="0DCB4615"/>
    <w:rsid w:val="0DD003C6"/>
    <w:rsid w:val="0E3D591E"/>
    <w:rsid w:val="0E3F7523"/>
    <w:rsid w:val="0E6731B5"/>
    <w:rsid w:val="0E7457DB"/>
    <w:rsid w:val="0EB2798E"/>
    <w:rsid w:val="0EC57113"/>
    <w:rsid w:val="0EE33033"/>
    <w:rsid w:val="0EE757F5"/>
    <w:rsid w:val="0F040A95"/>
    <w:rsid w:val="0F073863"/>
    <w:rsid w:val="0F2520FB"/>
    <w:rsid w:val="0F902347"/>
    <w:rsid w:val="10737D1E"/>
    <w:rsid w:val="10BD0DE4"/>
    <w:rsid w:val="11E25E2A"/>
    <w:rsid w:val="121F35F0"/>
    <w:rsid w:val="12225918"/>
    <w:rsid w:val="123F37E5"/>
    <w:rsid w:val="1267753B"/>
    <w:rsid w:val="12FF1AF3"/>
    <w:rsid w:val="135C27D4"/>
    <w:rsid w:val="13902FCE"/>
    <w:rsid w:val="13CD38EC"/>
    <w:rsid w:val="1438403A"/>
    <w:rsid w:val="14F04483"/>
    <w:rsid w:val="150D5127"/>
    <w:rsid w:val="151B34D8"/>
    <w:rsid w:val="1557565B"/>
    <w:rsid w:val="155D6CFD"/>
    <w:rsid w:val="158C1481"/>
    <w:rsid w:val="159161B5"/>
    <w:rsid w:val="15DC3105"/>
    <w:rsid w:val="16056F79"/>
    <w:rsid w:val="16057921"/>
    <w:rsid w:val="166D11E5"/>
    <w:rsid w:val="166D2B77"/>
    <w:rsid w:val="16B25B7F"/>
    <w:rsid w:val="16E11ECD"/>
    <w:rsid w:val="16E52BDA"/>
    <w:rsid w:val="172F293A"/>
    <w:rsid w:val="17A57FF5"/>
    <w:rsid w:val="17AA3033"/>
    <w:rsid w:val="185D7E9E"/>
    <w:rsid w:val="18B94FD0"/>
    <w:rsid w:val="18C640E1"/>
    <w:rsid w:val="190761CF"/>
    <w:rsid w:val="190B2BA6"/>
    <w:rsid w:val="191465D0"/>
    <w:rsid w:val="191E483C"/>
    <w:rsid w:val="193B6B66"/>
    <w:rsid w:val="1A16255B"/>
    <w:rsid w:val="1A3B7C02"/>
    <w:rsid w:val="1A404D90"/>
    <w:rsid w:val="1B141EE5"/>
    <w:rsid w:val="1B8A5D30"/>
    <w:rsid w:val="1B9A30DC"/>
    <w:rsid w:val="1BA94DAD"/>
    <w:rsid w:val="1BC710A0"/>
    <w:rsid w:val="1C165CCA"/>
    <w:rsid w:val="1C452512"/>
    <w:rsid w:val="1C7C7070"/>
    <w:rsid w:val="1C855668"/>
    <w:rsid w:val="1CE3722B"/>
    <w:rsid w:val="1CF84678"/>
    <w:rsid w:val="1D102A45"/>
    <w:rsid w:val="1D4B0BE7"/>
    <w:rsid w:val="1D617883"/>
    <w:rsid w:val="1D723F4E"/>
    <w:rsid w:val="1D7530E6"/>
    <w:rsid w:val="1D7973CE"/>
    <w:rsid w:val="1DEB41AE"/>
    <w:rsid w:val="1E5444E1"/>
    <w:rsid w:val="1EA22D4C"/>
    <w:rsid w:val="1EC8183B"/>
    <w:rsid w:val="1EF315DB"/>
    <w:rsid w:val="1F186FE4"/>
    <w:rsid w:val="1F523F3D"/>
    <w:rsid w:val="1F5A71B0"/>
    <w:rsid w:val="1FB10BF3"/>
    <w:rsid w:val="1FC33AE3"/>
    <w:rsid w:val="1FE267F5"/>
    <w:rsid w:val="210B7834"/>
    <w:rsid w:val="211E7239"/>
    <w:rsid w:val="214D575F"/>
    <w:rsid w:val="215C4A2F"/>
    <w:rsid w:val="21B1144E"/>
    <w:rsid w:val="21C920E7"/>
    <w:rsid w:val="221145A4"/>
    <w:rsid w:val="221F15FC"/>
    <w:rsid w:val="22687080"/>
    <w:rsid w:val="22B8397C"/>
    <w:rsid w:val="22BB04FC"/>
    <w:rsid w:val="22CC1B58"/>
    <w:rsid w:val="22D2543B"/>
    <w:rsid w:val="22E44EDD"/>
    <w:rsid w:val="22EE6188"/>
    <w:rsid w:val="22F83502"/>
    <w:rsid w:val="235C3FC3"/>
    <w:rsid w:val="2394642B"/>
    <w:rsid w:val="23E74E05"/>
    <w:rsid w:val="23F33F60"/>
    <w:rsid w:val="23FB3B05"/>
    <w:rsid w:val="240214B4"/>
    <w:rsid w:val="241C45CD"/>
    <w:rsid w:val="24673CF9"/>
    <w:rsid w:val="248618F8"/>
    <w:rsid w:val="24893F94"/>
    <w:rsid w:val="24A15AB5"/>
    <w:rsid w:val="24B7191A"/>
    <w:rsid w:val="24BD60DA"/>
    <w:rsid w:val="24DB262B"/>
    <w:rsid w:val="24E624CD"/>
    <w:rsid w:val="2618714C"/>
    <w:rsid w:val="26296F53"/>
    <w:rsid w:val="264C379E"/>
    <w:rsid w:val="2692383B"/>
    <w:rsid w:val="26A71E0C"/>
    <w:rsid w:val="271754AA"/>
    <w:rsid w:val="27257CB9"/>
    <w:rsid w:val="27340442"/>
    <w:rsid w:val="27BD59A0"/>
    <w:rsid w:val="27CB3B4C"/>
    <w:rsid w:val="27D9467B"/>
    <w:rsid w:val="28066458"/>
    <w:rsid w:val="28082C4D"/>
    <w:rsid w:val="280954D6"/>
    <w:rsid w:val="28305E36"/>
    <w:rsid w:val="284F4A1F"/>
    <w:rsid w:val="28B04969"/>
    <w:rsid w:val="28B73B43"/>
    <w:rsid w:val="28EA738E"/>
    <w:rsid w:val="290A705D"/>
    <w:rsid w:val="29134154"/>
    <w:rsid w:val="298227F2"/>
    <w:rsid w:val="2AAA7F96"/>
    <w:rsid w:val="2AC208D3"/>
    <w:rsid w:val="2B0B3E31"/>
    <w:rsid w:val="2B1628B7"/>
    <w:rsid w:val="2B4B6D35"/>
    <w:rsid w:val="2B960772"/>
    <w:rsid w:val="2BBA2A11"/>
    <w:rsid w:val="2BE05DB2"/>
    <w:rsid w:val="2CC2546F"/>
    <w:rsid w:val="2D0E4436"/>
    <w:rsid w:val="2D6324F8"/>
    <w:rsid w:val="2D74045C"/>
    <w:rsid w:val="2D8A6187"/>
    <w:rsid w:val="2DB40E8A"/>
    <w:rsid w:val="2EC34F42"/>
    <w:rsid w:val="2ECB7610"/>
    <w:rsid w:val="2EDD12FF"/>
    <w:rsid w:val="2EEA516B"/>
    <w:rsid w:val="2F300B80"/>
    <w:rsid w:val="2F5E59D9"/>
    <w:rsid w:val="2FD27E2F"/>
    <w:rsid w:val="2FEC4350"/>
    <w:rsid w:val="300717C1"/>
    <w:rsid w:val="303A275B"/>
    <w:rsid w:val="307F4269"/>
    <w:rsid w:val="3098499A"/>
    <w:rsid w:val="30F15A42"/>
    <w:rsid w:val="31207E6D"/>
    <w:rsid w:val="31217521"/>
    <w:rsid w:val="317C2AD0"/>
    <w:rsid w:val="31813AAD"/>
    <w:rsid w:val="31C430FB"/>
    <w:rsid w:val="31C62443"/>
    <w:rsid w:val="31DA2C35"/>
    <w:rsid w:val="3201622F"/>
    <w:rsid w:val="322E1C41"/>
    <w:rsid w:val="322E2728"/>
    <w:rsid w:val="33153BF4"/>
    <w:rsid w:val="331E1C9B"/>
    <w:rsid w:val="33363457"/>
    <w:rsid w:val="335F4997"/>
    <w:rsid w:val="336609F2"/>
    <w:rsid w:val="33C22893"/>
    <w:rsid w:val="33F31467"/>
    <w:rsid w:val="34AA4999"/>
    <w:rsid w:val="352E62C1"/>
    <w:rsid w:val="359D1C59"/>
    <w:rsid w:val="35F454EA"/>
    <w:rsid w:val="3630402A"/>
    <w:rsid w:val="376F30FC"/>
    <w:rsid w:val="37844FB5"/>
    <w:rsid w:val="37946FC6"/>
    <w:rsid w:val="37D42EE6"/>
    <w:rsid w:val="3806478F"/>
    <w:rsid w:val="385452E4"/>
    <w:rsid w:val="38B60E1F"/>
    <w:rsid w:val="39390503"/>
    <w:rsid w:val="3A0672D5"/>
    <w:rsid w:val="3A16073F"/>
    <w:rsid w:val="3A32047A"/>
    <w:rsid w:val="3A4B39E7"/>
    <w:rsid w:val="3A540DE8"/>
    <w:rsid w:val="3A560A3F"/>
    <w:rsid w:val="3AC83049"/>
    <w:rsid w:val="3AF1624B"/>
    <w:rsid w:val="3B092DAD"/>
    <w:rsid w:val="3B2B7225"/>
    <w:rsid w:val="3B402F0B"/>
    <w:rsid w:val="3C1B0638"/>
    <w:rsid w:val="3C46777C"/>
    <w:rsid w:val="3C5328B7"/>
    <w:rsid w:val="3C9728C9"/>
    <w:rsid w:val="3CAB6F13"/>
    <w:rsid w:val="3D5F4A51"/>
    <w:rsid w:val="3D9015C6"/>
    <w:rsid w:val="3DFC02BF"/>
    <w:rsid w:val="3E260685"/>
    <w:rsid w:val="3E3C4CCF"/>
    <w:rsid w:val="3EB118E4"/>
    <w:rsid w:val="3ED9655C"/>
    <w:rsid w:val="3FD80D35"/>
    <w:rsid w:val="403468B4"/>
    <w:rsid w:val="40433328"/>
    <w:rsid w:val="40507472"/>
    <w:rsid w:val="40910A76"/>
    <w:rsid w:val="40931A8F"/>
    <w:rsid w:val="40BD2711"/>
    <w:rsid w:val="40FE7EEB"/>
    <w:rsid w:val="412E21FA"/>
    <w:rsid w:val="414573AE"/>
    <w:rsid w:val="416D4099"/>
    <w:rsid w:val="41DA2B01"/>
    <w:rsid w:val="41F63DC1"/>
    <w:rsid w:val="422C53B6"/>
    <w:rsid w:val="42560BDF"/>
    <w:rsid w:val="425C78EF"/>
    <w:rsid w:val="427C465E"/>
    <w:rsid w:val="42C03751"/>
    <w:rsid w:val="43552B30"/>
    <w:rsid w:val="438013AD"/>
    <w:rsid w:val="43900AF1"/>
    <w:rsid w:val="439213FF"/>
    <w:rsid w:val="43992CBE"/>
    <w:rsid w:val="43B229BE"/>
    <w:rsid w:val="441379B3"/>
    <w:rsid w:val="442715D8"/>
    <w:rsid w:val="446D2D62"/>
    <w:rsid w:val="447A51DB"/>
    <w:rsid w:val="451E7B00"/>
    <w:rsid w:val="455F1702"/>
    <w:rsid w:val="45713405"/>
    <w:rsid w:val="458411BB"/>
    <w:rsid w:val="45D9740E"/>
    <w:rsid w:val="46082D6E"/>
    <w:rsid w:val="462C3176"/>
    <w:rsid w:val="46B13F89"/>
    <w:rsid w:val="4725268E"/>
    <w:rsid w:val="47EF30CF"/>
    <w:rsid w:val="4843441C"/>
    <w:rsid w:val="489A3394"/>
    <w:rsid w:val="48C54D7F"/>
    <w:rsid w:val="48EF7832"/>
    <w:rsid w:val="49C44B93"/>
    <w:rsid w:val="49ED742E"/>
    <w:rsid w:val="49F863C2"/>
    <w:rsid w:val="4A011E36"/>
    <w:rsid w:val="4A503BD2"/>
    <w:rsid w:val="4A8B465D"/>
    <w:rsid w:val="4AA05BF3"/>
    <w:rsid w:val="4AA34BE9"/>
    <w:rsid w:val="4AB80C8C"/>
    <w:rsid w:val="4B0977FA"/>
    <w:rsid w:val="4B18673F"/>
    <w:rsid w:val="4B746C82"/>
    <w:rsid w:val="4B771F5C"/>
    <w:rsid w:val="4C1C146D"/>
    <w:rsid w:val="4CAD1671"/>
    <w:rsid w:val="4CDE425B"/>
    <w:rsid w:val="4D8D37E0"/>
    <w:rsid w:val="4DD80D6F"/>
    <w:rsid w:val="4E130133"/>
    <w:rsid w:val="4E3B2555"/>
    <w:rsid w:val="4E4402FE"/>
    <w:rsid w:val="4E6740DA"/>
    <w:rsid w:val="4F216488"/>
    <w:rsid w:val="4F283CFC"/>
    <w:rsid w:val="4F53352B"/>
    <w:rsid w:val="4F6B6AF0"/>
    <w:rsid w:val="501C380B"/>
    <w:rsid w:val="502D4D1A"/>
    <w:rsid w:val="50522C0E"/>
    <w:rsid w:val="5066126B"/>
    <w:rsid w:val="50741D4E"/>
    <w:rsid w:val="509743E1"/>
    <w:rsid w:val="509C306E"/>
    <w:rsid w:val="50A4143F"/>
    <w:rsid w:val="50D87B43"/>
    <w:rsid w:val="50EF52F0"/>
    <w:rsid w:val="50FE7EE5"/>
    <w:rsid w:val="511A12BD"/>
    <w:rsid w:val="512113F0"/>
    <w:rsid w:val="517F2F8C"/>
    <w:rsid w:val="51904FCA"/>
    <w:rsid w:val="51D2241C"/>
    <w:rsid w:val="522D1C39"/>
    <w:rsid w:val="52F25D0C"/>
    <w:rsid w:val="53123ED9"/>
    <w:rsid w:val="535C79AE"/>
    <w:rsid w:val="53621738"/>
    <w:rsid w:val="538A4E14"/>
    <w:rsid w:val="539B5E15"/>
    <w:rsid w:val="53CE46AE"/>
    <w:rsid w:val="53F04A47"/>
    <w:rsid w:val="5448673C"/>
    <w:rsid w:val="547A76F5"/>
    <w:rsid w:val="54F35018"/>
    <w:rsid w:val="550F7D97"/>
    <w:rsid w:val="5527085D"/>
    <w:rsid w:val="553A0170"/>
    <w:rsid w:val="55AA1563"/>
    <w:rsid w:val="55D72594"/>
    <w:rsid w:val="563C4C5C"/>
    <w:rsid w:val="56857263"/>
    <w:rsid w:val="56926FCF"/>
    <w:rsid w:val="56AE5E34"/>
    <w:rsid w:val="56FD0EE9"/>
    <w:rsid w:val="57146F98"/>
    <w:rsid w:val="574329C4"/>
    <w:rsid w:val="57607431"/>
    <w:rsid w:val="579448A2"/>
    <w:rsid w:val="57BA740E"/>
    <w:rsid w:val="57EB4582"/>
    <w:rsid w:val="583F1364"/>
    <w:rsid w:val="58525E08"/>
    <w:rsid w:val="585E6BF1"/>
    <w:rsid w:val="58703928"/>
    <w:rsid w:val="58967B0B"/>
    <w:rsid w:val="5898291A"/>
    <w:rsid w:val="58E26688"/>
    <w:rsid w:val="591E2C84"/>
    <w:rsid w:val="593E01E8"/>
    <w:rsid w:val="59740596"/>
    <w:rsid w:val="59B33B8A"/>
    <w:rsid w:val="5A432BE2"/>
    <w:rsid w:val="5A6241FA"/>
    <w:rsid w:val="5A7B25F8"/>
    <w:rsid w:val="5A9420C3"/>
    <w:rsid w:val="5AB94E62"/>
    <w:rsid w:val="5AD10BFC"/>
    <w:rsid w:val="5B0326D5"/>
    <w:rsid w:val="5B8C140D"/>
    <w:rsid w:val="5BF36379"/>
    <w:rsid w:val="5C153CA4"/>
    <w:rsid w:val="5C1D5298"/>
    <w:rsid w:val="5C372AC4"/>
    <w:rsid w:val="5C46415E"/>
    <w:rsid w:val="5C98724B"/>
    <w:rsid w:val="5D223B5A"/>
    <w:rsid w:val="5D4A2344"/>
    <w:rsid w:val="5D5545EA"/>
    <w:rsid w:val="5D9757BD"/>
    <w:rsid w:val="5E0A3720"/>
    <w:rsid w:val="5E985DA7"/>
    <w:rsid w:val="5EAF6BF1"/>
    <w:rsid w:val="5EF01695"/>
    <w:rsid w:val="5F745F32"/>
    <w:rsid w:val="5FB526A1"/>
    <w:rsid w:val="5FD12C28"/>
    <w:rsid w:val="60321B8C"/>
    <w:rsid w:val="607E2883"/>
    <w:rsid w:val="607E776D"/>
    <w:rsid w:val="60830542"/>
    <w:rsid w:val="608A0150"/>
    <w:rsid w:val="608F1053"/>
    <w:rsid w:val="60A6712B"/>
    <w:rsid w:val="60BE4DDA"/>
    <w:rsid w:val="6139482A"/>
    <w:rsid w:val="62E573E1"/>
    <w:rsid w:val="6315557A"/>
    <w:rsid w:val="632D1112"/>
    <w:rsid w:val="63584C6B"/>
    <w:rsid w:val="63606804"/>
    <w:rsid w:val="648F7C1B"/>
    <w:rsid w:val="64FD2A78"/>
    <w:rsid w:val="65763956"/>
    <w:rsid w:val="659A07F5"/>
    <w:rsid w:val="65B02F90"/>
    <w:rsid w:val="65B14BE5"/>
    <w:rsid w:val="660D548D"/>
    <w:rsid w:val="662A6CBA"/>
    <w:rsid w:val="66F0631D"/>
    <w:rsid w:val="672F15D7"/>
    <w:rsid w:val="673F7A86"/>
    <w:rsid w:val="676F59BF"/>
    <w:rsid w:val="67E13903"/>
    <w:rsid w:val="680837AB"/>
    <w:rsid w:val="688C4574"/>
    <w:rsid w:val="69431893"/>
    <w:rsid w:val="69C7586F"/>
    <w:rsid w:val="69D25CF9"/>
    <w:rsid w:val="6A7C0E07"/>
    <w:rsid w:val="6B696A22"/>
    <w:rsid w:val="6B6D2CF0"/>
    <w:rsid w:val="6B917A20"/>
    <w:rsid w:val="6BA03EED"/>
    <w:rsid w:val="6BB2594B"/>
    <w:rsid w:val="6BB57920"/>
    <w:rsid w:val="6BC15E9A"/>
    <w:rsid w:val="6BD65597"/>
    <w:rsid w:val="6C503BD0"/>
    <w:rsid w:val="6C8502B0"/>
    <w:rsid w:val="6D0417E8"/>
    <w:rsid w:val="6D7A47E6"/>
    <w:rsid w:val="6DB94777"/>
    <w:rsid w:val="6DCD2F42"/>
    <w:rsid w:val="6E0164AF"/>
    <w:rsid w:val="6EF1271E"/>
    <w:rsid w:val="6EFE5CCC"/>
    <w:rsid w:val="6F602248"/>
    <w:rsid w:val="6FC86539"/>
    <w:rsid w:val="6FD3230B"/>
    <w:rsid w:val="706A4A5B"/>
    <w:rsid w:val="70B47CAE"/>
    <w:rsid w:val="70F835EF"/>
    <w:rsid w:val="710C63E6"/>
    <w:rsid w:val="712872AA"/>
    <w:rsid w:val="71C248B2"/>
    <w:rsid w:val="720745D5"/>
    <w:rsid w:val="722E5B39"/>
    <w:rsid w:val="723A151B"/>
    <w:rsid w:val="727B7BEA"/>
    <w:rsid w:val="72C76498"/>
    <w:rsid w:val="72CA606C"/>
    <w:rsid w:val="72DB1361"/>
    <w:rsid w:val="73B774D5"/>
    <w:rsid w:val="73BC206E"/>
    <w:rsid w:val="740751D4"/>
    <w:rsid w:val="7465614D"/>
    <w:rsid w:val="749B28DA"/>
    <w:rsid w:val="74B841BB"/>
    <w:rsid w:val="74EE0C07"/>
    <w:rsid w:val="7522622B"/>
    <w:rsid w:val="75402C67"/>
    <w:rsid w:val="75937F08"/>
    <w:rsid w:val="75EE1EC2"/>
    <w:rsid w:val="7643082D"/>
    <w:rsid w:val="76DE4522"/>
    <w:rsid w:val="77706D6D"/>
    <w:rsid w:val="77711E52"/>
    <w:rsid w:val="777E6FEC"/>
    <w:rsid w:val="779777F3"/>
    <w:rsid w:val="78290FEF"/>
    <w:rsid w:val="78A06D29"/>
    <w:rsid w:val="791C0C64"/>
    <w:rsid w:val="79257218"/>
    <w:rsid w:val="792617F3"/>
    <w:rsid w:val="793C1B9B"/>
    <w:rsid w:val="79C31F52"/>
    <w:rsid w:val="79F52518"/>
    <w:rsid w:val="7A18637A"/>
    <w:rsid w:val="7A3B5C24"/>
    <w:rsid w:val="7AB842D5"/>
    <w:rsid w:val="7AD062D9"/>
    <w:rsid w:val="7AFE377E"/>
    <w:rsid w:val="7B050B26"/>
    <w:rsid w:val="7B31554A"/>
    <w:rsid w:val="7B4B6D21"/>
    <w:rsid w:val="7B7D78DD"/>
    <w:rsid w:val="7BD15026"/>
    <w:rsid w:val="7BD52F14"/>
    <w:rsid w:val="7C5E366B"/>
    <w:rsid w:val="7CD2216A"/>
    <w:rsid w:val="7D476824"/>
    <w:rsid w:val="7D6924BF"/>
    <w:rsid w:val="7DE70F4C"/>
    <w:rsid w:val="7E1F1613"/>
    <w:rsid w:val="7E3B70BB"/>
    <w:rsid w:val="7E6B71A1"/>
    <w:rsid w:val="7F0402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hAnsi="仿宋_GB2312"/>
      <w:szCs w:val="32"/>
    </w:rPr>
  </w:style>
  <w:style w:type="paragraph" w:styleId="7">
    <w:name w:val="toc 3"/>
    <w:basedOn w:val="1"/>
    <w:next w:val="1"/>
    <w:qFormat/>
    <w:uiPriority w:val="0"/>
    <w:pPr>
      <w:tabs>
        <w:tab w:val="right" w:leader="dot" w:pos="8296"/>
      </w:tabs>
      <w:ind w:left="400" w:leftChars="400"/>
    </w:pPr>
  </w:style>
  <w:style w:type="paragraph" w:styleId="8">
    <w:name w:val="Balloon Text"/>
    <w:basedOn w:val="1"/>
    <w:qFormat/>
    <w:uiPriority w:val="0"/>
    <w:rPr>
      <w:sz w:val="18"/>
      <w:szCs w:val="18"/>
    </w:rPr>
  </w:style>
  <w:style w:type="paragraph" w:styleId="9">
    <w:name w:val="footer"/>
    <w:basedOn w:val="1"/>
    <w:link w:val="34"/>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qFormat/>
    <w:uiPriority w:val="0"/>
    <w:pPr>
      <w:tabs>
        <w:tab w:val="right" w:leader="dot" w:pos="8296"/>
      </w:tabs>
      <w:spacing w:before="93"/>
      <w:jc w:val="center"/>
    </w:pPr>
    <w:rPr>
      <w:rFonts w:ascii="仿宋" w:eastAsia="仿宋"/>
      <w:sz w:val="28"/>
      <w:szCs w:val="28"/>
    </w:rPr>
  </w:style>
  <w:style w:type="paragraph" w:styleId="12">
    <w:name w:val="toc 2"/>
    <w:basedOn w:val="1"/>
    <w:next w:val="1"/>
    <w:qFormat/>
    <w:uiPriority w:val="0"/>
    <w:pPr>
      <w:tabs>
        <w:tab w:val="right" w:leader="dot" w:pos="8296"/>
      </w:tabs>
      <w:ind w:left="200" w:leftChars="200"/>
    </w:pPr>
  </w:style>
  <w:style w:type="paragraph" w:styleId="13">
    <w:name w:val="Body Text First Indent 2"/>
    <w:basedOn w:val="6"/>
    <w:qFormat/>
    <w:uiPriority w:val="0"/>
    <w:pPr>
      <w:ind w:firstLine="200" w:firstLineChars="200"/>
    </w:p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标题 1 Char"/>
    <w:basedOn w:val="15"/>
    <w:link w:val="3"/>
    <w:qFormat/>
    <w:uiPriority w:val="0"/>
    <w:rPr>
      <w:rFonts w:ascii="Times New Roman" w:hAnsi="Times New Roman" w:eastAsia="宋体" w:cs="Times New Roman"/>
      <w:b/>
      <w:bCs/>
      <w:kern w:val="44"/>
      <w:sz w:val="44"/>
      <w:szCs w:val="44"/>
      <w:lang w:val="en-US" w:eastAsia="zh-CN" w:bidi="ar-SA"/>
    </w:rPr>
  </w:style>
  <w:style w:type="character" w:customStyle="1" w:styleId="19">
    <w:name w:val="标题 2 Char"/>
    <w:basedOn w:val="15"/>
    <w:link w:val="4"/>
    <w:qFormat/>
    <w:uiPriority w:val="0"/>
    <w:rPr>
      <w:rFonts w:ascii="Cambria" w:hAnsi="Cambria" w:eastAsia="宋体" w:cs="Times New Roman"/>
      <w:b/>
      <w:bCs/>
      <w:kern w:val="2"/>
      <w:sz w:val="32"/>
      <w:szCs w:val="32"/>
      <w:lang w:val="en-US" w:eastAsia="zh-CN" w:bidi="ar-SA"/>
    </w:rPr>
  </w:style>
  <w:style w:type="paragraph" w:customStyle="1" w:styleId="20">
    <w:name w:val="标题 5（有编号）（绿盟科技）"/>
    <w:next w:val="1"/>
    <w:qFormat/>
    <w:uiPriority w:val="0"/>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5"/>
    <w:qFormat/>
    <w:uiPriority w:val="0"/>
    <w:rPr>
      <w:rFonts w:ascii="Times New Roman" w:hAnsi="Times New Roman"/>
      <w:sz w:val="18"/>
      <w:szCs w:val="18"/>
    </w:rPr>
  </w:style>
  <w:style w:type="character" w:customStyle="1" w:styleId="22">
    <w:name w:val="Footer Char"/>
    <w:basedOn w:val="15"/>
    <w:qFormat/>
    <w:uiPriority w:val="0"/>
    <w:rPr>
      <w:rFonts w:ascii="Times New Roman" w:hAnsi="Times New Roman"/>
      <w:sz w:val="18"/>
      <w:szCs w:val="18"/>
    </w:rPr>
  </w:style>
  <w:style w:type="character" w:customStyle="1" w:styleId="23">
    <w:name w:val="Body Text Char"/>
    <w:basedOn w:val="15"/>
    <w:qFormat/>
    <w:uiPriority w:val="0"/>
    <w:rPr>
      <w:rFonts w:ascii="Times New Roman" w:hAnsi="Times New Roman"/>
      <w:szCs w:val="24"/>
    </w:rPr>
  </w:style>
  <w:style w:type="paragraph" w:customStyle="1" w:styleId="2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5">
    <w:name w:val="List Paragraph"/>
    <w:basedOn w:val="1"/>
    <w:qFormat/>
    <w:uiPriority w:val="0"/>
    <w:pPr>
      <w:ind w:firstLine="200" w:firstLineChars="200"/>
    </w:pPr>
  </w:style>
  <w:style w:type="paragraph" w:customStyle="1" w:styleId="26">
    <w:name w:val="TOC 标题1"/>
    <w:basedOn w:val="3"/>
    <w:next w:val="1"/>
    <w:qFormat/>
    <w:uiPriority w:val="0"/>
    <w:pPr>
      <w:widowControl/>
      <w:spacing w:before="480" w:after="0" w:line="276" w:lineRule="auto"/>
      <w:jc w:val="left"/>
      <w:outlineLvl w:val="9"/>
    </w:pPr>
    <w:rPr>
      <w:rFonts w:ascii="Cambria" w:hAnsi="Cambria"/>
      <w:color w:val="376092"/>
      <w:kern w:val="0"/>
      <w:sz w:val="28"/>
      <w:szCs w:val="28"/>
    </w:rPr>
  </w:style>
  <w:style w:type="paragraph" w:customStyle="1" w:styleId="27">
    <w:name w:val="TOC 标题2"/>
    <w:basedOn w:val="3"/>
    <w:next w:val="1"/>
    <w:qFormat/>
    <w:uiPriority w:val="0"/>
    <w:pPr>
      <w:widowControl/>
      <w:spacing w:before="480" w:after="0" w:line="276" w:lineRule="auto"/>
      <w:jc w:val="left"/>
      <w:outlineLvl w:val="9"/>
    </w:pPr>
    <w:rPr>
      <w:rFonts w:ascii="Cambria" w:hAnsi="Cambria"/>
      <w:color w:val="376092"/>
      <w:kern w:val="0"/>
      <w:sz w:val="28"/>
      <w:szCs w:val="28"/>
    </w:rPr>
  </w:style>
  <w:style w:type="paragraph" w:customStyle="1" w:styleId="28">
    <w:name w:val="四号正文"/>
    <w:basedOn w:val="1"/>
    <w:qFormat/>
    <w:uiPriority w:val="0"/>
    <w:pPr>
      <w:spacing w:line="360" w:lineRule="auto"/>
    </w:pPr>
    <w:rPr>
      <w:rFonts w:ascii="??" w:hAnsi="??"/>
      <w:color w:val="000000"/>
      <w:kern w:val="0"/>
      <w:sz w:val="28"/>
      <w:szCs w:val="21"/>
      <w:lang w:val="zh-CN"/>
    </w:rPr>
  </w:style>
  <w:style w:type="paragraph" w:customStyle="1" w:styleId="29">
    <w:name w:val="WPSOffice手动目录 1"/>
    <w:qFormat/>
    <w:uiPriority w:val="0"/>
    <w:rPr>
      <w:rFonts w:ascii="Calibri" w:hAnsi="Calibri" w:eastAsia="宋体" w:cs="Arial"/>
      <w:lang w:val="en-US" w:eastAsia="zh-CN" w:bidi="ar-SA"/>
    </w:rPr>
  </w:style>
  <w:style w:type="paragraph" w:customStyle="1" w:styleId="30">
    <w:name w:val="WPSOffice手动目录 2"/>
    <w:qFormat/>
    <w:uiPriority w:val="0"/>
    <w:pPr>
      <w:ind w:left="200" w:leftChars="200"/>
    </w:pPr>
    <w:rPr>
      <w:rFonts w:ascii="Calibri" w:hAnsi="Calibri" w:eastAsia="宋体" w:cs="Arial"/>
      <w:lang w:val="en-US" w:eastAsia="zh-CN" w:bidi="ar-SA"/>
    </w:rPr>
  </w:style>
  <w:style w:type="character" w:customStyle="1" w:styleId="31">
    <w:name w:val="font51"/>
    <w:basedOn w:val="15"/>
    <w:qFormat/>
    <w:uiPriority w:val="0"/>
    <w:rPr>
      <w:rFonts w:ascii="宋体" w:eastAsia="宋体" w:cs="宋体"/>
      <w:color w:val="000000"/>
      <w:sz w:val="18"/>
      <w:szCs w:val="18"/>
      <w:u w:val="none"/>
    </w:rPr>
  </w:style>
  <w:style w:type="character" w:customStyle="1" w:styleId="32">
    <w:name w:val="font31"/>
    <w:basedOn w:val="15"/>
    <w:qFormat/>
    <w:uiPriority w:val="0"/>
    <w:rPr>
      <w:rFonts w:ascii="黑体" w:eastAsia="黑体" w:cs="黑体"/>
      <w:i/>
      <w:color w:val="000000"/>
      <w:sz w:val="18"/>
      <w:szCs w:val="18"/>
      <w:u w:val="none"/>
    </w:rPr>
  </w:style>
  <w:style w:type="character" w:customStyle="1" w:styleId="33">
    <w:name w:val="font21"/>
    <w:basedOn w:val="15"/>
    <w:qFormat/>
    <w:uiPriority w:val="0"/>
    <w:rPr>
      <w:rFonts w:ascii="宋体" w:eastAsia="宋体" w:cs="宋体"/>
      <w:i/>
      <w:color w:val="000000"/>
      <w:sz w:val="18"/>
      <w:szCs w:val="18"/>
      <w:u w:val="none"/>
    </w:rPr>
  </w:style>
  <w:style w:type="character" w:customStyle="1" w:styleId="34">
    <w:name w:val="页脚 Char"/>
    <w:basedOn w:val="15"/>
    <w:link w:val="9"/>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C5219F-CA4F-46AE-B37A-82AA22D0F9C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43</Pages>
  <Words>4367</Words>
  <Characters>24895</Characters>
  <Lines>207</Lines>
  <Paragraphs>58</Paragraphs>
  <TotalTime>0</TotalTime>
  <ScaleCrop>false</ScaleCrop>
  <LinksUpToDate>false</LinksUpToDate>
  <CharactersWithSpaces>29204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Hey</cp:lastModifiedBy>
  <cp:lastPrinted>2023-10-19T06:40:00Z</cp:lastPrinted>
  <dcterms:modified xsi:type="dcterms:W3CDTF">2023-10-23T07:21:54Z</dcterms:modified>
  <dc:title>四川省***</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890C28EDF7EA48CB940EEFCAD2DBFF04_12</vt:lpwstr>
  </property>
</Properties>
</file>