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E7" w:rsidRDefault="00C765E7" w:rsidP="004938DF">
      <w:pPr>
        <w:widowControl/>
        <w:spacing w:line="580" w:lineRule="exact"/>
        <w:jc w:val="center"/>
        <w:rPr>
          <w:rFonts w:ascii="宋体" w:eastAsia="宋体" w:hAnsi="宋体" w:cs="宋体" w:hint="eastAsia"/>
          <w:b/>
          <w:bCs/>
          <w:color w:val="333333"/>
          <w:kern w:val="0"/>
          <w:sz w:val="52"/>
          <w:szCs w:val="52"/>
        </w:rPr>
      </w:pPr>
    </w:p>
    <w:p w:rsidR="00C765E7" w:rsidRDefault="00CF3EFD" w:rsidP="004938DF">
      <w:pPr>
        <w:widowControl/>
        <w:spacing w:line="580" w:lineRule="exact"/>
        <w:jc w:val="center"/>
        <w:rPr>
          <w:rFonts w:ascii="宋体" w:eastAsia="宋体" w:hAnsi="宋体" w:cs="宋体"/>
          <w:b/>
          <w:bCs/>
          <w:color w:val="333333"/>
          <w:kern w:val="0"/>
          <w:sz w:val="32"/>
          <w:szCs w:val="32"/>
        </w:rPr>
      </w:pPr>
      <w:r>
        <w:rPr>
          <w:rFonts w:ascii="宋体" w:eastAsia="宋体" w:hAnsi="宋体" w:cs="宋体" w:hint="eastAsia"/>
          <w:b/>
          <w:bCs/>
          <w:color w:val="333333"/>
          <w:kern w:val="0"/>
          <w:sz w:val="52"/>
          <w:szCs w:val="52"/>
        </w:rPr>
        <w:t>绩效评价报告</w:t>
      </w:r>
    </w:p>
    <w:p w:rsidR="00C765E7" w:rsidRDefault="00C765E7" w:rsidP="004938DF">
      <w:pPr>
        <w:widowControl/>
        <w:spacing w:line="580" w:lineRule="exact"/>
        <w:ind w:firstLineChars="200" w:firstLine="640"/>
        <w:jc w:val="left"/>
        <w:rPr>
          <w:rFonts w:ascii="宋体" w:eastAsia="宋体" w:hAnsi="宋体" w:cs="宋体"/>
          <w:color w:val="333333"/>
          <w:kern w:val="0"/>
          <w:sz w:val="32"/>
          <w:szCs w:val="32"/>
        </w:rPr>
      </w:pPr>
    </w:p>
    <w:p w:rsidR="00C765E7" w:rsidRDefault="00CF3EFD" w:rsidP="004938DF">
      <w:pPr>
        <w:widowControl/>
        <w:spacing w:line="580" w:lineRule="exact"/>
        <w:ind w:leftChars="-200" w:left="1"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财政机关名称：巴中市财政局</w:t>
      </w:r>
    </w:p>
    <w:p w:rsidR="00C765E7" w:rsidRDefault="00CF3EFD" w:rsidP="004938DF">
      <w:pPr>
        <w:widowControl/>
        <w:spacing w:line="580" w:lineRule="exact"/>
        <w:ind w:leftChars="-200" w:left="746" w:hangingChars="363" w:hanging="1166"/>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被检查（评价）单位名称：巴中市中心医院、巴中市消防救援支队、巴中市机关事务服务中心、巴中市水利局、巴中市生态环境局</w:t>
      </w:r>
    </w:p>
    <w:p w:rsidR="00C765E7" w:rsidRDefault="00CF3EFD" w:rsidP="004938DF">
      <w:pPr>
        <w:widowControl/>
        <w:spacing w:line="580" w:lineRule="exact"/>
        <w:ind w:leftChars="-200" w:left="1977" w:hangingChars="746" w:hanging="23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检查（评价）政策：政府采购</w:t>
      </w:r>
    </w:p>
    <w:p w:rsidR="00C765E7" w:rsidRDefault="00CF3EFD" w:rsidP="004938DF">
      <w:pPr>
        <w:spacing w:line="580" w:lineRule="exact"/>
        <w:ind w:leftChars="-200" w:left="3377" w:hangingChars="1182" w:hanging="37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受托检查（评价）中介机构：四川中磊会计师事务所有限责任公司</w:t>
      </w:r>
    </w:p>
    <w:p w:rsidR="00C765E7" w:rsidRDefault="00C765E7" w:rsidP="004938DF">
      <w:pPr>
        <w:spacing w:line="580" w:lineRule="exact"/>
        <w:ind w:left="3363" w:hangingChars="1051" w:hanging="3363"/>
        <w:jc w:val="left"/>
        <w:rPr>
          <w:rFonts w:ascii="宋体" w:eastAsia="宋体" w:hAnsi="宋体" w:cs="宋体"/>
          <w:color w:val="333333"/>
          <w:kern w:val="0"/>
          <w:sz w:val="32"/>
          <w:szCs w:val="32"/>
        </w:rPr>
      </w:pPr>
    </w:p>
    <w:p w:rsidR="00C765E7" w:rsidRDefault="00C765E7" w:rsidP="004938DF">
      <w:pPr>
        <w:spacing w:line="580" w:lineRule="exact"/>
        <w:ind w:leftChars="304" w:left="5118" w:hangingChars="1400" w:hanging="4480"/>
        <w:jc w:val="left"/>
        <w:rPr>
          <w:rFonts w:ascii="宋体" w:eastAsia="宋体" w:hAnsi="宋体" w:cs="宋体"/>
          <w:color w:val="333333"/>
          <w:kern w:val="0"/>
          <w:sz w:val="32"/>
          <w:szCs w:val="32"/>
        </w:rPr>
      </w:pPr>
    </w:p>
    <w:p w:rsidR="00C765E7" w:rsidRDefault="00CF3EFD" w:rsidP="004938DF">
      <w:pPr>
        <w:spacing w:line="580" w:lineRule="exact"/>
        <w:ind w:leftChars="-200" w:left="1" w:rightChars="-244" w:right="-512"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公司地址：成都市青羊区日月大道</w:t>
      </w:r>
      <w:r>
        <w:rPr>
          <w:rFonts w:ascii="Times New Roman" w:eastAsia="宋体" w:hAnsi="Times New Roman" w:cs="Times New Roman"/>
          <w:b/>
          <w:bCs/>
          <w:color w:val="333333"/>
          <w:kern w:val="0"/>
          <w:sz w:val="32"/>
          <w:szCs w:val="32"/>
        </w:rPr>
        <w:t>1501</w:t>
      </w:r>
      <w:r>
        <w:rPr>
          <w:rFonts w:ascii="宋体" w:eastAsia="宋体" w:hAnsi="宋体" w:cs="宋体" w:hint="eastAsia"/>
          <w:b/>
          <w:bCs/>
          <w:color w:val="333333"/>
          <w:kern w:val="0"/>
          <w:sz w:val="32"/>
          <w:szCs w:val="32"/>
        </w:rPr>
        <w:t>号万和中心</w:t>
      </w:r>
      <w:r>
        <w:rPr>
          <w:rFonts w:ascii="Times New Roman" w:eastAsia="宋体" w:hAnsi="Times New Roman" w:cs="Times New Roman"/>
          <w:b/>
          <w:bCs/>
          <w:color w:val="333333"/>
          <w:kern w:val="0"/>
          <w:sz w:val="32"/>
          <w:szCs w:val="32"/>
        </w:rPr>
        <w:t>1</w:t>
      </w:r>
      <w:r>
        <w:rPr>
          <w:rFonts w:ascii="宋体" w:eastAsia="宋体" w:hAnsi="宋体" w:cs="宋体" w:hint="eastAsia"/>
          <w:b/>
          <w:bCs/>
          <w:color w:val="333333"/>
          <w:kern w:val="0"/>
          <w:sz w:val="32"/>
          <w:szCs w:val="32"/>
        </w:rPr>
        <w:t>栋</w:t>
      </w:r>
      <w:r>
        <w:rPr>
          <w:rFonts w:ascii="Times New Roman" w:eastAsia="宋体" w:hAnsi="Times New Roman" w:cs="Times New Roman"/>
          <w:b/>
          <w:bCs/>
          <w:color w:val="333333"/>
          <w:kern w:val="0"/>
          <w:sz w:val="32"/>
          <w:szCs w:val="32"/>
        </w:rPr>
        <w:t>905</w:t>
      </w:r>
      <w:r>
        <w:rPr>
          <w:rFonts w:ascii="宋体" w:eastAsia="宋体" w:hAnsi="宋体" w:cs="宋体" w:hint="eastAsia"/>
          <w:b/>
          <w:bCs/>
          <w:color w:val="333333"/>
          <w:kern w:val="0"/>
          <w:sz w:val="32"/>
          <w:szCs w:val="32"/>
        </w:rPr>
        <w:t>室</w:t>
      </w:r>
    </w:p>
    <w:p w:rsidR="00C765E7" w:rsidRDefault="00CF3EFD" w:rsidP="004938DF">
      <w:pPr>
        <w:spacing w:line="580" w:lineRule="exact"/>
        <w:ind w:leftChars="-200" w:left="1" w:hangingChars="131" w:hanging="421"/>
        <w:jc w:val="left"/>
        <w:rPr>
          <w:rFonts w:ascii="Times New Roman" w:eastAsia="宋体" w:hAnsi="Times New Roman" w:cs="Times New Roman"/>
          <w:b/>
          <w:bCs/>
          <w:color w:val="333333"/>
          <w:kern w:val="0"/>
          <w:sz w:val="32"/>
          <w:szCs w:val="32"/>
        </w:rPr>
      </w:pPr>
      <w:r>
        <w:rPr>
          <w:rFonts w:ascii="宋体" w:eastAsia="宋体" w:hAnsi="宋体" w:cs="宋体" w:hint="eastAsia"/>
          <w:b/>
          <w:bCs/>
          <w:color w:val="333333"/>
          <w:kern w:val="0"/>
          <w:sz w:val="32"/>
          <w:szCs w:val="32"/>
        </w:rPr>
        <w:t xml:space="preserve">   电话：</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028</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84538662</w:t>
      </w:r>
    </w:p>
    <w:p w:rsidR="00C765E7" w:rsidRDefault="00CF3EFD" w:rsidP="004938DF">
      <w:pPr>
        <w:pStyle w:val="a0"/>
        <w:spacing w:line="580" w:lineRule="exact"/>
        <w:rPr>
          <w:rFonts w:ascii="Times New Roman" w:hAnsi="Times New Roman" w:cs="Times New Roman"/>
        </w:rPr>
      </w:pPr>
      <w:r>
        <w:rPr>
          <w:rFonts w:ascii="宋体" w:eastAsia="宋体" w:hAnsi="宋体" w:cs="宋体" w:hint="eastAsia"/>
          <w:b/>
          <w:bCs/>
          <w:color w:val="333333"/>
          <w:sz w:val="32"/>
          <w:szCs w:val="32"/>
        </w:rPr>
        <w:t>邮政编码：</w:t>
      </w:r>
      <w:r>
        <w:rPr>
          <w:rFonts w:ascii="Times New Roman" w:eastAsia="宋体" w:hAnsi="Times New Roman" w:cs="Times New Roman"/>
          <w:b/>
          <w:bCs/>
          <w:color w:val="333333"/>
          <w:sz w:val="32"/>
          <w:szCs w:val="32"/>
        </w:rPr>
        <w:t>610000</w:t>
      </w:r>
    </w:p>
    <w:p w:rsidR="00C765E7" w:rsidRDefault="00C765E7" w:rsidP="004938DF">
      <w:pPr>
        <w:spacing w:line="580" w:lineRule="exact"/>
        <w:ind w:leftChars="-200" w:left="1" w:hangingChars="131" w:hanging="421"/>
        <w:jc w:val="left"/>
        <w:rPr>
          <w:rFonts w:ascii="宋体" w:eastAsia="宋体" w:hAnsi="宋体" w:cs="宋体"/>
          <w:b/>
          <w:bCs/>
          <w:color w:val="333333"/>
          <w:kern w:val="0"/>
          <w:sz w:val="32"/>
          <w:szCs w:val="32"/>
        </w:rPr>
      </w:pPr>
    </w:p>
    <w:p w:rsidR="00C765E7" w:rsidRDefault="00CF3EFD" w:rsidP="004938DF">
      <w:pPr>
        <w:spacing w:line="580" w:lineRule="exac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br w:type="page"/>
      </w:r>
    </w:p>
    <w:p w:rsidR="00C765E7" w:rsidRDefault="00C765E7" w:rsidP="004938DF">
      <w:pPr>
        <w:pStyle w:val="a0"/>
        <w:spacing w:line="580" w:lineRule="exact"/>
      </w:pPr>
    </w:p>
    <w:p w:rsidR="00C765E7" w:rsidRDefault="00CF3EFD" w:rsidP="004938DF">
      <w:pPr>
        <w:adjustRightInd w:val="0"/>
        <w:snapToGrid w:val="0"/>
        <w:spacing w:line="580" w:lineRule="exact"/>
        <w:ind w:firstLineChars="200" w:firstLine="640"/>
        <w:outlineLvl w:val="1"/>
        <w:rPr>
          <w:rFonts w:ascii="仿宋_GB2312" w:eastAsia="仿宋_GB2312" w:hAnsi="仿宋_GB2312" w:cs="仿宋_GB2312"/>
          <w:sz w:val="32"/>
          <w:szCs w:val="32"/>
        </w:rPr>
      </w:pPr>
      <w:bookmarkStart w:id="0" w:name="_Toc29120"/>
      <w:r>
        <w:rPr>
          <w:rFonts w:ascii="仿宋_GB2312" w:eastAsia="仿宋_GB2312" w:hAnsi="仿宋_GB2312" w:cs="仿宋_GB2312" w:hint="eastAsia"/>
          <w:sz w:val="32"/>
          <w:szCs w:val="32"/>
        </w:rPr>
        <w:t>摘要：</w:t>
      </w:r>
      <w:bookmarkEnd w:id="0"/>
    </w:p>
    <w:p w:rsidR="00C765E7" w:rsidRDefault="00CF3EFD" w:rsidP="004938DF">
      <w:pPr>
        <w:adjustRightInd w:val="0"/>
        <w:snapToGrid w:val="0"/>
        <w:spacing w:line="580" w:lineRule="exact"/>
        <w:ind w:firstLineChars="200" w:firstLine="640"/>
        <w:outlineLvl w:val="1"/>
        <w:rPr>
          <w:rFonts w:ascii="仿宋_GB2312" w:eastAsia="仿宋_GB2312" w:hAnsi="仿宋_GB2312" w:cs="仿宋_GB2312"/>
          <w:sz w:val="32"/>
          <w:szCs w:val="32"/>
        </w:rPr>
      </w:pPr>
      <w:bookmarkStart w:id="1" w:name="_Toc32077"/>
      <w:bookmarkStart w:id="2" w:name="_Toc22212"/>
      <w:bookmarkStart w:id="3" w:name="_Toc15996"/>
      <w:r>
        <w:rPr>
          <w:rFonts w:ascii="仿宋_GB2312" w:eastAsia="仿宋_GB2312" w:hAnsi="仿宋_GB2312" w:cs="仿宋_GB2312" w:hint="eastAsia"/>
          <w:sz w:val="32"/>
          <w:szCs w:val="32"/>
        </w:rPr>
        <w:t>查阅巴中市中心医院、巴中市消防救援支队、巴中市机关事务服务中心、巴中市水利局（实际执行单位为巴中市柳津湖运行保护中心）、巴中市生态环境局单位该政策相关的资料，政府采购政策主要用于直线加速器及定位CT采购、举高车采购、蔬菜采购、巴河景观维护管理服务采购、长江经济带水质自动监测能力建设项目采购等。</w:t>
      </w:r>
      <w:bookmarkEnd w:id="1"/>
      <w:bookmarkEnd w:id="2"/>
      <w:bookmarkEnd w:id="3"/>
    </w:p>
    <w:p w:rsidR="00C765E7" w:rsidRPr="000B362A" w:rsidRDefault="00C765E7" w:rsidP="004938DF">
      <w:pPr>
        <w:spacing w:line="580" w:lineRule="exact"/>
        <w:sectPr w:rsidR="00C765E7" w:rsidRPr="000B362A">
          <w:headerReference w:type="default" r:id="rId8"/>
          <w:headerReference w:type="first" r:id="rId9"/>
          <w:pgSz w:w="11906" w:h="16838"/>
          <w:pgMar w:top="1440" w:right="1800" w:bottom="1440" w:left="1800" w:header="851" w:footer="992" w:gutter="0"/>
          <w:pgNumType w:fmt="numberInDash" w:start="1"/>
          <w:cols w:space="425"/>
          <w:titlePg/>
          <w:docGrid w:type="lines" w:linePitch="312"/>
        </w:sectPr>
      </w:pPr>
    </w:p>
    <w:sdt>
      <w:sdtPr>
        <w:rPr>
          <w:rFonts w:ascii="宋体" w:eastAsia="宋体" w:hAnsi="宋体"/>
          <w:sz w:val="22"/>
          <w:szCs w:val="28"/>
        </w:rPr>
        <w:id w:val="147477352"/>
        <w:docPartObj>
          <w:docPartGallery w:val="Table of Contents"/>
          <w:docPartUnique/>
        </w:docPartObj>
      </w:sdtPr>
      <w:sdtEndPr>
        <w:rPr>
          <w:rFonts w:cs="宋体" w:hint="eastAsia"/>
          <w:sz w:val="30"/>
          <w:szCs w:val="30"/>
          <w:shd w:val="clear" w:color="auto" w:fill="FFFFFF"/>
        </w:rPr>
      </w:sdtEndPr>
      <w:sdtContent>
        <w:p w:rsidR="00C765E7" w:rsidRDefault="00CF3EFD" w:rsidP="004938DF">
          <w:pPr>
            <w:spacing w:line="580" w:lineRule="exact"/>
            <w:jc w:val="center"/>
            <w:rPr>
              <w:b/>
              <w:bCs/>
              <w:sz w:val="44"/>
              <w:szCs w:val="44"/>
            </w:rPr>
          </w:pPr>
          <w:r>
            <w:rPr>
              <w:rFonts w:ascii="宋体" w:eastAsia="宋体" w:hAnsi="宋体"/>
              <w:b/>
              <w:bCs/>
              <w:sz w:val="44"/>
              <w:szCs w:val="44"/>
            </w:rPr>
            <w:t>目录</w:t>
          </w:r>
        </w:p>
        <w:p w:rsidR="00C765E7" w:rsidRDefault="005924CB" w:rsidP="004938DF">
          <w:pPr>
            <w:pStyle w:val="1"/>
            <w:tabs>
              <w:tab w:val="right" w:leader="dot" w:pos="8306"/>
            </w:tabs>
            <w:spacing w:line="580" w:lineRule="exact"/>
            <w:rPr>
              <w:rFonts w:ascii="宋体" w:eastAsia="宋体" w:hAnsi="宋体" w:cs="宋体"/>
              <w:sz w:val="28"/>
              <w:szCs w:val="28"/>
            </w:rPr>
          </w:pPr>
          <w:r w:rsidRPr="005924CB">
            <w:rPr>
              <w:rFonts w:ascii="宋体" w:eastAsia="宋体" w:hAnsi="宋体" w:cs="宋体" w:hint="eastAsia"/>
              <w:b/>
              <w:sz w:val="28"/>
              <w:szCs w:val="28"/>
              <w:shd w:val="clear" w:color="auto" w:fill="FFFFFF"/>
            </w:rPr>
            <w:fldChar w:fldCharType="begin"/>
          </w:r>
          <w:r w:rsidR="00CF3EFD">
            <w:rPr>
              <w:rFonts w:ascii="宋体" w:eastAsia="宋体" w:hAnsi="宋体" w:cs="宋体" w:hint="eastAsia"/>
              <w:b/>
              <w:sz w:val="28"/>
              <w:szCs w:val="28"/>
              <w:shd w:val="clear" w:color="auto" w:fill="FFFFFF"/>
            </w:rPr>
            <w:instrText xml:space="preserve">TOC \o "1-3" \h \u </w:instrText>
          </w:r>
          <w:r w:rsidRPr="005924CB">
            <w:rPr>
              <w:rFonts w:ascii="宋体" w:eastAsia="宋体" w:hAnsi="宋体" w:cs="宋体" w:hint="eastAsia"/>
              <w:b/>
              <w:sz w:val="28"/>
              <w:szCs w:val="28"/>
              <w:shd w:val="clear" w:color="auto" w:fill="FFFFFF"/>
            </w:rPr>
            <w:fldChar w:fldCharType="separate"/>
          </w:r>
          <w:hyperlink w:anchor="_Toc16141" w:history="1">
            <w:r w:rsidR="00CF3EFD">
              <w:rPr>
                <w:rFonts w:ascii="宋体" w:eastAsia="宋体" w:hAnsi="宋体" w:cs="宋体" w:hint="eastAsia"/>
                <w:bCs/>
                <w:sz w:val="28"/>
                <w:szCs w:val="28"/>
              </w:rPr>
              <w:t>一、基本情况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_Toc16141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7717" w:history="1">
            <w:r w:rsidR="00CF3EFD">
              <w:rPr>
                <w:rFonts w:ascii="宋体" w:eastAsia="宋体" w:hAnsi="宋体" w:cs="宋体" w:hint="eastAsia"/>
                <w:bCs/>
                <w:sz w:val="28"/>
                <w:szCs w:val="28"/>
                <w:lang w:val="zh-CN"/>
              </w:rPr>
              <w:t>（一）</w:t>
            </w:r>
            <w:r w:rsidR="00CF3EFD">
              <w:rPr>
                <w:rFonts w:ascii="宋体" w:eastAsia="宋体" w:hAnsi="宋体" w:cs="宋体" w:hint="eastAsia"/>
                <w:bCs/>
                <w:sz w:val="28"/>
                <w:szCs w:val="28"/>
              </w:rPr>
              <w:t>单位</w:t>
            </w:r>
            <w:r w:rsidR="00CF3EFD">
              <w:rPr>
                <w:rFonts w:ascii="宋体" w:eastAsia="宋体" w:hAnsi="宋体" w:cs="宋体" w:hint="eastAsia"/>
                <w:bCs/>
                <w:sz w:val="28"/>
                <w:szCs w:val="28"/>
                <w:lang w:val="zh-CN"/>
              </w:rPr>
              <w:t>基本情况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_Toc7717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3228" w:history="1">
            <w:r w:rsidR="00CF3EFD">
              <w:rPr>
                <w:rFonts w:ascii="宋体" w:eastAsia="宋体" w:hAnsi="宋体" w:cs="宋体" w:hint="eastAsia"/>
                <w:bCs/>
                <w:sz w:val="28"/>
                <w:szCs w:val="28"/>
                <w:lang w:val="zh-CN"/>
              </w:rPr>
              <w:t>（二） 项目基本情况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_Toc13228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C765E7" w:rsidRDefault="005924CB" w:rsidP="004938DF">
          <w:pPr>
            <w:pStyle w:val="1"/>
            <w:tabs>
              <w:tab w:val="right" w:leader="dot" w:pos="8306"/>
            </w:tabs>
            <w:spacing w:line="580" w:lineRule="exact"/>
            <w:rPr>
              <w:rFonts w:ascii="宋体" w:eastAsia="宋体" w:hAnsi="宋体" w:cs="宋体"/>
              <w:sz w:val="28"/>
              <w:szCs w:val="28"/>
            </w:rPr>
          </w:pPr>
          <w:hyperlink w:anchor="_Toc26668" w:history="1">
            <w:r w:rsidR="00CF3EFD">
              <w:rPr>
                <w:rFonts w:ascii="宋体" w:eastAsia="宋体" w:hAnsi="宋体" w:cs="宋体" w:hint="eastAsia"/>
                <w:bCs/>
                <w:sz w:val="28"/>
                <w:szCs w:val="28"/>
              </w:rPr>
              <w:t>二、评价工作开展及项目情况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_Toc26668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4655" w:history="1">
            <w:r w:rsidR="00CF3EFD">
              <w:rPr>
                <w:rFonts w:ascii="宋体" w:eastAsia="宋体" w:hAnsi="宋体" w:cs="宋体" w:hint="eastAsia"/>
                <w:bCs/>
                <w:sz w:val="28"/>
                <w:szCs w:val="28"/>
                <w:lang w:val="zh-CN"/>
              </w:rPr>
              <w:t>（一）</w:t>
            </w:r>
            <w:r w:rsidR="00CF3EFD">
              <w:rPr>
                <w:rFonts w:ascii="宋体" w:eastAsia="宋体" w:hAnsi="宋体" w:cs="宋体" w:hint="eastAsia"/>
                <w:bCs/>
                <w:sz w:val="28"/>
                <w:szCs w:val="28"/>
              </w:rPr>
              <w:t>项目收支情况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_Toc14655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2894" w:history="1">
            <w:r w:rsidR="00CF3EFD">
              <w:rPr>
                <w:rFonts w:ascii="宋体" w:eastAsia="宋体" w:hAnsi="宋体" w:cs="宋体" w:hint="eastAsia"/>
                <w:bCs/>
                <w:sz w:val="28"/>
                <w:szCs w:val="28"/>
              </w:rPr>
              <w:t>（二）绩效评价的组织实施情况</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_Toc22894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4439" w:history="1">
            <w:r w:rsidR="00CF3EFD">
              <w:rPr>
                <w:rFonts w:ascii="宋体" w:eastAsia="宋体" w:hAnsi="宋体" w:cs="宋体" w:hint="eastAsia"/>
                <w:bCs/>
                <w:sz w:val="28"/>
                <w:szCs w:val="28"/>
              </w:rPr>
              <w:t>（三）绩效评价依据</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_Toc24439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32695" w:history="1">
            <w:r w:rsidR="00CF3EFD">
              <w:rPr>
                <w:rFonts w:ascii="宋体" w:eastAsia="宋体" w:hAnsi="宋体" w:cs="宋体" w:hint="eastAsia"/>
                <w:bCs/>
                <w:sz w:val="28"/>
                <w:szCs w:val="28"/>
              </w:rPr>
              <w:t>（四）绩效评价方法</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_Toc32695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C765E7" w:rsidRDefault="005924CB" w:rsidP="004938DF">
          <w:pPr>
            <w:pStyle w:val="1"/>
            <w:tabs>
              <w:tab w:val="right" w:leader="dot" w:pos="8306"/>
            </w:tabs>
            <w:spacing w:line="580" w:lineRule="exact"/>
            <w:rPr>
              <w:rFonts w:ascii="宋体" w:eastAsia="宋体" w:hAnsi="宋体" w:cs="宋体"/>
              <w:sz w:val="28"/>
              <w:szCs w:val="28"/>
            </w:rPr>
          </w:pPr>
          <w:hyperlink w:anchor="_Toc20950" w:history="1">
            <w:r w:rsidR="00CF3EFD">
              <w:rPr>
                <w:rFonts w:ascii="宋体" w:eastAsia="宋体" w:hAnsi="宋体" w:cs="宋体" w:hint="eastAsia"/>
                <w:bCs/>
                <w:sz w:val="28"/>
                <w:szCs w:val="28"/>
              </w:rPr>
              <w:t>三、评价结论及绩效分析</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_Toc20950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5649" w:history="1">
            <w:r w:rsidR="00CF3EFD">
              <w:rPr>
                <w:rFonts w:ascii="宋体" w:eastAsia="宋体" w:hAnsi="宋体" w:cs="宋体" w:hint="eastAsia"/>
                <w:bCs/>
                <w:sz w:val="28"/>
                <w:szCs w:val="28"/>
              </w:rPr>
              <w:t>（一）评价结论</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_Toc15649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1021" w:history="1">
            <w:r w:rsidR="00CF3EFD">
              <w:rPr>
                <w:rFonts w:ascii="宋体" w:eastAsia="宋体" w:hAnsi="宋体" w:cs="宋体" w:hint="eastAsia"/>
                <w:bCs/>
                <w:sz w:val="28"/>
                <w:szCs w:val="28"/>
              </w:rPr>
              <w:t>（二）绩效分析</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_Toc21021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0560" w:history="1">
            <w:r w:rsidR="00CF3EFD">
              <w:rPr>
                <w:rFonts w:ascii="宋体" w:eastAsia="宋体" w:hAnsi="宋体" w:cs="宋体" w:hint="eastAsia"/>
                <w:sz w:val="28"/>
                <w:szCs w:val="28"/>
              </w:rPr>
              <w:t>1、项目管理</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_Toc20560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9264" w:history="1">
            <w:r w:rsidR="00CF3EFD">
              <w:rPr>
                <w:rFonts w:ascii="宋体" w:eastAsia="宋体" w:hAnsi="宋体" w:cs="宋体" w:hint="eastAsia"/>
                <w:sz w:val="28"/>
                <w:szCs w:val="28"/>
              </w:rPr>
              <w:t>（1）岗位设置</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_Toc19264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66" w:history="1">
            <w:r w:rsidR="00CF3EFD">
              <w:rPr>
                <w:rFonts w:ascii="宋体" w:eastAsia="宋体" w:hAnsi="宋体" w:cs="宋体" w:hint="eastAsia"/>
                <w:sz w:val="28"/>
                <w:szCs w:val="28"/>
              </w:rPr>
              <w:t>（2） 内控制度</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_Toc166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6194" w:history="1">
            <w:r w:rsidR="00CF3EFD">
              <w:rPr>
                <w:rFonts w:ascii="宋体" w:eastAsia="宋体" w:hAnsi="宋体" w:cs="宋体" w:hint="eastAsia"/>
                <w:sz w:val="28"/>
                <w:szCs w:val="28"/>
              </w:rPr>
              <w:t>（3）采购预算</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_Toc6194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32224" w:history="1">
            <w:r w:rsidR="00CF3EFD">
              <w:rPr>
                <w:rFonts w:ascii="宋体" w:eastAsia="宋体" w:hAnsi="宋体" w:cs="宋体" w:hint="eastAsia"/>
                <w:sz w:val="28"/>
                <w:szCs w:val="28"/>
              </w:rPr>
              <w:t>（4）财务管理</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_Toc32224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2837" w:history="1">
            <w:r w:rsidR="00CF3EFD">
              <w:rPr>
                <w:rFonts w:ascii="宋体" w:eastAsia="宋体" w:hAnsi="宋体" w:cs="宋体" w:hint="eastAsia"/>
                <w:sz w:val="28"/>
                <w:szCs w:val="28"/>
              </w:rPr>
              <w:t>（5）资金拨付</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_Toc12837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9779" w:history="1">
            <w:r w:rsidR="00CF3EFD">
              <w:rPr>
                <w:rFonts w:ascii="宋体" w:eastAsia="宋体" w:hAnsi="宋体" w:cs="宋体" w:hint="eastAsia"/>
                <w:sz w:val="28"/>
                <w:szCs w:val="28"/>
              </w:rPr>
              <w:t>2、采购管理</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_Toc9779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5857" w:history="1">
            <w:r w:rsidR="00CF3EFD">
              <w:rPr>
                <w:rFonts w:ascii="宋体" w:eastAsia="宋体" w:hAnsi="宋体" w:cs="宋体" w:hint="eastAsia"/>
                <w:sz w:val="28"/>
                <w:szCs w:val="28"/>
              </w:rPr>
              <w:t>（1）委托代理</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_Toc15857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0925" w:history="1">
            <w:r w:rsidR="00CF3EFD">
              <w:rPr>
                <w:rFonts w:ascii="宋体" w:eastAsia="宋体" w:hAnsi="宋体" w:cs="宋体" w:hint="eastAsia"/>
                <w:sz w:val="28"/>
                <w:szCs w:val="28"/>
              </w:rPr>
              <w:t>（2）政策执行</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_Toc10925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6272" w:history="1">
            <w:r w:rsidR="00CF3EFD">
              <w:rPr>
                <w:rFonts w:ascii="宋体" w:eastAsia="宋体" w:hAnsi="宋体" w:cs="宋体" w:hint="eastAsia"/>
                <w:sz w:val="28"/>
                <w:szCs w:val="28"/>
              </w:rPr>
              <w:t>（3）采购文件编制</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_Toc6272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0930" w:history="1">
            <w:r w:rsidR="00CF3EFD">
              <w:rPr>
                <w:rFonts w:ascii="宋体" w:eastAsia="宋体" w:hAnsi="宋体" w:cs="宋体" w:hint="eastAsia"/>
                <w:sz w:val="28"/>
                <w:szCs w:val="28"/>
              </w:rPr>
              <w:t>（4）采购方式和采购程序</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_Toc20930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4190" w:history="1">
            <w:r w:rsidR="00CF3EFD">
              <w:rPr>
                <w:rFonts w:ascii="宋体" w:eastAsia="宋体" w:hAnsi="宋体" w:cs="宋体" w:hint="eastAsia"/>
                <w:sz w:val="28"/>
                <w:szCs w:val="28"/>
              </w:rPr>
              <w:t>（5） 合同管理、询问、质疑答复、协助配合</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_Toc14190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4328" w:history="1">
            <w:r w:rsidR="00CF3EFD">
              <w:rPr>
                <w:rFonts w:ascii="宋体" w:eastAsia="宋体" w:hAnsi="宋体" w:cs="宋体" w:hint="eastAsia"/>
                <w:sz w:val="28"/>
                <w:szCs w:val="28"/>
              </w:rPr>
              <w:t>3、目标完成</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_Toc4328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5421" w:history="1">
            <w:r w:rsidR="00CF3EFD">
              <w:rPr>
                <w:rFonts w:ascii="宋体" w:eastAsia="宋体" w:hAnsi="宋体" w:cs="宋体" w:hint="eastAsia"/>
                <w:sz w:val="28"/>
                <w:szCs w:val="28"/>
              </w:rPr>
              <w:t>（1） 数量完成程度</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_Toc25421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6695" w:history="1">
            <w:r w:rsidR="00CF3EFD">
              <w:rPr>
                <w:rFonts w:ascii="宋体" w:eastAsia="宋体" w:hAnsi="宋体" w:cs="宋体" w:hint="eastAsia"/>
                <w:sz w:val="28"/>
                <w:szCs w:val="28"/>
              </w:rPr>
              <w:t>（2） 质量完成程度</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_Toc16695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shd w:val="clear" w:color="auto" w:fill="FFFFFF"/>
            </w:rPr>
          </w:pPr>
          <w:hyperlink w:anchor="_Toc22085" w:history="1">
            <w:r w:rsidR="00CF3EFD">
              <w:rPr>
                <w:rFonts w:ascii="宋体" w:eastAsia="宋体" w:hAnsi="宋体" w:cs="宋体" w:hint="eastAsia"/>
                <w:sz w:val="28"/>
                <w:szCs w:val="28"/>
              </w:rPr>
              <w:t>（3） 时效完成程度</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_Toc22085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- 10 -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4881" w:history="1">
            <w:r w:rsidR="00CF3EFD">
              <w:rPr>
                <w:rFonts w:ascii="宋体" w:eastAsia="宋体" w:hAnsi="宋体" w:cs="宋体" w:hint="eastAsia"/>
                <w:sz w:val="28"/>
                <w:szCs w:val="28"/>
              </w:rPr>
              <w:t>4、项目效果</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_Toc4881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- 10 -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2451" w:history="1">
            <w:r w:rsidR="00CF3EFD">
              <w:rPr>
                <w:rFonts w:ascii="宋体" w:eastAsia="宋体" w:hAnsi="宋体" w:cs="宋体" w:hint="eastAsia"/>
                <w:sz w:val="28"/>
                <w:szCs w:val="28"/>
              </w:rPr>
              <w:t>（1）经济效益</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_Toc22451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- 10 -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6304" w:history="1">
            <w:r w:rsidR="00CF3EFD">
              <w:rPr>
                <w:rFonts w:ascii="宋体" w:eastAsia="宋体" w:hAnsi="宋体" w:cs="宋体" w:hint="eastAsia"/>
                <w:sz w:val="28"/>
                <w:szCs w:val="28"/>
              </w:rPr>
              <w:t>（2）社会效益</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_Toc26304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- 11 -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9397" w:history="1">
            <w:r w:rsidR="00CF3EFD">
              <w:rPr>
                <w:rFonts w:ascii="宋体" w:eastAsia="宋体" w:hAnsi="宋体" w:cs="宋体" w:hint="eastAsia"/>
                <w:sz w:val="28"/>
                <w:szCs w:val="28"/>
              </w:rPr>
              <w:t>（3）生态效益</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_Toc29397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- 11 -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20674" w:history="1">
            <w:r w:rsidR="00CF3EFD">
              <w:rPr>
                <w:rFonts w:ascii="宋体" w:eastAsia="宋体" w:hAnsi="宋体" w:cs="宋体" w:hint="eastAsia"/>
                <w:sz w:val="28"/>
                <w:szCs w:val="28"/>
              </w:rPr>
              <w:t>（4）可持续影响</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_Toc20674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- 12 -</w:t>
            </w:r>
            <w:r>
              <w:rPr>
                <w:rFonts w:ascii="宋体" w:eastAsia="宋体" w:hAnsi="宋体" w:cs="宋体" w:hint="eastAsia"/>
                <w:sz w:val="28"/>
                <w:szCs w:val="28"/>
              </w:rPr>
              <w:fldChar w:fldCharType="end"/>
            </w:r>
          </w:hyperlink>
        </w:p>
        <w:p w:rsidR="00C765E7" w:rsidRDefault="005924CB" w:rsidP="004938DF">
          <w:pPr>
            <w:pStyle w:val="2"/>
            <w:tabs>
              <w:tab w:val="right" w:leader="dot" w:pos="8306"/>
            </w:tabs>
            <w:spacing w:line="580" w:lineRule="exact"/>
            <w:rPr>
              <w:rFonts w:ascii="宋体" w:eastAsia="宋体" w:hAnsi="宋体" w:cs="宋体"/>
              <w:sz w:val="28"/>
              <w:szCs w:val="28"/>
            </w:rPr>
          </w:pPr>
          <w:hyperlink w:anchor="_Toc18453" w:history="1">
            <w:r w:rsidR="00CF3EFD">
              <w:rPr>
                <w:rFonts w:ascii="宋体" w:eastAsia="宋体" w:hAnsi="宋体" w:cs="宋体" w:hint="eastAsia"/>
                <w:sz w:val="28"/>
                <w:szCs w:val="28"/>
              </w:rPr>
              <w:t>（5）社会满意度</w:t>
            </w:r>
            <w:r w:rsidR="00CF3EFD">
              <w:rPr>
                <w:rFonts w:ascii="宋体" w:eastAsia="宋体" w:hAnsi="宋体" w:cs="宋体" w:hint="eastAsia"/>
                <w:sz w:val="28"/>
                <w:szCs w:val="28"/>
              </w:rPr>
              <w:tab/>
            </w:r>
            <w:r>
              <w:rPr>
                <w:rFonts w:ascii="宋体" w:eastAsia="宋体" w:hAnsi="宋体" w:cs="宋体" w:hint="eastAsia"/>
                <w:sz w:val="28"/>
                <w:szCs w:val="28"/>
              </w:rPr>
              <w:fldChar w:fldCharType="begin"/>
            </w:r>
            <w:r w:rsidR="00CF3EFD">
              <w:rPr>
                <w:rFonts w:ascii="宋体" w:eastAsia="宋体" w:hAnsi="宋体" w:cs="宋体" w:hint="eastAsia"/>
                <w:sz w:val="28"/>
                <w:szCs w:val="28"/>
              </w:rPr>
              <w:instrText xml:space="preserve"> PAGEREF _Toc18453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F3EFD">
              <w:rPr>
                <w:rFonts w:ascii="宋体" w:eastAsia="宋体" w:hAnsi="宋体" w:cs="宋体" w:hint="eastAsia"/>
                <w:sz w:val="28"/>
                <w:szCs w:val="28"/>
              </w:rPr>
              <w:t>- 12 -</w:t>
            </w:r>
            <w:r>
              <w:rPr>
                <w:rFonts w:ascii="宋体" w:eastAsia="宋体" w:hAnsi="宋体" w:cs="宋体" w:hint="eastAsia"/>
                <w:sz w:val="28"/>
                <w:szCs w:val="28"/>
              </w:rPr>
              <w:fldChar w:fldCharType="end"/>
            </w:r>
          </w:hyperlink>
        </w:p>
        <w:p w:rsidR="00C765E7" w:rsidRDefault="005924CB" w:rsidP="004938DF">
          <w:pPr>
            <w:widowControl/>
            <w:snapToGrid w:val="0"/>
            <w:spacing w:line="580" w:lineRule="exact"/>
            <w:rPr>
              <w:rFonts w:ascii="宋体" w:eastAsia="宋体" w:hAnsi="宋体" w:cs="宋体"/>
              <w:b/>
              <w:sz w:val="30"/>
              <w:szCs w:val="30"/>
              <w:shd w:val="clear" w:color="auto" w:fill="FFFFFF"/>
            </w:rPr>
          </w:pPr>
          <w:r>
            <w:rPr>
              <w:rFonts w:ascii="宋体" w:eastAsia="宋体" w:hAnsi="宋体" w:cs="宋体" w:hint="eastAsia"/>
              <w:sz w:val="28"/>
              <w:szCs w:val="28"/>
              <w:shd w:val="clear" w:color="auto" w:fill="FFFFFF"/>
            </w:rPr>
            <w:fldChar w:fldCharType="end"/>
          </w:r>
        </w:p>
      </w:sdtContent>
    </w:sdt>
    <w:p w:rsidR="00C765E7" w:rsidRDefault="00C765E7" w:rsidP="004938DF">
      <w:pPr>
        <w:widowControl/>
        <w:snapToGrid w:val="0"/>
        <w:spacing w:line="580" w:lineRule="exact"/>
        <w:jc w:val="center"/>
        <w:outlineLvl w:val="0"/>
        <w:rPr>
          <w:rFonts w:ascii="宋体" w:eastAsia="宋体" w:hAnsi="宋体" w:cs="宋体"/>
          <w:b/>
          <w:sz w:val="30"/>
          <w:szCs w:val="30"/>
          <w:shd w:val="clear" w:color="auto" w:fill="FFFFFF"/>
        </w:rPr>
        <w:sectPr w:rsidR="00C765E7">
          <w:headerReference w:type="default" r:id="rId10"/>
          <w:footerReference w:type="default" r:id="rId11"/>
          <w:pgSz w:w="11906" w:h="16838"/>
          <w:pgMar w:top="1440" w:right="1800" w:bottom="1440" w:left="1800" w:header="851" w:footer="992" w:gutter="0"/>
          <w:pgNumType w:start="1"/>
          <w:cols w:space="425"/>
          <w:docGrid w:type="lines" w:linePitch="312"/>
        </w:sectPr>
      </w:pPr>
      <w:bookmarkStart w:id="4" w:name="_Toc23617"/>
    </w:p>
    <w:p w:rsidR="00C765E7" w:rsidRDefault="00CF3EFD" w:rsidP="004938DF">
      <w:pPr>
        <w:widowControl/>
        <w:snapToGrid w:val="0"/>
        <w:spacing w:line="580" w:lineRule="exact"/>
        <w:jc w:val="center"/>
        <w:outlineLvl w:val="0"/>
        <w:rPr>
          <w:rFonts w:ascii="宋体" w:eastAsia="宋体" w:hAnsi="宋体" w:cs="宋体"/>
          <w:b/>
          <w:sz w:val="44"/>
          <w:szCs w:val="44"/>
          <w:shd w:val="clear" w:color="auto" w:fill="FFFFFF"/>
        </w:rPr>
      </w:pPr>
      <w:bookmarkStart w:id="5" w:name="_Toc23838"/>
      <w:bookmarkStart w:id="6" w:name="_Toc15749"/>
      <w:r>
        <w:rPr>
          <w:rFonts w:ascii="宋体" w:eastAsia="宋体" w:hAnsi="宋体" w:cs="宋体" w:hint="eastAsia"/>
          <w:b/>
          <w:sz w:val="44"/>
          <w:szCs w:val="44"/>
          <w:shd w:val="clear" w:color="auto" w:fill="FFFFFF"/>
        </w:rPr>
        <w:lastRenderedPageBreak/>
        <w:t>巴中市2020年度政府采购</w:t>
      </w:r>
    </w:p>
    <w:p w:rsidR="00C765E7" w:rsidRDefault="00CF3EFD" w:rsidP="004938DF">
      <w:pPr>
        <w:widowControl/>
        <w:snapToGrid w:val="0"/>
        <w:spacing w:line="580" w:lineRule="exact"/>
        <w:jc w:val="center"/>
        <w:outlineLvl w:val="0"/>
        <w:rPr>
          <w:rFonts w:ascii="宋体" w:eastAsia="宋体" w:hAnsi="宋体" w:cs="宋体"/>
          <w:b/>
          <w:sz w:val="44"/>
          <w:szCs w:val="44"/>
          <w:shd w:val="clear" w:color="auto" w:fill="FFFFFF"/>
        </w:rPr>
      </w:pPr>
      <w:r>
        <w:rPr>
          <w:rFonts w:ascii="宋体" w:eastAsia="宋体" w:hAnsi="宋体" w:cs="宋体" w:hint="eastAsia"/>
          <w:b/>
          <w:sz w:val="44"/>
          <w:szCs w:val="44"/>
          <w:shd w:val="clear" w:color="auto" w:fill="FFFFFF"/>
        </w:rPr>
        <w:t>财政政策绩效评价</w:t>
      </w:r>
      <w:bookmarkEnd w:id="4"/>
      <w:r>
        <w:rPr>
          <w:rFonts w:ascii="宋体" w:eastAsia="宋体" w:hAnsi="宋体" w:cs="宋体" w:hint="eastAsia"/>
          <w:b/>
          <w:sz w:val="44"/>
          <w:szCs w:val="44"/>
          <w:shd w:val="clear" w:color="auto" w:fill="FFFFFF"/>
        </w:rPr>
        <w:t>报告</w:t>
      </w:r>
      <w:bookmarkEnd w:id="5"/>
      <w:bookmarkEnd w:id="6"/>
    </w:p>
    <w:p w:rsidR="00C765E7" w:rsidRDefault="00CF3EFD" w:rsidP="004938DF">
      <w:pPr>
        <w:widowControl/>
        <w:adjustRightInd w:val="0"/>
        <w:snapToGrid w:val="0"/>
        <w:spacing w:line="580" w:lineRule="exact"/>
        <w:jc w:val="center"/>
        <w:rPr>
          <w:rFonts w:ascii="宋体" w:eastAsia="宋体" w:hAnsi="宋体" w:cs="宋体"/>
          <w:kern w:val="0"/>
          <w:sz w:val="32"/>
          <w:szCs w:val="32"/>
          <w:shd w:val="clear" w:color="auto" w:fill="FFFFFF"/>
          <w:lang w:val="fr-FR"/>
        </w:rPr>
      </w:pPr>
      <w:bookmarkStart w:id="7" w:name="_GoBack"/>
      <w:r>
        <w:rPr>
          <w:rFonts w:ascii="宋体" w:eastAsia="宋体" w:hAnsi="宋体" w:cs="宋体" w:hint="eastAsia"/>
          <w:kern w:val="0"/>
          <w:sz w:val="32"/>
          <w:szCs w:val="32"/>
          <w:shd w:val="clear" w:color="auto" w:fill="FFFFFF"/>
          <w:lang w:val="fr-FR"/>
        </w:rPr>
        <w:t>中磊咨字[2021]第C-124号</w:t>
      </w:r>
    </w:p>
    <w:p w:rsidR="00C765E7" w:rsidRDefault="00CF3EFD" w:rsidP="004938DF">
      <w:pPr>
        <w:spacing w:line="580" w:lineRule="exact"/>
        <w:rPr>
          <w:rFonts w:ascii="黑体" w:eastAsia="黑体" w:hAnsi="黑体" w:cs="黑体"/>
          <w:b/>
          <w:bCs/>
          <w:sz w:val="32"/>
          <w:szCs w:val="32"/>
        </w:rPr>
      </w:pPr>
      <w:bookmarkStart w:id="8" w:name="_Toc5548"/>
      <w:bookmarkStart w:id="9" w:name="_Toc16990"/>
      <w:bookmarkStart w:id="10" w:name="_Toc32019"/>
      <w:bookmarkEnd w:id="7"/>
      <w:r>
        <w:rPr>
          <w:rFonts w:ascii="黑体" w:eastAsia="黑体" w:hAnsi="黑体" w:cs="黑体" w:hint="eastAsia"/>
          <w:b/>
          <w:bCs/>
          <w:sz w:val="32"/>
          <w:szCs w:val="32"/>
        </w:rPr>
        <w:t>巴中市财政局：</w:t>
      </w:r>
      <w:bookmarkEnd w:id="8"/>
      <w:bookmarkEnd w:id="9"/>
      <w:bookmarkEnd w:id="1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1" w:name="_Toc23218"/>
      <w:bookmarkStart w:id="12" w:name="_Toc13225"/>
      <w:bookmarkStart w:id="13" w:name="_Toc17629"/>
      <w:r>
        <w:rPr>
          <w:rFonts w:ascii="Times New Roman" w:eastAsia="仿宋_GB2312" w:hAnsi="Times New Roman" w:cs="Times New Roman" w:hint="eastAsia"/>
          <w:sz w:val="32"/>
          <w:szCs w:val="32"/>
        </w:rPr>
        <w:t>我们接受委托，对巴中市中心医院、巴中市消防救援支队、巴中市机关事务服务中心、</w:t>
      </w:r>
      <w:r>
        <w:rPr>
          <w:rFonts w:ascii="仿宋_GB2312" w:eastAsia="仿宋_GB2312" w:hAnsi="仿宋_GB2312" w:cs="仿宋_GB2312" w:hint="eastAsia"/>
          <w:sz w:val="32"/>
          <w:szCs w:val="32"/>
        </w:rPr>
        <w:t>巴中市柳津湖运行保护中心</w:t>
      </w:r>
      <w:r>
        <w:rPr>
          <w:rFonts w:ascii="Times New Roman" w:eastAsia="仿宋_GB2312" w:hAnsi="Times New Roman" w:cs="Times New Roman" w:hint="eastAsia"/>
          <w:sz w:val="32"/>
          <w:szCs w:val="32"/>
        </w:rPr>
        <w:t>、巴中市生态环境局单位“政府采购”财政政策进行绩效评价，本次绩效评价仅限于市级财政资金。各单位对其提供的绩效评价相关资料的真实性、合法性和完整性负责；我们的责任是依据《中共中央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国务院关于全面实施预算绩效管理的意见》（中发〔</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号）、《中共四川省委、四川省人民政府关于全面实施预算绩效管理的实施意见》（川委发〔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号）和《巴中市财政局关于开展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号）文件要求，结合“政府采购”财政政策的实际情况，对该财政政策进行整体绩效评价，并出具绩效评价报告，现将相关情况报告如下：</w:t>
      </w:r>
      <w:bookmarkEnd w:id="11"/>
      <w:bookmarkEnd w:id="12"/>
      <w:bookmarkEnd w:id="13"/>
    </w:p>
    <w:p w:rsidR="00C765E7" w:rsidRDefault="00CF3EFD" w:rsidP="004938DF">
      <w:pPr>
        <w:adjustRightInd w:val="0"/>
        <w:snapToGrid w:val="0"/>
        <w:spacing w:line="580" w:lineRule="exact"/>
        <w:ind w:firstLineChars="200" w:firstLine="643"/>
        <w:outlineLvl w:val="0"/>
        <w:rPr>
          <w:rFonts w:ascii="黑体" w:eastAsia="黑体" w:hAnsi="黑体" w:cs="黑体"/>
          <w:b/>
          <w:bCs/>
          <w:sz w:val="32"/>
          <w:szCs w:val="32"/>
        </w:rPr>
      </w:pPr>
      <w:bookmarkStart w:id="14" w:name="_Toc1198358841_WPSOffice_Level1"/>
      <w:bookmarkStart w:id="15" w:name="_Toc16141"/>
      <w:r>
        <w:rPr>
          <w:rFonts w:ascii="黑体" w:eastAsia="黑体" w:hAnsi="黑体" w:cs="黑体" w:hint="eastAsia"/>
          <w:b/>
          <w:bCs/>
          <w:sz w:val="32"/>
          <w:szCs w:val="32"/>
        </w:rPr>
        <w:t>一、基本情况</w:t>
      </w:r>
      <w:bookmarkEnd w:id="14"/>
      <w:bookmarkEnd w:id="15"/>
    </w:p>
    <w:p w:rsidR="00C765E7" w:rsidRDefault="00CF3EFD" w:rsidP="004938DF">
      <w:pPr>
        <w:adjustRightInd w:val="0"/>
        <w:snapToGrid w:val="0"/>
        <w:spacing w:line="580" w:lineRule="exact"/>
        <w:ind w:firstLineChars="200" w:firstLine="643"/>
        <w:outlineLvl w:val="1"/>
        <w:rPr>
          <w:rFonts w:ascii="楷体" w:eastAsia="楷体" w:hAnsi="楷体" w:cs="楷体"/>
          <w:b/>
          <w:bCs/>
          <w:sz w:val="32"/>
          <w:szCs w:val="32"/>
          <w:lang w:val="zh-CN"/>
        </w:rPr>
      </w:pPr>
      <w:bookmarkStart w:id="16" w:name="_Toc7717"/>
      <w:bookmarkStart w:id="17" w:name="_Toc769301689_WPSOffice_Level2"/>
      <w:r>
        <w:rPr>
          <w:rFonts w:ascii="楷体_GB2312" w:eastAsia="楷体_GB2312" w:hAnsi="楷体_GB2312" w:cs="楷体_GB2312"/>
          <w:b/>
          <w:bCs/>
          <w:sz w:val="32"/>
          <w:szCs w:val="32"/>
          <w:lang w:val="zh-CN"/>
        </w:rPr>
        <w:t>（一）</w:t>
      </w:r>
      <w:r>
        <w:rPr>
          <w:rFonts w:ascii="楷体_GB2312" w:eastAsia="楷体_GB2312" w:hAnsi="楷体_GB2312" w:cs="楷体_GB2312" w:hint="eastAsia"/>
          <w:b/>
          <w:bCs/>
          <w:sz w:val="32"/>
          <w:szCs w:val="32"/>
        </w:rPr>
        <w:t>单位</w:t>
      </w:r>
      <w:r>
        <w:rPr>
          <w:rFonts w:ascii="楷体_GB2312" w:eastAsia="楷体_GB2312" w:hAnsi="楷体_GB2312" w:cs="楷体_GB2312"/>
          <w:b/>
          <w:bCs/>
          <w:sz w:val="32"/>
          <w:szCs w:val="32"/>
          <w:lang w:val="zh-CN"/>
        </w:rPr>
        <w:t>基本情况</w:t>
      </w:r>
      <w:bookmarkEnd w:id="16"/>
      <w:bookmarkEnd w:id="1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8" w:name="_Toc24527"/>
      <w:bookmarkStart w:id="19" w:name="_Toc1986"/>
      <w:bookmarkStart w:id="20" w:name="_Toc8203"/>
      <w:r>
        <w:rPr>
          <w:rFonts w:ascii="Times New Roman" w:eastAsia="仿宋_GB2312" w:hAnsi="Times New Roman" w:cs="Times New Roman" w:hint="eastAsia"/>
          <w:sz w:val="32"/>
          <w:szCs w:val="32"/>
        </w:rPr>
        <w:t>政府采购财政政策涉及巴中市中心医院、巴中市消防救援支队、巴中市机关事务服务中心、巴中市柳津湖运行保护中心、巴中市生态环境局共计</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w:t>
      </w:r>
      <w:bookmarkEnd w:id="18"/>
      <w:bookmarkEnd w:id="19"/>
      <w:bookmarkEnd w:id="20"/>
    </w:p>
    <w:p w:rsidR="00C765E7" w:rsidRDefault="00CF3EFD" w:rsidP="004938DF">
      <w:pPr>
        <w:numPr>
          <w:ilvl w:val="0"/>
          <w:numId w:val="1"/>
        </w:numPr>
        <w:adjustRightInd w:val="0"/>
        <w:snapToGrid w:val="0"/>
        <w:spacing w:line="580" w:lineRule="exact"/>
        <w:ind w:firstLineChars="200" w:firstLine="640"/>
        <w:outlineLvl w:val="1"/>
        <w:rPr>
          <w:rFonts w:ascii="楷体" w:eastAsia="楷体" w:hAnsi="楷体" w:cs="楷体"/>
          <w:b/>
          <w:bCs/>
          <w:sz w:val="32"/>
          <w:szCs w:val="32"/>
          <w:lang w:val="zh-CN"/>
        </w:rPr>
      </w:pPr>
      <w:bookmarkStart w:id="21" w:name="_Toc13228"/>
      <w:bookmarkStart w:id="22" w:name="_Toc1801932083_WPSOffice_Level2"/>
      <w:r>
        <w:rPr>
          <w:rFonts w:ascii="楷体" w:eastAsia="楷体" w:hAnsi="楷体" w:cs="楷体"/>
          <w:b/>
          <w:bCs/>
          <w:sz w:val="32"/>
          <w:szCs w:val="32"/>
          <w:lang w:val="zh-CN"/>
        </w:rPr>
        <w:t>项目基本情况</w:t>
      </w:r>
      <w:bookmarkEnd w:id="21"/>
      <w:bookmarkEnd w:id="22"/>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23" w:name="_Toc23528"/>
      <w:bookmarkStart w:id="24" w:name="_Toc3189"/>
      <w:bookmarkStart w:id="25" w:name="_Toc3725"/>
      <w:r>
        <w:rPr>
          <w:rFonts w:ascii="Times New Roman" w:eastAsia="仿宋_GB2312" w:hAnsi="Times New Roman" w:cs="Times New Roman" w:hint="eastAsia"/>
          <w:sz w:val="32"/>
          <w:szCs w:val="32"/>
        </w:rPr>
        <w:lastRenderedPageBreak/>
        <w:t>政府采购财政政策主要涉及</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具体实施单位，其中：“巴河景观维护管理服务采购”主体单位为巴中市水利局，实施单位为巴中市柳津湖运行保护中心。巴中市柳津湖运行保护中心巴河景观维护管理服务主要内容是：巴河大佛寺拦河坝至光辉乡李家湾闸坝全长</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公里的水面、河滩、岸坡、马道及下河通道、闸坝管理区的保洁，生态带、景观树等绿化设施的养护，灯景电器的管理维护等提供日常管理维护服务，预算金额为</w:t>
      </w:r>
      <w:r>
        <w:rPr>
          <w:rFonts w:ascii="Times New Roman" w:eastAsia="仿宋_GB2312" w:hAnsi="Times New Roman" w:cs="Times New Roman" w:hint="eastAsia"/>
          <w:sz w:val="32"/>
          <w:szCs w:val="32"/>
        </w:rPr>
        <w:t>523.51</w:t>
      </w:r>
      <w:r>
        <w:rPr>
          <w:rFonts w:ascii="Times New Roman" w:eastAsia="仿宋_GB2312" w:hAnsi="Times New Roman" w:cs="Times New Roman" w:hint="eastAsia"/>
          <w:sz w:val="32"/>
          <w:szCs w:val="32"/>
        </w:rPr>
        <w:t>万元；巴中市生态环境局“长江经济带水质自动监测能力建设项目工程项目”主要内容为购置长江经济带跨界断面水质自动检测站设备及系统，新建钢结构站房、水电安装及附属工程等，预算金额为</w:t>
      </w:r>
      <w:r>
        <w:rPr>
          <w:rFonts w:ascii="Times New Roman" w:eastAsia="仿宋_GB2312" w:hAnsi="Times New Roman" w:cs="Times New Roman" w:hint="eastAsia"/>
          <w:sz w:val="32"/>
          <w:szCs w:val="32"/>
        </w:rPr>
        <w:t>1,063.00</w:t>
      </w:r>
      <w:r>
        <w:rPr>
          <w:rFonts w:ascii="Times New Roman" w:eastAsia="仿宋_GB2312" w:hAnsi="Times New Roman" w:cs="Times New Roman" w:hint="eastAsia"/>
          <w:sz w:val="32"/>
          <w:szCs w:val="32"/>
        </w:rPr>
        <w:t>万元；巴中市消防救援支队“举高车采购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项目主要为采购一辆</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米举高消防车，预算金额为</w:t>
      </w:r>
      <w:r>
        <w:rPr>
          <w:rFonts w:ascii="Times New Roman" w:eastAsia="仿宋_GB2312" w:hAnsi="Times New Roman" w:cs="Times New Roman" w:hint="eastAsia"/>
          <w:sz w:val="32"/>
          <w:szCs w:val="32"/>
        </w:rPr>
        <w:t>1,150.00</w:t>
      </w:r>
      <w:r>
        <w:rPr>
          <w:rFonts w:ascii="Times New Roman" w:eastAsia="仿宋_GB2312" w:hAnsi="Times New Roman" w:cs="Times New Roman" w:hint="eastAsia"/>
          <w:sz w:val="32"/>
          <w:szCs w:val="32"/>
        </w:rPr>
        <w:t>万元；巴中市机关事务服务中心“蔬菜采购”项目主要内容是：向社会公开采购一批蔬菜、水果等产品服务政府各单位人员用餐，预算金额为</w:t>
      </w:r>
      <w:r>
        <w:rPr>
          <w:rFonts w:ascii="Times New Roman" w:eastAsia="仿宋_GB2312" w:hAnsi="Times New Roman" w:cs="Times New Roman" w:hint="eastAsia"/>
          <w:sz w:val="32"/>
          <w:szCs w:val="32"/>
        </w:rPr>
        <w:t>540.00</w:t>
      </w:r>
      <w:r>
        <w:rPr>
          <w:rFonts w:ascii="Times New Roman" w:eastAsia="仿宋_GB2312" w:hAnsi="Times New Roman" w:cs="Times New Roman" w:hint="eastAsia"/>
          <w:sz w:val="32"/>
          <w:szCs w:val="32"/>
        </w:rPr>
        <w:t>万元；巴中市中心医院采购项目主要内容是：采购直线加速器、定位</w:t>
      </w: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，预算金额为</w:t>
      </w:r>
      <w:r>
        <w:rPr>
          <w:rFonts w:ascii="Times New Roman" w:eastAsia="仿宋_GB2312" w:hAnsi="Times New Roman" w:cs="Times New Roman" w:hint="eastAsia"/>
          <w:sz w:val="32"/>
          <w:szCs w:val="32"/>
        </w:rPr>
        <w:t>2,496.00</w:t>
      </w:r>
      <w:r>
        <w:rPr>
          <w:rFonts w:ascii="Times New Roman" w:eastAsia="仿宋_GB2312" w:hAnsi="Times New Roman" w:cs="Times New Roman" w:hint="eastAsia"/>
          <w:sz w:val="32"/>
          <w:szCs w:val="32"/>
        </w:rPr>
        <w:t>万元。</w:t>
      </w:r>
      <w:bookmarkEnd w:id="23"/>
      <w:bookmarkEnd w:id="24"/>
      <w:bookmarkEnd w:id="25"/>
    </w:p>
    <w:p w:rsidR="00C765E7" w:rsidRDefault="00CF3EFD" w:rsidP="004938DF">
      <w:pPr>
        <w:adjustRightInd w:val="0"/>
        <w:snapToGrid w:val="0"/>
        <w:spacing w:line="580" w:lineRule="exact"/>
        <w:ind w:firstLineChars="200" w:firstLine="643"/>
        <w:outlineLvl w:val="0"/>
        <w:rPr>
          <w:rFonts w:ascii="黑体" w:eastAsia="黑体" w:hAnsi="黑体" w:cs="黑体"/>
          <w:b/>
          <w:bCs/>
          <w:sz w:val="32"/>
          <w:szCs w:val="32"/>
        </w:rPr>
      </w:pPr>
      <w:bookmarkStart w:id="26" w:name="_Toc769301689_WPSOffice_Level1"/>
      <w:bookmarkStart w:id="27" w:name="_Toc26668"/>
      <w:r>
        <w:rPr>
          <w:rFonts w:ascii="黑体" w:eastAsia="黑体" w:hAnsi="黑体" w:cs="黑体" w:hint="eastAsia"/>
          <w:b/>
          <w:bCs/>
          <w:sz w:val="32"/>
          <w:szCs w:val="32"/>
        </w:rPr>
        <w:t>二、评价工作开展及项目情况</w:t>
      </w:r>
      <w:bookmarkEnd w:id="26"/>
      <w:bookmarkEnd w:id="27"/>
    </w:p>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28" w:name="_Toc14655"/>
      <w:bookmarkStart w:id="29" w:name="_Toc1258128987_WPSOffice_Level2"/>
      <w:r>
        <w:rPr>
          <w:rFonts w:ascii="楷体" w:eastAsia="楷体" w:hAnsi="楷体" w:cs="楷体"/>
          <w:b/>
          <w:bCs/>
          <w:sz w:val="32"/>
          <w:szCs w:val="32"/>
          <w:lang w:val="zh-CN"/>
        </w:rPr>
        <w:t>（一）</w:t>
      </w:r>
      <w:r>
        <w:rPr>
          <w:rFonts w:ascii="楷体" w:eastAsia="楷体" w:hAnsi="楷体" w:cs="楷体" w:hint="eastAsia"/>
          <w:b/>
          <w:bCs/>
          <w:sz w:val="32"/>
          <w:szCs w:val="32"/>
        </w:rPr>
        <w:t>项目</w:t>
      </w:r>
      <w:r>
        <w:rPr>
          <w:rFonts w:ascii="楷体" w:eastAsia="楷体" w:hAnsi="楷体" w:cs="楷体"/>
          <w:b/>
          <w:bCs/>
          <w:sz w:val="32"/>
          <w:szCs w:val="32"/>
        </w:rPr>
        <w:t>收支情况</w:t>
      </w:r>
      <w:bookmarkEnd w:id="28"/>
      <w:bookmarkEnd w:id="29"/>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color w:val="0000FF"/>
          <w:sz w:val="32"/>
          <w:szCs w:val="32"/>
        </w:rPr>
      </w:pPr>
      <w:bookmarkStart w:id="30" w:name="_Toc13417"/>
      <w:bookmarkStart w:id="31" w:name="_Toc5649"/>
      <w:bookmarkStart w:id="32" w:name="_Toc13640"/>
      <w:r>
        <w:rPr>
          <w:rFonts w:ascii="Times New Roman" w:eastAsia="仿宋_GB2312" w:hAnsi="Times New Roman" w:cs="Times New Roman" w:hint="eastAsia"/>
          <w:sz w:val="32"/>
          <w:szCs w:val="32"/>
        </w:rPr>
        <w:t>巴中市柳津湖运行保护中心巴河景观维护管理服务预算金额为</w:t>
      </w:r>
      <w:r>
        <w:rPr>
          <w:rFonts w:ascii="Times New Roman" w:eastAsia="仿宋_GB2312" w:hAnsi="Times New Roman" w:cs="Times New Roman" w:hint="eastAsia"/>
          <w:sz w:val="32"/>
          <w:szCs w:val="32"/>
        </w:rPr>
        <w:t>523.51</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444.57</w:t>
      </w:r>
      <w:r>
        <w:rPr>
          <w:rFonts w:ascii="Times New Roman" w:eastAsia="仿宋_GB2312" w:hAnsi="Times New Roman" w:cs="Times New Roman" w:hint="eastAsia"/>
          <w:sz w:val="32"/>
          <w:szCs w:val="32"/>
        </w:rPr>
        <w:t>万元，资金结余</w:t>
      </w:r>
      <w:r>
        <w:rPr>
          <w:rFonts w:ascii="Times New Roman" w:eastAsia="仿宋_GB2312" w:hAnsi="Times New Roman" w:cs="Times New Roman" w:hint="eastAsia"/>
          <w:sz w:val="32"/>
          <w:szCs w:val="32"/>
        </w:rPr>
        <w:t>78.94</w:t>
      </w:r>
      <w:r>
        <w:rPr>
          <w:rFonts w:ascii="Times New Roman" w:eastAsia="仿宋_GB2312" w:hAnsi="Times New Roman" w:cs="Times New Roman" w:hint="eastAsia"/>
          <w:sz w:val="32"/>
          <w:szCs w:val="32"/>
        </w:rPr>
        <w:t>万元；巴中市生态环境局长江经济带水质自动监测能力建设项目工程项目预算金额为</w:t>
      </w:r>
      <w:r>
        <w:rPr>
          <w:rFonts w:ascii="Times New Roman" w:eastAsia="仿宋_GB2312" w:hAnsi="Times New Roman" w:cs="Times New Roman" w:hint="eastAsia"/>
          <w:sz w:val="32"/>
          <w:szCs w:val="32"/>
        </w:rPr>
        <w:t>1,063.00</w:t>
      </w:r>
      <w:r>
        <w:rPr>
          <w:rFonts w:ascii="Times New Roman" w:eastAsia="仿宋_GB2312" w:hAnsi="Times New Roman" w:cs="Times New Roman" w:hint="eastAsia"/>
          <w:sz w:val="32"/>
          <w:szCs w:val="32"/>
        </w:rPr>
        <w:t>万元，实际支出为</w:t>
      </w:r>
      <w:r>
        <w:rPr>
          <w:rFonts w:ascii="Times New Roman" w:eastAsia="仿宋_GB2312" w:hAnsi="Times New Roman" w:cs="Times New Roman" w:hint="eastAsia"/>
          <w:sz w:val="32"/>
          <w:szCs w:val="32"/>
        </w:rPr>
        <w:t>739.54</w:t>
      </w:r>
      <w:r>
        <w:rPr>
          <w:rFonts w:ascii="Times New Roman" w:eastAsia="仿宋_GB2312" w:hAnsi="Times New Roman" w:cs="Times New Roman" w:hint="eastAsia"/>
          <w:sz w:val="32"/>
          <w:szCs w:val="32"/>
        </w:rPr>
        <w:lastRenderedPageBreak/>
        <w:t>万元，资金结余</w:t>
      </w:r>
      <w:r>
        <w:rPr>
          <w:rFonts w:ascii="Times New Roman" w:eastAsia="仿宋_GB2312" w:hAnsi="Times New Roman" w:cs="Times New Roman" w:hint="eastAsia"/>
          <w:sz w:val="32"/>
          <w:szCs w:val="32"/>
        </w:rPr>
        <w:t>323.46</w:t>
      </w:r>
      <w:r>
        <w:rPr>
          <w:rFonts w:ascii="Times New Roman" w:eastAsia="仿宋_GB2312" w:hAnsi="Times New Roman" w:cs="Times New Roman" w:hint="eastAsia"/>
          <w:sz w:val="32"/>
          <w:szCs w:val="32"/>
        </w:rPr>
        <w:t>万元；巴中市消防救援支队举高车采购项目预算金额为</w:t>
      </w:r>
      <w:r>
        <w:rPr>
          <w:rFonts w:ascii="Times New Roman" w:eastAsia="仿宋_GB2312" w:hAnsi="Times New Roman" w:cs="Times New Roman" w:hint="eastAsia"/>
          <w:sz w:val="32"/>
          <w:szCs w:val="32"/>
        </w:rPr>
        <w:t>1,150.00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648.10</w:t>
      </w:r>
      <w:r>
        <w:rPr>
          <w:rFonts w:ascii="Times New Roman" w:eastAsia="仿宋_GB2312" w:hAnsi="Times New Roman" w:cs="Times New Roman" w:hint="eastAsia"/>
          <w:sz w:val="32"/>
          <w:szCs w:val="32"/>
        </w:rPr>
        <w:t>万元，资金结余</w:t>
      </w:r>
      <w:r>
        <w:rPr>
          <w:rFonts w:ascii="Times New Roman" w:eastAsia="仿宋_GB2312" w:hAnsi="Times New Roman" w:cs="Times New Roman" w:hint="eastAsia"/>
          <w:sz w:val="32"/>
          <w:szCs w:val="32"/>
        </w:rPr>
        <w:t>501.90</w:t>
      </w:r>
      <w:r>
        <w:rPr>
          <w:rFonts w:ascii="Times New Roman" w:eastAsia="仿宋_GB2312" w:hAnsi="Times New Roman" w:cs="Times New Roman" w:hint="eastAsia"/>
          <w:sz w:val="32"/>
          <w:szCs w:val="32"/>
        </w:rPr>
        <w:t>万元；巴中市机关事务服务中心蔬菜采购预算资金额为</w:t>
      </w:r>
      <w:r>
        <w:rPr>
          <w:rFonts w:ascii="Times New Roman" w:eastAsia="仿宋_GB2312" w:hAnsi="Times New Roman" w:cs="Times New Roman" w:hint="eastAsia"/>
          <w:sz w:val="32"/>
          <w:szCs w:val="32"/>
        </w:rPr>
        <w:t>540.00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540.00</w:t>
      </w:r>
      <w:r>
        <w:rPr>
          <w:rFonts w:ascii="Times New Roman" w:eastAsia="仿宋_GB2312" w:hAnsi="Times New Roman" w:cs="Times New Roman" w:hint="eastAsia"/>
          <w:sz w:val="32"/>
          <w:szCs w:val="32"/>
        </w:rPr>
        <w:t>万元，无结余资金；巴中市中心医院直线加速器、定位</w:t>
      </w: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采购预算资金为</w:t>
      </w:r>
      <w:r>
        <w:rPr>
          <w:rFonts w:ascii="Times New Roman" w:eastAsia="仿宋_GB2312" w:hAnsi="Times New Roman" w:cs="Times New Roman" w:hint="eastAsia"/>
          <w:sz w:val="32"/>
          <w:szCs w:val="32"/>
        </w:rPr>
        <w:t>2,496.00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249.40</w:t>
      </w:r>
      <w:r>
        <w:rPr>
          <w:rFonts w:ascii="Times New Roman" w:eastAsia="仿宋_GB2312" w:hAnsi="Times New Roman" w:cs="Times New Roman" w:hint="eastAsia"/>
          <w:sz w:val="32"/>
          <w:szCs w:val="32"/>
        </w:rPr>
        <w:t>万元（截至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日，该采购项目因巴中市中心医院机房未装修完成，设备未进行安装，按照合同约定支付</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的预付款项），资金结余</w:t>
      </w:r>
      <w:r>
        <w:rPr>
          <w:rFonts w:ascii="Times New Roman" w:eastAsia="仿宋_GB2312" w:hAnsi="Times New Roman" w:cs="Times New Roman" w:hint="eastAsia"/>
          <w:sz w:val="32"/>
          <w:szCs w:val="32"/>
        </w:rPr>
        <w:t>2,246.60</w:t>
      </w:r>
      <w:r>
        <w:rPr>
          <w:rFonts w:ascii="Times New Roman" w:eastAsia="仿宋_GB2312" w:hAnsi="Times New Roman" w:cs="Times New Roman" w:hint="eastAsia"/>
          <w:sz w:val="32"/>
          <w:szCs w:val="32"/>
        </w:rPr>
        <w:t>万元。</w:t>
      </w:r>
      <w:bookmarkEnd w:id="30"/>
      <w:bookmarkEnd w:id="31"/>
      <w:bookmarkEnd w:id="32"/>
    </w:p>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33" w:name="_Toc1249896147_WPSOffice_Level2"/>
      <w:bookmarkStart w:id="34" w:name="_Toc22894"/>
      <w:r>
        <w:rPr>
          <w:rFonts w:ascii="楷体" w:eastAsia="楷体" w:hAnsi="楷体" w:cs="楷体" w:hint="eastAsia"/>
          <w:b/>
          <w:bCs/>
          <w:sz w:val="32"/>
          <w:szCs w:val="32"/>
        </w:rPr>
        <w:t>（二）绩效评价的组织实施情况</w:t>
      </w:r>
      <w:bookmarkEnd w:id="33"/>
      <w:bookmarkEnd w:id="34"/>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35" w:name="_Toc25614"/>
      <w:bookmarkStart w:id="36" w:name="_Toc18485"/>
      <w:bookmarkStart w:id="37" w:name="_Toc25793"/>
      <w:r>
        <w:rPr>
          <w:rFonts w:ascii="Times New Roman" w:eastAsia="仿宋_GB2312" w:hAnsi="Times New Roman" w:cs="Times New Roman" w:hint="eastAsia"/>
          <w:sz w:val="32"/>
          <w:szCs w:val="32"/>
        </w:rPr>
        <w:t>绩效考评小组开展了现场及送审考评工作，在听取了巴中市中心医院、巴中市消防救援支队、巴中市机关事务服务中心、</w:t>
      </w:r>
      <w:r>
        <w:rPr>
          <w:rFonts w:ascii="仿宋_GB2312" w:eastAsia="仿宋_GB2312" w:hAnsi="仿宋_GB2312" w:cs="仿宋_GB2312" w:hint="eastAsia"/>
          <w:sz w:val="32"/>
          <w:szCs w:val="32"/>
        </w:rPr>
        <w:t>巴中市柳津湖运行保护中心</w:t>
      </w:r>
      <w:r>
        <w:rPr>
          <w:rFonts w:ascii="Times New Roman" w:eastAsia="仿宋_GB2312" w:hAnsi="Times New Roman" w:cs="Times New Roman" w:hint="eastAsia"/>
          <w:sz w:val="32"/>
          <w:szCs w:val="32"/>
        </w:rPr>
        <w:t>、巴中市生态环境局对该项目情况介绍后，通过查阅资料（包括与项目相关的法律法规及规定、项目档案资料、财务资料等）、询问、现场（送审）查看及问卷调查等方式，了解该评价项目在项目决策、项目管理及项目</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等方面情况；绩效考评小组根据绩效现场及送审评价情况汇总相关数据，按照绩效评价指标体系分析整体绩效评价情况，进行定量定性分析，形成评价结论，撰写绩效评价报告。</w:t>
      </w:r>
      <w:bookmarkEnd w:id="35"/>
      <w:bookmarkEnd w:id="36"/>
      <w:bookmarkEnd w:id="37"/>
    </w:p>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38" w:name="_Toc319507675_WPSOffice_Level2"/>
      <w:bookmarkStart w:id="39" w:name="_Toc24439"/>
      <w:r>
        <w:rPr>
          <w:rFonts w:ascii="楷体" w:eastAsia="楷体" w:hAnsi="楷体" w:cs="楷体" w:hint="eastAsia"/>
          <w:b/>
          <w:bCs/>
          <w:sz w:val="32"/>
          <w:szCs w:val="32"/>
        </w:rPr>
        <w:t>（三）绩效评价依据</w:t>
      </w:r>
      <w:bookmarkEnd w:id="38"/>
      <w:bookmarkEnd w:id="39"/>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40" w:name="_Toc18401"/>
      <w:bookmarkStart w:id="41" w:name="_Toc3856"/>
      <w:bookmarkStart w:id="42" w:name="_Toc19331"/>
      <w:bookmarkStart w:id="43" w:name="_Toc769301689_WPSOffice_Level3"/>
      <w:r>
        <w:rPr>
          <w:rFonts w:ascii="Times New Roman" w:eastAsia="仿宋_GB2312" w:hAnsi="Times New Roman" w:cs="Times New Roman" w:hint="eastAsia"/>
          <w:sz w:val="32"/>
          <w:szCs w:val="32"/>
        </w:rPr>
        <w:t>绩效考评组根据《巴中市财政局关于开展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号）中确</w:t>
      </w:r>
      <w:r>
        <w:rPr>
          <w:rFonts w:ascii="Times New Roman" w:eastAsia="仿宋_GB2312" w:hAnsi="Times New Roman" w:cs="Times New Roman" w:hint="eastAsia"/>
          <w:sz w:val="32"/>
          <w:szCs w:val="32"/>
        </w:rPr>
        <w:lastRenderedPageBreak/>
        <w:t>定的政策支出绩效评价指标进行绩效考评。</w:t>
      </w:r>
      <w:bookmarkEnd w:id="40"/>
      <w:bookmarkEnd w:id="41"/>
      <w:bookmarkEnd w:id="42"/>
    </w:p>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44" w:name="_Toc1855996271_WPSOffice_Level2"/>
      <w:bookmarkStart w:id="45" w:name="_Toc32695"/>
      <w:bookmarkEnd w:id="43"/>
      <w:r>
        <w:rPr>
          <w:rFonts w:ascii="楷体" w:eastAsia="楷体" w:hAnsi="楷体" w:cs="楷体" w:hint="eastAsia"/>
          <w:b/>
          <w:bCs/>
          <w:sz w:val="32"/>
          <w:szCs w:val="32"/>
        </w:rPr>
        <w:t>（四）绩效评价方法</w:t>
      </w:r>
      <w:bookmarkEnd w:id="44"/>
      <w:bookmarkEnd w:id="4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46" w:name="_Toc5907"/>
      <w:bookmarkStart w:id="47" w:name="_Toc16539"/>
      <w:bookmarkStart w:id="48" w:name="_Toc23092"/>
      <w:r>
        <w:rPr>
          <w:rFonts w:ascii="Times New Roman" w:eastAsia="仿宋_GB2312" w:hAnsi="Times New Roman" w:cs="Times New Roman" w:hint="eastAsia"/>
          <w:sz w:val="32"/>
          <w:szCs w:val="32"/>
        </w:rPr>
        <w:t>根据财政政策支出绩效评价指标，我们主要采用了现场评价、送审评价与专项资金自评方式，兼以实地调研和发放问卷调查法等评价方法。</w:t>
      </w:r>
      <w:bookmarkEnd w:id="46"/>
      <w:bookmarkEnd w:id="47"/>
      <w:bookmarkEnd w:id="48"/>
    </w:p>
    <w:p w:rsidR="00C765E7" w:rsidRDefault="00CF3EFD" w:rsidP="004938DF">
      <w:pPr>
        <w:adjustRightInd w:val="0"/>
        <w:snapToGrid w:val="0"/>
        <w:spacing w:line="580" w:lineRule="exact"/>
        <w:ind w:firstLineChars="200" w:firstLine="643"/>
        <w:outlineLvl w:val="0"/>
        <w:rPr>
          <w:rFonts w:ascii="黑体" w:eastAsia="黑体" w:hAnsi="黑体" w:cs="黑体"/>
          <w:b/>
          <w:bCs/>
          <w:sz w:val="32"/>
          <w:szCs w:val="32"/>
        </w:rPr>
      </w:pPr>
      <w:bookmarkStart w:id="49" w:name="_Toc20950"/>
      <w:bookmarkStart w:id="50" w:name="_Toc1801932083_WPSOffice_Level1"/>
      <w:r>
        <w:rPr>
          <w:rFonts w:ascii="黑体" w:eastAsia="黑体" w:hAnsi="黑体" w:cs="黑体"/>
          <w:b/>
          <w:bCs/>
          <w:sz w:val="32"/>
          <w:szCs w:val="32"/>
        </w:rPr>
        <w:t>三</w:t>
      </w:r>
      <w:r>
        <w:rPr>
          <w:rFonts w:ascii="黑体" w:eastAsia="黑体" w:hAnsi="黑体" w:cs="黑体" w:hint="eastAsia"/>
          <w:b/>
          <w:bCs/>
          <w:sz w:val="32"/>
          <w:szCs w:val="32"/>
        </w:rPr>
        <w:t>、评价结论及绩效分析</w:t>
      </w:r>
      <w:bookmarkEnd w:id="49"/>
      <w:bookmarkEnd w:id="50"/>
    </w:p>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51" w:name="_Toc15649"/>
      <w:bookmarkStart w:id="52" w:name="_Toc1529354022_WPSOffice_Level2"/>
      <w:r>
        <w:rPr>
          <w:rFonts w:ascii="楷体" w:eastAsia="楷体" w:hAnsi="楷体" w:cs="楷体" w:hint="eastAsia"/>
          <w:b/>
          <w:bCs/>
          <w:sz w:val="32"/>
          <w:szCs w:val="32"/>
        </w:rPr>
        <w:t>（一）评价结论</w:t>
      </w:r>
      <w:bookmarkEnd w:id="51"/>
      <w:bookmarkEnd w:id="52"/>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53" w:name="_Toc25214"/>
      <w:bookmarkStart w:id="54" w:name="_Toc3646"/>
      <w:bookmarkStart w:id="55" w:name="_Toc13262"/>
      <w:r>
        <w:rPr>
          <w:rFonts w:ascii="Times New Roman" w:eastAsia="仿宋_GB2312" w:hAnsi="Times New Roman" w:cs="Times New Roman" w:hint="eastAsia"/>
          <w:sz w:val="32"/>
          <w:szCs w:val="32"/>
        </w:rPr>
        <w:t>综上所述，按照设定的评价指标体系，通过对巴中市中心医院、巴中市消防救援支队、巴中市机关事务服务中心、</w:t>
      </w:r>
      <w:r>
        <w:rPr>
          <w:rFonts w:ascii="仿宋_GB2312" w:eastAsia="仿宋_GB2312" w:hAnsi="仿宋_GB2312" w:cs="仿宋_GB2312" w:hint="eastAsia"/>
          <w:sz w:val="32"/>
          <w:szCs w:val="32"/>
        </w:rPr>
        <w:t>巴中市柳津湖运行保护中心</w:t>
      </w:r>
      <w:r>
        <w:rPr>
          <w:rFonts w:ascii="Times New Roman" w:eastAsia="仿宋_GB2312" w:hAnsi="Times New Roman" w:cs="Times New Roman" w:hint="eastAsia"/>
          <w:sz w:val="32"/>
          <w:szCs w:val="32"/>
        </w:rPr>
        <w:t>、巴中市生态环境局政府采购财政政策在项目管理、采购管理、目标完成、项目效果进行全面分析评价，“政府采购”财政政策绩效评价得分为</w:t>
      </w:r>
      <w:r>
        <w:rPr>
          <w:rFonts w:ascii="Times New Roman" w:eastAsia="仿宋_GB2312" w:hAnsi="Times New Roman" w:cs="Times New Roman" w:hint="eastAsia"/>
          <w:sz w:val="32"/>
          <w:szCs w:val="32"/>
        </w:rPr>
        <w:t>82.15</w:t>
      </w:r>
      <w:r>
        <w:rPr>
          <w:rFonts w:ascii="Times New Roman" w:eastAsia="仿宋_GB2312" w:hAnsi="Times New Roman" w:cs="Times New Roman" w:hint="eastAsia"/>
          <w:sz w:val="32"/>
          <w:szCs w:val="32"/>
        </w:rPr>
        <w:t>分。详见下表：</w:t>
      </w:r>
      <w:bookmarkEnd w:id="53"/>
      <w:bookmarkEnd w:id="54"/>
      <w:bookmarkEnd w:id="55"/>
    </w:p>
    <w:tbl>
      <w:tblPr>
        <w:tblW w:w="8073" w:type="dxa"/>
        <w:tblLayout w:type="fixed"/>
        <w:tblCellMar>
          <w:left w:w="0" w:type="dxa"/>
          <w:right w:w="0" w:type="dxa"/>
        </w:tblCellMar>
        <w:tblLook w:val="04A0"/>
      </w:tblPr>
      <w:tblGrid>
        <w:gridCol w:w="1903"/>
        <w:gridCol w:w="1780"/>
        <w:gridCol w:w="1370"/>
        <w:gridCol w:w="1700"/>
        <w:gridCol w:w="1320"/>
      </w:tblGrid>
      <w:tr w:rsidR="00C765E7">
        <w:trPr>
          <w:trHeight w:val="580"/>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一级指标</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二级指标</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分值</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扣分</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得分</w:t>
            </w:r>
          </w:p>
        </w:tc>
      </w:tr>
      <w:tr w:rsidR="00C765E7">
        <w:trPr>
          <w:trHeight w:val="580"/>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r>
      <w:tr w:rsidR="00C765E7">
        <w:trPr>
          <w:trHeight w:val="580"/>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spacing w:line="580" w:lineRule="exact"/>
              <w:jc w:val="center"/>
              <w:rPr>
                <w:rFonts w:ascii="宋体" w:eastAsia="宋体" w:hAnsi="宋体" w:cs="宋体"/>
                <w:b/>
                <w:color w:val="000000"/>
                <w:sz w:val="18"/>
                <w:szCs w:val="18"/>
              </w:rPr>
            </w:pPr>
          </w:p>
        </w:tc>
      </w:tr>
      <w:tr w:rsidR="00C765E7">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项目管理</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Cs w:val="21"/>
              </w:rPr>
              <w:t>岗位设置</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内控制度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采购预算</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财务管理</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4.0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资金拨付</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1.8 </w:t>
            </w:r>
          </w:p>
        </w:tc>
      </w:tr>
      <w:tr w:rsidR="00C765E7">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档案管理</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1.8</w:t>
            </w:r>
          </w:p>
        </w:tc>
      </w:tr>
      <w:tr w:rsidR="00C765E7">
        <w:trPr>
          <w:trHeight w:val="454"/>
        </w:trPr>
        <w:tc>
          <w:tcPr>
            <w:tcW w:w="1903"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采购管理</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委托代理</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政策执行</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采购文件编制</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采购方式和采购程序</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13.0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13.0 </w:t>
            </w:r>
          </w:p>
        </w:tc>
      </w:tr>
      <w:tr w:rsidR="00C765E7">
        <w:trPr>
          <w:trHeight w:val="454"/>
        </w:trPr>
        <w:tc>
          <w:tcPr>
            <w:tcW w:w="190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合同管理</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1.8</w:t>
            </w:r>
          </w:p>
        </w:tc>
      </w:tr>
      <w:tr w:rsidR="00C765E7">
        <w:trPr>
          <w:trHeight w:val="454"/>
        </w:trPr>
        <w:tc>
          <w:tcPr>
            <w:tcW w:w="190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询问、质疑答复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协助配合</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2.0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2.0 </w:t>
            </w:r>
          </w:p>
        </w:tc>
      </w:tr>
      <w:tr w:rsidR="00C765E7">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 w:val="24"/>
              </w:rPr>
            </w:pPr>
            <w:bookmarkStart w:id="56" w:name="_Toc621276811_WPSOffice_Level2"/>
            <w:r>
              <w:rPr>
                <w:rFonts w:ascii="Times New Roman" w:eastAsia="仿宋_GB2312" w:hAnsi="Times New Roman" w:cs="Times New Roman" w:hint="eastAsia"/>
                <w:bCs/>
                <w:color w:val="000000"/>
                <w:kern w:val="0"/>
                <w:sz w:val="24"/>
              </w:rPr>
              <w:t>目标完成</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数量完成程度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质量完成程度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时效完成程度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3.0 </w:t>
            </w:r>
          </w:p>
        </w:tc>
      </w:tr>
      <w:tr w:rsidR="00C765E7">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投资控制程度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5.0 </w:t>
            </w:r>
          </w:p>
        </w:tc>
      </w:tr>
      <w:tr w:rsidR="00C765E7">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项目效果</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经济效益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r>
      <w:tr w:rsidR="00C765E7">
        <w:trPr>
          <w:trHeight w:val="454"/>
        </w:trPr>
        <w:tc>
          <w:tcPr>
            <w:tcW w:w="1903" w:type="dxa"/>
            <w:vMerge/>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社会效益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3.6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生态效益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4.8 </w:t>
            </w:r>
          </w:p>
        </w:tc>
      </w:tr>
      <w:tr w:rsidR="00C765E7">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可持续影响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4.8</w:t>
            </w:r>
          </w:p>
        </w:tc>
      </w:tr>
      <w:tr w:rsidR="00C765E7">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765E7" w:rsidP="004938DF">
            <w:pPr>
              <w:widowControl/>
              <w:spacing w:line="580" w:lineRule="exact"/>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仿宋_GB2312" w:hAnsi="Times New Roman" w:cs="Times New Roman"/>
                <w:bCs/>
                <w:color w:val="000000"/>
                <w:kern w:val="0"/>
                <w:szCs w:val="21"/>
              </w:rPr>
            </w:pPr>
            <w:r>
              <w:rPr>
                <w:rFonts w:ascii="Times New Roman" w:eastAsia="仿宋_GB2312" w:hAnsi="Times New Roman" w:cs="Times New Roman" w:hint="eastAsia"/>
                <w:bCs/>
                <w:color w:val="000000"/>
                <w:kern w:val="0"/>
                <w:szCs w:val="21"/>
              </w:rPr>
              <w:t>社会满意程度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6.0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3.55</w:t>
            </w:r>
          </w:p>
        </w:tc>
      </w:tr>
      <w:tr w:rsidR="00C765E7">
        <w:trPr>
          <w:trHeight w:val="454"/>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宋体" w:eastAsia="宋体" w:hAnsi="宋体" w:cs="宋体"/>
                <w:color w:val="000000"/>
                <w:kern w:val="0"/>
                <w:sz w:val="16"/>
                <w:szCs w:val="16"/>
              </w:rPr>
            </w:pPr>
            <w:r>
              <w:rPr>
                <w:rFonts w:ascii="Times New Roman" w:eastAsia="仿宋_GB2312" w:hAnsi="Times New Roman" w:cs="Times New Roman" w:hint="eastAsia"/>
                <w:b/>
                <w:bCs/>
                <w:sz w:val="24"/>
              </w:rPr>
              <w:t>合计</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100.0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17.85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765E7" w:rsidRDefault="00CF3EFD" w:rsidP="004938DF">
            <w:pPr>
              <w:widowControl/>
              <w:spacing w:line="5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82.15</w:t>
            </w:r>
          </w:p>
        </w:tc>
      </w:tr>
    </w:tbl>
    <w:p w:rsidR="00C765E7" w:rsidRDefault="00CF3EFD" w:rsidP="004938DF">
      <w:pPr>
        <w:adjustRightInd w:val="0"/>
        <w:snapToGrid w:val="0"/>
        <w:spacing w:line="580" w:lineRule="exact"/>
        <w:ind w:firstLineChars="200" w:firstLine="640"/>
        <w:outlineLvl w:val="1"/>
        <w:rPr>
          <w:rFonts w:ascii="楷体" w:eastAsia="楷体" w:hAnsi="楷体" w:cs="楷体"/>
          <w:b/>
          <w:bCs/>
          <w:sz w:val="32"/>
          <w:szCs w:val="32"/>
        </w:rPr>
      </w:pPr>
      <w:bookmarkStart w:id="57" w:name="_Toc21021"/>
      <w:r>
        <w:rPr>
          <w:rFonts w:ascii="楷体" w:eastAsia="楷体" w:hAnsi="楷体" w:cs="楷体" w:hint="eastAsia"/>
          <w:b/>
          <w:bCs/>
          <w:sz w:val="32"/>
          <w:szCs w:val="32"/>
        </w:rPr>
        <w:t>（二）绩效分析</w:t>
      </w:r>
      <w:bookmarkEnd w:id="56"/>
      <w:bookmarkEnd w:id="5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58" w:name="_Toc1249896147_WPSOffice_Level3"/>
      <w:bookmarkStart w:id="59" w:name="_Toc20560"/>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End w:id="58"/>
      <w:r>
        <w:rPr>
          <w:rFonts w:ascii="Times New Roman" w:eastAsia="仿宋_GB2312" w:hAnsi="Times New Roman" w:cs="Times New Roman" w:hint="eastAsia"/>
          <w:sz w:val="32"/>
          <w:szCs w:val="32"/>
        </w:rPr>
        <w:t>项目管理</w:t>
      </w:r>
      <w:bookmarkEnd w:id="59"/>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60" w:name="_Toc27123"/>
      <w:bookmarkStart w:id="61" w:name="_Toc2698"/>
      <w:bookmarkStart w:id="62" w:name="_Toc10024"/>
      <w:r>
        <w:rPr>
          <w:rFonts w:ascii="Times New Roman" w:eastAsia="仿宋_GB2312" w:hAnsi="Times New Roman" w:cs="Times New Roman"/>
          <w:sz w:val="32"/>
          <w:szCs w:val="32"/>
        </w:rPr>
        <w:t>一级指标</w:t>
      </w:r>
      <w:r>
        <w:rPr>
          <w:rFonts w:ascii="Times New Roman" w:eastAsia="仿宋_GB2312" w:hAnsi="Times New Roman" w:cs="Times New Roman" w:hint="eastAsia"/>
          <w:sz w:val="32"/>
          <w:szCs w:val="32"/>
        </w:rPr>
        <w:t>“项目管理”</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个二级指标分别为：</w:t>
      </w:r>
      <w:r>
        <w:rPr>
          <w:rFonts w:ascii="Times New Roman" w:eastAsia="仿宋_GB2312" w:hAnsi="Times New Roman" w:cs="Times New Roman" w:hint="eastAsia"/>
          <w:sz w:val="32"/>
          <w:szCs w:val="32"/>
        </w:rPr>
        <w:t>岗位位置、内控制度、采购预算、财务管理、资金拨付、档案管理</w:t>
      </w:r>
      <w:r>
        <w:rPr>
          <w:rFonts w:ascii="Times New Roman" w:eastAsia="仿宋_GB2312" w:hAnsi="Times New Roman" w:cs="Times New Roman"/>
          <w:sz w:val="32"/>
          <w:szCs w:val="32"/>
        </w:rPr>
        <w:t>。</w:t>
      </w:r>
      <w:bookmarkEnd w:id="60"/>
      <w:bookmarkEnd w:id="61"/>
      <w:bookmarkEnd w:id="62"/>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63" w:name="_Toc19264"/>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）岗位设置</w:t>
      </w:r>
      <w:bookmarkEnd w:id="63"/>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64" w:name="_Toc7144"/>
      <w:bookmarkStart w:id="65" w:name="_Toc16423"/>
      <w:bookmarkStart w:id="66" w:name="_Toc32625"/>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家单位政府采购财政政策均按照相关规定设立专管员，工作岗位设置合理、权责清晰。</w:t>
      </w:r>
      <w:bookmarkEnd w:id="64"/>
      <w:bookmarkEnd w:id="65"/>
      <w:bookmarkEnd w:id="66"/>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67" w:name="_Toc25696"/>
      <w:bookmarkStart w:id="68" w:name="_Toc11712"/>
      <w:bookmarkStart w:id="69" w:name="_Toc376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67"/>
      <w:bookmarkEnd w:id="68"/>
      <w:bookmarkEnd w:id="69"/>
    </w:p>
    <w:p w:rsidR="00C765E7" w:rsidRDefault="00CF3EFD" w:rsidP="004938DF">
      <w:pPr>
        <w:numPr>
          <w:ilvl w:val="0"/>
          <w:numId w:val="2"/>
        </w:num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70" w:name="_Toc166"/>
      <w:r>
        <w:rPr>
          <w:rFonts w:ascii="Times New Roman" w:eastAsia="仿宋_GB2312" w:hAnsi="Times New Roman" w:cs="Times New Roman" w:hint="eastAsia"/>
          <w:sz w:val="32"/>
          <w:szCs w:val="32"/>
        </w:rPr>
        <w:t>内控制度</w:t>
      </w:r>
      <w:bookmarkEnd w:id="7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71" w:name="_Toc29754"/>
      <w:bookmarkStart w:id="72" w:name="_Toc8626"/>
      <w:bookmarkStart w:id="73" w:name="_Toc9365"/>
      <w:r>
        <w:rPr>
          <w:rFonts w:ascii="Times New Roman" w:eastAsia="仿宋_GB2312" w:hAnsi="Times New Roman" w:cs="Times New Roman" w:hint="eastAsia"/>
          <w:sz w:val="32"/>
          <w:szCs w:val="32"/>
        </w:rPr>
        <w:t>本次政府采购财政政策涉及的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家单位均按照本单位制定的采购管理办法执行政府采购，内控制度建立较为完善。</w:t>
      </w:r>
      <w:bookmarkEnd w:id="71"/>
      <w:bookmarkEnd w:id="72"/>
      <w:bookmarkEnd w:id="73"/>
    </w:p>
    <w:p w:rsidR="00C765E7" w:rsidRDefault="00CF3EFD" w:rsidP="004938DF">
      <w:pPr>
        <w:pStyle w:val="a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该指标分为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74" w:name="_Toc6194"/>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）采购预算</w:t>
      </w:r>
      <w:bookmarkEnd w:id="74"/>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75" w:name="_Toc11577"/>
      <w:bookmarkStart w:id="76" w:name="_Toc30543"/>
      <w:bookmarkStart w:id="77" w:name="_Toc5487"/>
      <w:r>
        <w:rPr>
          <w:rFonts w:ascii="Times New Roman" w:eastAsia="仿宋_GB2312" w:hAnsi="Times New Roman" w:cs="Times New Roman" w:hint="eastAsia"/>
          <w:sz w:val="32"/>
          <w:szCs w:val="32"/>
        </w:rPr>
        <w:t>本次</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家被评价单位的采购项目均纳入各单位部门本年预算，且采购额均控制在预算范围内。</w:t>
      </w:r>
      <w:bookmarkEnd w:id="75"/>
      <w:bookmarkEnd w:id="76"/>
      <w:bookmarkEnd w:id="7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78" w:name="_Toc2260"/>
      <w:bookmarkStart w:id="79" w:name="_Toc19855"/>
      <w:bookmarkStart w:id="80" w:name="_Toc1337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78"/>
      <w:bookmarkEnd w:id="79"/>
      <w:bookmarkEnd w:id="8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81" w:name="_Toc32224"/>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）财务管理</w:t>
      </w:r>
      <w:bookmarkEnd w:id="81"/>
    </w:p>
    <w:p w:rsidR="00C765E7" w:rsidRDefault="00CF3EFD" w:rsidP="004938DF">
      <w:pPr>
        <w:pStyle w:val="a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家单位除巴中市机关事务服务中心蔬菜采购项目未进行专账核算外，其余单位财务核算均较为及时、规范。</w:t>
      </w:r>
    </w:p>
    <w:p w:rsidR="00C765E7" w:rsidRDefault="00CF3EFD" w:rsidP="004938D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分。</w:t>
      </w:r>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82" w:name="_Toc1283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）资金拨付</w:t>
      </w:r>
      <w:bookmarkEnd w:id="82"/>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83" w:name="_Toc13039"/>
      <w:bookmarkStart w:id="84" w:name="_Toc6699"/>
      <w:bookmarkStart w:id="85" w:name="_Toc1566"/>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家单位中巴中市生态环境局水质监测建设项目合同约定竣工时间为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日，截至现场评价之日，该项目暂未完成项目验收，尾款未拨付，项目进度滞后；巴中市中心医院截至现场评价之日，因机房未</w:t>
      </w:r>
      <w:r>
        <w:rPr>
          <w:rFonts w:ascii="Times New Roman" w:eastAsia="仿宋_GB2312" w:hAnsi="Times New Roman" w:cs="Times New Roman" w:hint="eastAsia"/>
          <w:sz w:val="32"/>
          <w:szCs w:val="32"/>
        </w:rPr>
        <w:lastRenderedPageBreak/>
        <w:t>装修完成，设备未安装，仅拨付了</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预付款。</w:t>
      </w:r>
      <w:bookmarkEnd w:id="83"/>
      <w:r>
        <w:rPr>
          <w:rFonts w:ascii="Times New Roman" w:eastAsia="仿宋_GB2312" w:hAnsi="Times New Roman" w:cs="Times New Roman" w:hint="eastAsia"/>
          <w:sz w:val="32"/>
          <w:szCs w:val="32"/>
        </w:rPr>
        <w:t>除此之外，其余</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家单位资金拨付均较为及时、合规，</w:t>
      </w:r>
      <w:bookmarkEnd w:id="84"/>
      <w:bookmarkEnd w:id="8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86" w:name="_Toc2249"/>
      <w:bookmarkStart w:id="87" w:name="_Toc27209"/>
      <w:bookmarkStart w:id="88" w:name="_Toc32542"/>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1.80</w:t>
      </w:r>
      <w:r>
        <w:rPr>
          <w:rFonts w:ascii="Times New Roman" w:eastAsia="仿宋_GB2312" w:hAnsi="Times New Roman" w:cs="Times New Roman" w:hint="eastAsia"/>
          <w:sz w:val="32"/>
          <w:szCs w:val="32"/>
        </w:rPr>
        <w:t>分。</w:t>
      </w:r>
      <w:bookmarkEnd w:id="86"/>
      <w:bookmarkEnd w:id="87"/>
      <w:bookmarkEnd w:id="88"/>
    </w:p>
    <w:p w:rsidR="00C765E7" w:rsidRDefault="00CF3EFD" w:rsidP="004938DF">
      <w:pPr>
        <w:pStyle w:val="a0"/>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6</w:t>
      </w:r>
      <w:r>
        <w:rPr>
          <w:rFonts w:ascii="Times New Roman" w:eastAsia="仿宋_GB2312" w:hAnsi="Times New Roman" w:cs="Times New Roman" w:hint="eastAsia"/>
          <w:kern w:val="2"/>
          <w:sz w:val="32"/>
          <w:szCs w:val="32"/>
        </w:rPr>
        <w:t>）档案管理</w:t>
      </w:r>
    </w:p>
    <w:p w:rsidR="00C765E7" w:rsidRDefault="00CF3EFD" w:rsidP="004938D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家单位中的巴中市机关事务服务中心蔬菜采购、巴中市生态环境局长江经济带水质自动监测能力建设项目采购招标文件部分无档案索引目录，档案管理不够规范。其余单位档案管理均较为规范。</w:t>
      </w:r>
    </w:p>
    <w:p w:rsidR="00C765E7" w:rsidRDefault="00CF3EFD" w:rsidP="004938DF">
      <w:pPr>
        <w:adjustRightInd w:val="0"/>
        <w:snapToGrid w:val="0"/>
        <w:spacing w:line="580" w:lineRule="exact"/>
        <w:ind w:firstLineChars="200" w:firstLine="640"/>
        <w:outlineLvl w:val="1"/>
      </w:pPr>
      <w:bookmarkStart w:id="89" w:name="_Toc23892"/>
      <w:bookmarkStart w:id="90" w:name="_Toc11116"/>
      <w:bookmarkStart w:id="91" w:name="_Toc9103"/>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1.80</w:t>
      </w:r>
      <w:r>
        <w:rPr>
          <w:rFonts w:ascii="Times New Roman" w:eastAsia="仿宋_GB2312" w:hAnsi="Times New Roman" w:cs="Times New Roman" w:hint="eastAsia"/>
          <w:sz w:val="32"/>
          <w:szCs w:val="32"/>
        </w:rPr>
        <w:t>分。</w:t>
      </w:r>
      <w:bookmarkEnd w:id="89"/>
      <w:bookmarkEnd w:id="90"/>
      <w:bookmarkEnd w:id="91"/>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92" w:name="_Toc319507675_WPSOffice_Level3"/>
      <w:bookmarkStart w:id="93" w:name="_Toc9779"/>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bookmarkEnd w:id="92"/>
      <w:r>
        <w:rPr>
          <w:rFonts w:ascii="Times New Roman" w:eastAsia="仿宋_GB2312" w:hAnsi="Times New Roman" w:cs="Times New Roman" w:hint="eastAsia"/>
          <w:sz w:val="32"/>
          <w:szCs w:val="32"/>
        </w:rPr>
        <w:t>采购管理</w:t>
      </w:r>
      <w:bookmarkEnd w:id="93"/>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94" w:name="_Toc16645"/>
      <w:bookmarkStart w:id="95" w:name="_Toc17987"/>
      <w:bookmarkStart w:id="96" w:name="_Toc20635"/>
      <w:r>
        <w:rPr>
          <w:rFonts w:ascii="Times New Roman" w:eastAsia="仿宋_GB2312" w:hAnsi="Times New Roman" w:cs="Times New Roman"/>
          <w:sz w:val="32"/>
          <w:szCs w:val="32"/>
        </w:rPr>
        <w:t>一级指标</w:t>
      </w:r>
      <w:r>
        <w:rPr>
          <w:rFonts w:ascii="Times New Roman" w:eastAsia="仿宋_GB2312" w:hAnsi="Times New Roman" w:cs="Times New Roman" w:hint="eastAsia"/>
          <w:sz w:val="32"/>
          <w:szCs w:val="32"/>
        </w:rPr>
        <w:t>“采购管理”</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委托代理、政策执行、采购文件编制、采购方式和采购程序、合同管理、询问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质疑答复、协助配合七</w:t>
      </w:r>
      <w:r>
        <w:rPr>
          <w:rFonts w:ascii="Times New Roman" w:eastAsia="仿宋_GB2312" w:hAnsi="Times New Roman" w:cs="Times New Roman"/>
          <w:sz w:val="32"/>
          <w:szCs w:val="32"/>
        </w:rPr>
        <w:t>个二级指标。</w:t>
      </w:r>
      <w:bookmarkEnd w:id="94"/>
      <w:bookmarkEnd w:id="95"/>
      <w:bookmarkEnd w:id="96"/>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97" w:name="_Toc15857"/>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委托代理</w:t>
      </w:r>
      <w:bookmarkEnd w:id="9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98" w:name="_Toc5625"/>
      <w:bookmarkStart w:id="99" w:name="_Toc25322"/>
      <w:bookmarkStart w:id="100" w:name="_Toc8388"/>
      <w:r>
        <w:rPr>
          <w:rFonts w:ascii="Times New Roman" w:eastAsia="仿宋_GB2312" w:hAnsi="Times New Roman" w:cs="Times New Roman" w:hint="eastAsia"/>
          <w:sz w:val="32"/>
          <w:szCs w:val="32"/>
        </w:rPr>
        <w:t>巴中市中心医院“直线加速器、定位</w:t>
      </w: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采购”、巴中市消防救援支队“举高车采购”、巴中市机关事务服务中心“蔬菜采购”均通过第三方代理机构执行该政府采购，代理机构选择科学合理，代理协议签订合法合规。其余单位均由巴中市政府采购中心进行采购代理，不涉及代理机构选择及代理协议。</w:t>
      </w:r>
      <w:bookmarkEnd w:id="98"/>
      <w:bookmarkEnd w:id="99"/>
      <w:bookmarkEnd w:id="10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01" w:name="_Toc15530"/>
      <w:bookmarkStart w:id="102" w:name="_Toc20870"/>
      <w:bookmarkStart w:id="103" w:name="_Toc3201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101"/>
      <w:bookmarkEnd w:id="102"/>
      <w:bookmarkEnd w:id="103"/>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04" w:name="_Toc10925"/>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bookmarkEnd w:id="104"/>
    </w:p>
    <w:p w:rsidR="00C765E7" w:rsidRDefault="00CF3EFD" w:rsidP="004938DF">
      <w:pPr>
        <w:pStyle w:val="a0"/>
        <w:spacing w:after="0"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巴中市中心医院“直线加速器、定位</w:t>
      </w: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采购”、巴中</w:t>
      </w:r>
      <w:r>
        <w:rPr>
          <w:rFonts w:ascii="Times New Roman" w:eastAsia="仿宋_GB2312" w:hAnsi="Times New Roman" w:cs="Times New Roman" w:hint="eastAsia"/>
          <w:sz w:val="32"/>
          <w:szCs w:val="32"/>
        </w:rPr>
        <w:lastRenderedPageBreak/>
        <w:t>市消防救援支队“举高车采购”、巴中市机关事务服务中心“蔬菜采购”均未涉及节约能源、保护环境、促进中小企业（包括监狱企业、残疾人福利性单位）发展等相关政策文件。巴中市生态环境局、巴中市柳津湖运行保护中心均落实并执行相关政策。</w:t>
      </w:r>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05" w:name="_Toc12051"/>
      <w:bookmarkStart w:id="106" w:name="_Toc16187"/>
      <w:bookmarkStart w:id="107" w:name="_Toc23033"/>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105"/>
      <w:bookmarkEnd w:id="106"/>
      <w:bookmarkEnd w:id="10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08" w:name="_Toc6272"/>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采购文件编制</w:t>
      </w:r>
      <w:bookmarkEnd w:id="108"/>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09" w:name="_Toc29729"/>
      <w:bookmarkStart w:id="110" w:name="_Toc4744"/>
      <w:bookmarkStart w:id="111" w:name="_Toc9085"/>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家单位政府采购项目招标等文件内容较为完整、规范，未存在差别待遇或者歧视待遇，评审方法和标准符合相关规定。</w:t>
      </w:r>
      <w:bookmarkEnd w:id="109"/>
      <w:bookmarkEnd w:id="110"/>
      <w:bookmarkEnd w:id="111"/>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12" w:name="_Toc18647"/>
      <w:bookmarkStart w:id="113" w:name="_Toc29432"/>
      <w:bookmarkStart w:id="114" w:name="_Toc22469"/>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112"/>
      <w:bookmarkEnd w:id="113"/>
      <w:bookmarkEnd w:id="114"/>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15" w:name="_Toc2093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）采购方式和采购程序</w:t>
      </w:r>
      <w:bookmarkEnd w:id="11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16" w:name="_Toc1373"/>
      <w:bookmarkStart w:id="117" w:name="_Toc19038"/>
      <w:bookmarkStart w:id="118" w:name="_Toc12803"/>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家单位政府采购方式均为公开招标，采购程序合规合法。</w:t>
      </w:r>
      <w:bookmarkEnd w:id="116"/>
      <w:bookmarkEnd w:id="117"/>
      <w:bookmarkEnd w:id="118"/>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19" w:name="_Toc25744"/>
      <w:bookmarkStart w:id="120" w:name="_Toc20752"/>
      <w:bookmarkStart w:id="121" w:name="_Toc443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w:t>
      </w:r>
      <w:bookmarkEnd w:id="119"/>
      <w:bookmarkEnd w:id="120"/>
      <w:bookmarkEnd w:id="121"/>
    </w:p>
    <w:p w:rsidR="00C765E7" w:rsidRDefault="00CF3EFD" w:rsidP="004938DF">
      <w:pPr>
        <w:numPr>
          <w:ilvl w:val="0"/>
          <w:numId w:val="3"/>
        </w:num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22" w:name="_Toc14190"/>
      <w:r>
        <w:rPr>
          <w:rFonts w:ascii="Times New Roman" w:eastAsia="仿宋_GB2312" w:hAnsi="Times New Roman" w:cs="Times New Roman" w:hint="eastAsia"/>
          <w:sz w:val="32"/>
          <w:szCs w:val="32"/>
        </w:rPr>
        <w:t>合同管理、询问、质疑答复、协助配合</w:t>
      </w:r>
      <w:bookmarkEnd w:id="122"/>
    </w:p>
    <w:p w:rsidR="00C765E7" w:rsidRDefault="00CF3EFD" w:rsidP="004938DF">
      <w:pPr>
        <w:pStyle w:val="a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家单位政府采购合同均按时签订、公告和备案，履约验收合法合规。其中巴中市中心医院“直线加速器、定位</w:t>
      </w: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采购”、巴中市生态环境局“长江经济带水质自动监测能力建设项目采购”截止现场评价之日因项目未完成，导致未按期开展履约验收程序；</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家单位执行的政府采购无询问、质疑答复事项；不存在</w:t>
      </w:r>
      <w:r>
        <w:rPr>
          <w:rFonts w:ascii="Times New Roman" w:eastAsia="仿宋_GB2312" w:hAnsi="Times New Roman" w:cs="Times New Roman"/>
          <w:sz w:val="32"/>
          <w:szCs w:val="32"/>
        </w:rPr>
        <w:t>不予配合或者消极配合</w:t>
      </w:r>
      <w:r>
        <w:rPr>
          <w:rFonts w:ascii="Times New Roman" w:eastAsia="仿宋_GB2312" w:hAnsi="Times New Roman" w:cs="Times New Roman" w:hint="eastAsia"/>
          <w:sz w:val="32"/>
          <w:szCs w:val="32"/>
        </w:rPr>
        <w:t>的情形。</w:t>
      </w:r>
    </w:p>
    <w:p w:rsidR="00C765E7" w:rsidRDefault="00CF3EFD" w:rsidP="004938DF">
      <w:pPr>
        <w:adjustRightInd w:val="0"/>
        <w:snapToGrid w:val="0"/>
        <w:spacing w:line="580" w:lineRule="exact"/>
        <w:ind w:firstLineChars="200" w:firstLine="640"/>
        <w:outlineLvl w:val="1"/>
      </w:pPr>
      <w:bookmarkStart w:id="123" w:name="_Toc13621"/>
      <w:bookmarkStart w:id="124" w:name="_Toc14831"/>
      <w:bookmarkStart w:id="125" w:name="_Toc4598"/>
      <w:r>
        <w:rPr>
          <w:rFonts w:ascii="Times New Roman" w:eastAsia="仿宋_GB2312" w:hAnsi="Times New Roman" w:cs="Times New Roman" w:hint="eastAsia"/>
          <w:sz w:val="32"/>
          <w:szCs w:val="32"/>
        </w:rPr>
        <w:lastRenderedPageBreak/>
        <w:t>指标分为</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6.80</w:t>
      </w:r>
      <w:r>
        <w:rPr>
          <w:rFonts w:ascii="Times New Roman" w:eastAsia="仿宋_GB2312" w:hAnsi="Times New Roman" w:cs="Times New Roman" w:hint="eastAsia"/>
          <w:sz w:val="32"/>
          <w:szCs w:val="32"/>
        </w:rPr>
        <w:t>分。</w:t>
      </w:r>
      <w:bookmarkEnd w:id="123"/>
      <w:bookmarkEnd w:id="124"/>
      <w:bookmarkEnd w:id="12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26" w:name="_Toc4328"/>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、目标完成</w:t>
      </w:r>
      <w:bookmarkEnd w:id="126"/>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27" w:name="_Toc29161"/>
      <w:bookmarkStart w:id="128" w:name="_Toc27267"/>
      <w:bookmarkStart w:id="129" w:name="_Toc4253"/>
      <w:r>
        <w:rPr>
          <w:rFonts w:ascii="Times New Roman" w:eastAsia="仿宋_GB2312" w:hAnsi="Times New Roman" w:cs="Times New Roman"/>
          <w:sz w:val="32"/>
          <w:szCs w:val="32"/>
        </w:rPr>
        <w:t>一级指标</w:t>
      </w:r>
      <w:r>
        <w:rPr>
          <w:rFonts w:ascii="Times New Roman" w:eastAsia="仿宋_GB2312" w:hAnsi="Times New Roman" w:cs="Times New Roman" w:hint="eastAsia"/>
          <w:sz w:val="32"/>
          <w:szCs w:val="32"/>
        </w:rPr>
        <w:t>“目标完成”</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数量完成程度、质量完成程度、时效完成程度、投资控制程度四</w:t>
      </w:r>
      <w:r>
        <w:rPr>
          <w:rFonts w:ascii="Times New Roman" w:eastAsia="仿宋_GB2312" w:hAnsi="Times New Roman" w:cs="Times New Roman"/>
          <w:sz w:val="32"/>
          <w:szCs w:val="32"/>
        </w:rPr>
        <w:t>个二级指标。</w:t>
      </w:r>
      <w:bookmarkEnd w:id="127"/>
      <w:bookmarkEnd w:id="128"/>
      <w:bookmarkEnd w:id="129"/>
    </w:p>
    <w:p w:rsidR="00C765E7" w:rsidRDefault="00CF3EFD" w:rsidP="004938DF">
      <w:pPr>
        <w:numPr>
          <w:ilvl w:val="0"/>
          <w:numId w:val="4"/>
        </w:num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30" w:name="_Toc25421"/>
      <w:r>
        <w:rPr>
          <w:rFonts w:ascii="Times New Roman" w:eastAsia="仿宋_GB2312" w:hAnsi="Times New Roman" w:cs="Times New Roman" w:hint="eastAsia"/>
          <w:sz w:val="32"/>
          <w:szCs w:val="32"/>
        </w:rPr>
        <w:t>数量完成程度</w:t>
      </w:r>
      <w:bookmarkEnd w:id="13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31" w:name="_Toc10555"/>
      <w:bookmarkStart w:id="132" w:name="_Toc21163"/>
      <w:bookmarkStart w:id="133" w:name="_Toc24449"/>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巴中市生态环境局“长江经济带水质自动监测能力建设项目采购”，截至现场评价之日，均未完成预设数量目标；巴中市机关事务服务中心“蔬菜采购”、巴中市柳津湖运行保护中心“巴河景观维护管理服务采购”因项目性质，产出无法量化，巴中市消防救援支队“举高车采购”计划采购一辆</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米举高消防车，实际采购一辆</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米举高消防车，完成了其预设的数量目标。</w:t>
      </w:r>
      <w:bookmarkEnd w:id="131"/>
      <w:bookmarkEnd w:id="132"/>
      <w:bookmarkEnd w:id="133"/>
    </w:p>
    <w:p w:rsidR="00C765E7" w:rsidRDefault="00CF3EFD" w:rsidP="004938DF">
      <w:pPr>
        <w:adjustRightInd w:val="0"/>
        <w:snapToGrid w:val="0"/>
        <w:spacing w:line="580" w:lineRule="exact"/>
        <w:ind w:firstLineChars="200" w:firstLine="640"/>
        <w:outlineLvl w:val="1"/>
      </w:pPr>
      <w:bookmarkStart w:id="134" w:name="_Toc2936"/>
      <w:bookmarkStart w:id="135" w:name="_Toc14189"/>
      <w:bookmarkStart w:id="136" w:name="_Toc436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134"/>
      <w:bookmarkEnd w:id="135"/>
      <w:bookmarkEnd w:id="136"/>
    </w:p>
    <w:p w:rsidR="00C765E7" w:rsidRDefault="00CF3EFD" w:rsidP="004938DF">
      <w:pPr>
        <w:numPr>
          <w:ilvl w:val="0"/>
          <w:numId w:val="4"/>
        </w:num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37" w:name="_Toc16695"/>
      <w:r>
        <w:rPr>
          <w:rFonts w:ascii="Times New Roman" w:eastAsia="仿宋_GB2312" w:hAnsi="Times New Roman" w:cs="Times New Roman" w:hint="eastAsia"/>
          <w:sz w:val="32"/>
          <w:szCs w:val="32"/>
        </w:rPr>
        <w:t>质量完成程度</w:t>
      </w:r>
      <w:bookmarkEnd w:id="137"/>
    </w:p>
    <w:p w:rsidR="00C765E7" w:rsidRDefault="00CF3EFD" w:rsidP="004938DF">
      <w:pPr>
        <w:pStyle w:val="a0"/>
        <w:spacing w:line="580" w:lineRule="exact"/>
        <w:ind w:firstLineChars="200" w:firstLine="640"/>
      </w:pP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巴中市生态环境局“长江经济带水质自动监测能力建设项目采购”，截至现场评价之日，该项目未完成，导致其预设质量目标未完成。巴中市机关事务服务中心“蔬菜采购”每月按照送菜单进行入库、验收，巴中市柳津湖运行保护中心“巴河景观维护管理服务采购”每月进行考评，质量完成情况较好，巴中市消防救援支队“举高车采购”一辆</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米举高消防车，质量完成较好。</w:t>
      </w:r>
    </w:p>
    <w:p w:rsidR="00C765E7" w:rsidRDefault="00CF3EFD" w:rsidP="004938DF">
      <w:pPr>
        <w:adjustRightInd w:val="0"/>
        <w:snapToGrid w:val="0"/>
        <w:spacing w:line="580" w:lineRule="exact"/>
        <w:ind w:firstLineChars="200" w:firstLine="640"/>
        <w:outlineLvl w:val="1"/>
      </w:pPr>
      <w:bookmarkStart w:id="138" w:name="_Toc8734"/>
      <w:bookmarkStart w:id="139" w:name="_Toc31953"/>
      <w:r>
        <w:rPr>
          <w:rFonts w:ascii="Times New Roman" w:eastAsia="仿宋_GB2312" w:hAnsi="Times New Roman" w:cs="Times New Roman" w:hint="eastAsia"/>
          <w:sz w:val="32"/>
          <w:szCs w:val="32"/>
        </w:rPr>
        <w:lastRenderedPageBreak/>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bookmarkEnd w:id="138"/>
      <w:bookmarkEnd w:id="139"/>
    </w:p>
    <w:p w:rsidR="00C765E7" w:rsidRDefault="00CF3EFD" w:rsidP="004938DF">
      <w:pPr>
        <w:numPr>
          <w:ilvl w:val="0"/>
          <w:numId w:val="4"/>
        </w:num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40" w:name="_Toc22085"/>
      <w:r>
        <w:rPr>
          <w:rFonts w:ascii="Times New Roman" w:eastAsia="仿宋_GB2312" w:hAnsi="Times New Roman" w:cs="Times New Roman" w:hint="eastAsia"/>
          <w:sz w:val="32"/>
          <w:szCs w:val="32"/>
        </w:rPr>
        <w:t>时效完成程度</w:t>
      </w:r>
      <w:bookmarkEnd w:id="140"/>
    </w:p>
    <w:p w:rsidR="00C765E7" w:rsidRDefault="00CF3EFD" w:rsidP="004938DF">
      <w:pPr>
        <w:pStyle w:val="a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家单位除</w:t>
      </w: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”、巴中市生态环境局“长江经济带水质自动监测能力建设项目采购”未按时完成外，其余项目均按期完成。</w:t>
      </w:r>
    </w:p>
    <w:p w:rsidR="00C765E7" w:rsidRDefault="00CF3EFD" w:rsidP="004938DF">
      <w:pPr>
        <w:spacing w:line="580" w:lineRule="exact"/>
        <w:ind w:firstLineChars="200" w:firstLine="640"/>
      </w:pPr>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分。</w:t>
      </w:r>
    </w:p>
    <w:p w:rsidR="00C765E7" w:rsidRDefault="00CF3EFD" w:rsidP="004938DF">
      <w:pPr>
        <w:numPr>
          <w:ilvl w:val="0"/>
          <w:numId w:val="4"/>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投资控制程度</w:t>
      </w:r>
    </w:p>
    <w:p w:rsidR="00C765E7" w:rsidRDefault="00CF3EFD" w:rsidP="004938DF">
      <w:pPr>
        <w:pStyle w:val="a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家单位政府采购财政政策，合同签订金额均低于项目预算金额，投资额控制较好。</w:t>
      </w:r>
    </w:p>
    <w:p w:rsidR="00C765E7" w:rsidRDefault="00CF3EFD" w:rsidP="004938DF">
      <w:pPr>
        <w:spacing w:line="580" w:lineRule="exact"/>
        <w:ind w:firstLineChars="200" w:firstLine="640"/>
      </w:pPr>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C765E7" w:rsidRDefault="00CF3EFD" w:rsidP="004938DF">
      <w:pPr>
        <w:spacing w:line="580" w:lineRule="exact"/>
        <w:outlineLvl w:val="2"/>
        <w:rPr>
          <w:rFonts w:ascii="Times New Roman" w:eastAsia="仿宋_GB2312" w:hAnsi="Times New Roman" w:cs="Times New Roman"/>
          <w:sz w:val="32"/>
          <w:szCs w:val="32"/>
        </w:rPr>
      </w:pPr>
      <w:bookmarkStart w:id="141" w:name="_Toc4881"/>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、项目效果</w:t>
      </w:r>
      <w:bookmarkEnd w:id="141"/>
    </w:p>
    <w:p w:rsidR="00C765E7" w:rsidRDefault="00CF3EFD" w:rsidP="004938DF">
      <w:pPr>
        <w:adjustRightInd w:val="0"/>
        <w:snapToGrid w:val="0"/>
        <w:spacing w:line="580" w:lineRule="exact"/>
        <w:ind w:firstLineChars="200" w:firstLine="640"/>
        <w:outlineLvl w:val="1"/>
      </w:pPr>
      <w:bookmarkStart w:id="142" w:name="_Toc13529"/>
      <w:bookmarkStart w:id="143" w:name="_Toc30564"/>
      <w:r>
        <w:rPr>
          <w:rFonts w:ascii="Times New Roman" w:eastAsia="仿宋_GB2312" w:hAnsi="Times New Roman" w:cs="Times New Roman"/>
          <w:sz w:val="32"/>
          <w:szCs w:val="32"/>
        </w:rPr>
        <w:t>一级指标</w:t>
      </w:r>
      <w:r>
        <w:rPr>
          <w:rFonts w:ascii="Times New Roman" w:eastAsia="仿宋_GB2312" w:hAnsi="Times New Roman" w:cs="Times New Roman" w:hint="eastAsia"/>
          <w:sz w:val="32"/>
          <w:szCs w:val="32"/>
        </w:rPr>
        <w:t>“项目效果”</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经济效益、社会效益、生态效益、可持续影响、社会满意程度五</w:t>
      </w:r>
      <w:r>
        <w:rPr>
          <w:rFonts w:ascii="Times New Roman" w:eastAsia="仿宋_GB2312" w:hAnsi="Times New Roman" w:cs="Times New Roman"/>
          <w:sz w:val="32"/>
          <w:szCs w:val="32"/>
        </w:rPr>
        <w:t>个二级指标。</w:t>
      </w:r>
      <w:bookmarkEnd w:id="142"/>
      <w:bookmarkEnd w:id="143"/>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44" w:name="_Toc22451"/>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）经济效益</w:t>
      </w:r>
      <w:bookmarkEnd w:id="144"/>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highlight w:val="red"/>
        </w:rPr>
      </w:pPr>
      <w:bookmarkStart w:id="145" w:name="_Toc21074"/>
      <w:bookmarkStart w:id="146" w:name="_Toc13987"/>
      <w:r>
        <w:rPr>
          <w:rFonts w:ascii="Times New Roman" w:eastAsia="仿宋_GB2312" w:hAnsi="Times New Roman" w:cs="Times New Roman" w:hint="eastAsia"/>
          <w:sz w:val="32"/>
          <w:szCs w:val="32"/>
        </w:rPr>
        <w:t>本次评价的巴中市消防救援支队“举高车采购”项目、巴中市机关事务服务中心“蔬菜采购”、巴中市柳津湖运行保护中心“巴河景观维护管理服务采购”、</w:t>
      </w: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”和巴中市生态环境局“长江经济带水质自动监测能力建设项目采购”均为非经济发展类项目，不涉及经济效益</w:t>
      </w:r>
      <w:bookmarkEnd w:id="145"/>
      <w:r>
        <w:rPr>
          <w:rFonts w:ascii="Times New Roman" w:eastAsia="仿宋_GB2312" w:hAnsi="Times New Roman" w:cs="Times New Roman" w:hint="eastAsia"/>
          <w:sz w:val="32"/>
          <w:szCs w:val="32"/>
        </w:rPr>
        <w:t>。</w:t>
      </w:r>
      <w:bookmarkEnd w:id="146"/>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47" w:name="_Toc4577"/>
      <w:bookmarkStart w:id="148" w:name="_Toc25385"/>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147"/>
      <w:bookmarkEnd w:id="148"/>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49" w:name="_Toc1529354022_WPSOffice_Level3"/>
      <w:bookmarkStart w:id="150" w:name="_Toc26304"/>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）社会</w:t>
      </w:r>
      <w:r>
        <w:rPr>
          <w:rFonts w:ascii="Times New Roman" w:eastAsia="仿宋_GB2312" w:hAnsi="Times New Roman" w:cs="Times New Roman"/>
          <w:sz w:val="32"/>
          <w:szCs w:val="32"/>
        </w:rPr>
        <w:t>效益</w:t>
      </w:r>
      <w:bookmarkEnd w:id="149"/>
      <w:bookmarkEnd w:id="15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51" w:name="_Toc20719"/>
      <w:bookmarkStart w:id="152" w:name="_Toc2502"/>
      <w:r>
        <w:rPr>
          <w:rFonts w:ascii="Times New Roman" w:eastAsia="仿宋_GB2312" w:hAnsi="Times New Roman" w:cs="Times New Roman" w:hint="eastAsia"/>
          <w:sz w:val="32"/>
          <w:szCs w:val="32"/>
        </w:rPr>
        <w:t>巴中市消防救援支队“举高车采购”加强了消防设施设备的建设，有效地提高了消防部队灭火能力，为辖区内人民生命财产安全提供了更为有力的保障；巴中市机关事务服务中心“蔬菜采购”提高了蔬菜采购规范程度，有效地保障了政府各单位职工的用餐安全；巴中市柳津湖运行保护中心“巴河景观维护管理服务采购”改善了巴河生态环境，提升了巴中市形象；</w:t>
      </w: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”、巴中市生态环境局“长江经济带水质自动监测能力建设项目采购”截至现场评价之日，项目尚未完成，未能及时发挥其社会效益。</w:t>
      </w:r>
      <w:bookmarkEnd w:id="151"/>
      <w:bookmarkEnd w:id="152"/>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53" w:name="_Toc16951"/>
      <w:bookmarkStart w:id="154" w:name="_Toc2578"/>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3.60</w:t>
      </w:r>
      <w:r>
        <w:rPr>
          <w:rFonts w:ascii="Times New Roman" w:eastAsia="仿宋_GB2312" w:hAnsi="Times New Roman" w:cs="Times New Roman" w:hint="eastAsia"/>
          <w:sz w:val="32"/>
          <w:szCs w:val="32"/>
        </w:rPr>
        <w:t>分。</w:t>
      </w:r>
      <w:bookmarkEnd w:id="153"/>
      <w:bookmarkEnd w:id="154"/>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55" w:name="_Toc2939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）生态效益</w:t>
      </w:r>
      <w:bookmarkEnd w:id="15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56" w:name="_Toc22480"/>
      <w:bookmarkStart w:id="157" w:name="_Toc23228"/>
      <w:r>
        <w:rPr>
          <w:rFonts w:ascii="Times New Roman" w:eastAsia="仿宋_GB2312" w:hAnsi="Times New Roman" w:cs="Times New Roman" w:hint="eastAsia"/>
          <w:sz w:val="32"/>
          <w:szCs w:val="32"/>
        </w:rPr>
        <w:t>巴中市消防救援支队“举高车采购”、巴中市机关事务服务中心“蔬菜采购”和</w:t>
      </w: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为非环境保护类政策，均不涉及生态效益；除此之外，巴中市柳津湖运行保护中心“巴河景观维护管理服务采购”改善了巴河及两岸生态环境；巴中市生态环境局“长江经济带水质自动监测能力建设项目采购”截至现场评价之日，该项目未完成，未能及时发挥其对生态环境的作用。</w:t>
      </w:r>
      <w:bookmarkEnd w:id="156"/>
      <w:bookmarkEnd w:id="157"/>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58" w:name="_Toc2705"/>
      <w:bookmarkStart w:id="159" w:name="_Toc3066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4.80</w:t>
      </w:r>
      <w:r>
        <w:rPr>
          <w:rFonts w:ascii="Times New Roman" w:eastAsia="仿宋_GB2312" w:hAnsi="Times New Roman" w:cs="Times New Roman" w:hint="eastAsia"/>
          <w:sz w:val="32"/>
          <w:szCs w:val="32"/>
        </w:rPr>
        <w:t>分。</w:t>
      </w:r>
      <w:bookmarkEnd w:id="158"/>
      <w:bookmarkEnd w:id="159"/>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0" w:name="_Toc20674"/>
      <w:bookmarkStart w:id="161" w:name="_Toc621276811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）可持续影响</w:t>
      </w:r>
      <w:bookmarkEnd w:id="160"/>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2" w:name="_Toc27160"/>
      <w:bookmarkStart w:id="163" w:name="_Toc19424"/>
      <w:r>
        <w:rPr>
          <w:rFonts w:ascii="Times New Roman" w:eastAsia="仿宋_GB2312" w:hAnsi="Times New Roman" w:cs="Times New Roman" w:hint="eastAsia"/>
          <w:sz w:val="32"/>
          <w:szCs w:val="32"/>
        </w:rPr>
        <w:t>巴中市柳津湖运行保护中心“巴河景观维护管理服务采</w:t>
      </w:r>
      <w:r>
        <w:rPr>
          <w:rFonts w:ascii="Times New Roman" w:eastAsia="仿宋_GB2312" w:hAnsi="Times New Roman" w:cs="Times New Roman" w:hint="eastAsia"/>
          <w:sz w:val="32"/>
          <w:szCs w:val="32"/>
        </w:rPr>
        <w:lastRenderedPageBreak/>
        <w:t>购”和巴中市机关事务服务中心“蔬菜采购”为非一次性项目，不涉及可持续影响；巴中市消防救援支队“举高车采购”提升了巴中市消防救援支队的消防能力，能持续性地为辖区内居民生命财产安全提供强有力的保障；</w:t>
      </w:r>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”和巴中市生态环境局“长江经济带水质自动监测能力建设项目采购”截至现场评价之日，暂未完成，未能及时发挥其可持续性影响作用。</w:t>
      </w:r>
      <w:bookmarkEnd w:id="162"/>
      <w:bookmarkEnd w:id="163"/>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4" w:name="_Toc1172"/>
      <w:bookmarkStart w:id="165" w:name="_Toc723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4.80</w:t>
      </w:r>
      <w:r>
        <w:rPr>
          <w:rFonts w:ascii="Times New Roman" w:eastAsia="仿宋_GB2312" w:hAnsi="Times New Roman" w:cs="Times New Roman" w:hint="eastAsia"/>
          <w:sz w:val="32"/>
          <w:szCs w:val="32"/>
        </w:rPr>
        <w:t>分。</w:t>
      </w:r>
      <w:bookmarkEnd w:id="164"/>
      <w:bookmarkEnd w:id="165"/>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6" w:name="_Toc1845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）社会满意度</w:t>
      </w:r>
      <w:bookmarkEnd w:id="161"/>
      <w:bookmarkEnd w:id="166"/>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7" w:name="_Toc22651"/>
      <w:bookmarkStart w:id="168" w:name="_Toc12647"/>
      <w:r>
        <w:rPr>
          <w:rFonts w:ascii="Times New Roman" w:eastAsia="仿宋_GB2312" w:hAnsi="Times New Roman" w:cs="Times New Roman"/>
          <w:sz w:val="32"/>
          <w:szCs w:val="32"/>
        </w:rPr>
        <w:t>巴中市中心医院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直线加速器及定位</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采购</w:t>
      </w:r>
      <w:r>
        <w:rPr>
          <w:rFonts w:ascii="Times New Roman" w:eastAsia="仿宋_GB2312" w:hAnsi="Times New Roman" w:cs="Times New Roman" w:hint="eastAsia"/>
          <w:sz w:val="32"/>
          <w:szCs w:val="32"/>
        </w:rPr>
        <w:t>”、巴中市生态环境局“长江经济带水质自动监测能力建设项目采购”截至现场评价之日，项目暂未完成，其社会满意度无法评价；评价组根据其余项目实际情况开展了问卷调查，根据调查结果显示：巴中市消防救援支队“举高车采购”满意度为</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分；巴中市柳津湖运行保护中心“巴河景观维护管理服务采购”满意度为</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分；巴中市机关事务服务中心“蔬菜采购”满意度为</w:t>
      </w:r>
      <w:r>
        <w:rPr>
          <w:rFonts w:ascii="Times New Roman" w:eastAsia="仿宋_GB2312" w:hAnsi="Times New Roman" w:cs="Times New Roman" w:hint="eastAsia"/>
          <w:sz w:val="32"/>
          <w:szCs w:val="32"/>
        </w:rPr>
        <w:t>98.20</w:t>
      </w:r>
      <w:r>
        <w:rPr>
          <w:rFonts w:ascii="Times New Roman" w:eastAsia="仿宋_GB2312" w:hAnsi="Times New Roman" w:cs="Times New Roman" w:hint="eastAsia"/>
          <w:sz w:val="32"/>
          <w:szCs w:val="32"/>
        </w:rPr>
        <w:t>分。</w:t>
      </w:r>
      <w:bookmarkEnd w:id="167"/>
      <w:bookmarkEnd w:id="168"/>
    </w:p>
    <w:p w:rsidR="00C765E7" w:rsidRDefault="00CF3EFD" w:rsidP="004938DF">
      <w:pPr>
        <w:adjustRightInd w:val="0"/>
        <w:snapToGrid w:val="0"/>
        <w:spacing w:line="580" w:lineRule="exact"/>
        <w:ind w:firstLineChars="200" w:firstLine="640"/>
        <w:outlineLvl w:val="1"/>
        <w:rPr>
          <w:rFonts w:ascii="Times New Roman" w:eastAsia="仿宋_GB2312" w:hAnsi="Times New Roman" w:cs="Times New Roman"/>
          <w:sz w:val="32"/>
          <w:szCs w:val="32"/>
        </w:rPr>
      </w:pPr>
      <w:bookmarkStart w:id="169" w:name="_Toc22439"/>
      <w:bookmarkStart w:id="170" w:name="_Toc2147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2.45</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3.55</w:t>
      </w:r>
      <w:r>
        <w:rPr>
          <w:rFonts w:ascii="Times New Roman" w:eastAsia="仿宋_GB2312" w:hAnsi="Times New Roman" w:cs="Times New Roman" w:hint="eastAsia"/>
          <w:sz w:val="32"/>
          <w:szCs w:val="32"/>
        </w:rPr>
        <w:t>分。</w:t>
      </w:r>
      <w:bookmarkEnd w:id="169"/>
      <w:bookmarkEnd w:id="170"/>
    </w:p>
    <w:p w:rsidR="006B2936" w:rsidRDefault="006B2936" w:rsidP="004938DF">
      <w:pPr>
        <w:snapToGrid w:val="0"/>
        <w:spacing w:line="580" w:lineRule="exact"/>
        <w:jc w:val="right"/>
        <w:outlineLvl w:val="0"/>
        <w:rPr>
          <w:rFonts w:ascii="仿宋_GB2312" w:eastAsia="仿宋_GB2312" w:hAnsi="仿宋_GB2312" w:cs="仿宋_GB2312" w:hint="eastAsia"/>
          <w:b/>
          <w:bCs/>
          <w:sz w:val="32"/>
          <w:szCs w:val="32"/>
        </w:rPr>
      </w:pPr>
      <w:bookmarkStart w:id="171" w:name="_Toc20968"/>
      <w:bookmarkStart w:id="172" w:name="_Toc26277"/>
    </w:p>
    <w:p w:rsidR="006B2936" w:rsidRDefault="006B2936" w:rsidP="004938DF">
      <w:pPr>
        <w:snapToGrid w:val="0"/>
        <w:spacing w:line="580" w:lineRule="exact"/>
        <w:jc w:val="right"/>
        <w:outlineLvl w:val="0"/>
        <w:rPr>
          <w:rFonts w:ascii="仿宋_GB2312" w:eastAsia="仿宋_GB2312" w:hAnsi="仿宋_GB2312" w:cs="仿宋_GB2312" w:hint="eastAsia"/>
          <w:b/>
          <w:bCs/>
          <w:sz w:val="32"/>
          <w:szCs w:val="32"/>
        </w:rPr>
      </w:pPr>
    </w:p>
    <w:p w:rsidR="006B2936" w:rsidRDefault="006B2936" w:rsidP="004938DF">
      <w:pPr>
        <w:snapToGrid w:val="0"/>
        <w:spacing w:line="580" w:lineRule="exact"/>
        <w:jc w:val="right"/>
        <w:outlineLvl w:val="0"/>
        <w:rPr>
          <w:rFonts w:ascii="仿宋_GB2312" w:eastAsia="仿宋_GB2312" w:hAnsi="仿宋_GB2312" w:cs="仿宋_GB2312" w:hint="eastAsia"/>
          <w:b/>
          <w:bCs/>
          <w:sz w:val="32"/>
          <w:szCs w:val="32"/>
        </w:rPr>
      </w:pPr>
    </w:p>
    <w:p w:rsidR="00C765E7" w:rsidRDefault="00CF3EFD" w:rsidP="004938DF">
      <w:pPr>
        <w:snapToGrid w:val="0"/>
        <w:spacing w:line="580" w:lineRule="exact"/>
        <w:jc w:val="right"/>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2021年6月18日</w:t>
      </w:r>
      <w:bookmarkEnd w:id="171"/>
      <w:bookmarkEnd w:id="172"/>
    </w:p>
    <w:sectPr w:rsidR="00C765E7" w:rsidSect="00C765E7">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CE" w:rsidRDefault="00081FCE" w:rsidP="00C765E7">
      <w:r>
        <w:separator/>
      </w:r>
    </w:p>
  </w:endnote>
  <w:endnote w:type="continuationSeparator" w:id="1">
    <w:p w:rsidR="00081FCE" w:rsidRDefault="00081FCE" w:rsidP="00C7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7" w:rsidRDefault="00CF3EFD">
    <w:pPr>
      <w:pStyle w:val="a5"/>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7" w:rsidRDefault="005924CB">
    <w:pPr>
      <w:pStyle w:val="a5"/>
    </w:pPr>
    <w:r>
      <w:pict>
        <v:shapetype id="_x0000_t202" coordsize="21600,21600" o:spt="202" path="m,l,21600r21600,l21600,xe">
          <v:stroke joinstyle="miter"/>
          <v:path gradientshapeok="t" o:connecttype="rect"/>
        </v:shapetype>
        <v:shape id="_x0000_s4104" type="#_x0000_t202" style="position:absolute;margin-left:208pt;margin-top:0;width:2in;height:2in;z-index:251659264;mso-wrap-style:none;mso-position-horizontal:right;mso-position-horizontal-relative:margin" filled="f" stroked="f">
          <v:textbox style="mso-fit-shape-to-text:t" inset="0,0,0,0">
            <w:txbxContent>
              <w:p w:rsidR="00C765E7" w:rsidRDefault="005924CB">
                <w:pPr>
                  <w:pStyle w:val="a5"/>
                </w:pPr>
                <w:r>
                  <w:rPr>
                    <w:rFonts w:hint="eastAsia"/>
                  </w:rPr>
                  <w:fldChar w:fldCharType="begin"/>
                </w:r>
                <w:r w:rsidR="00CF3EFD">
                  <w:rPr>
                    <w:rFonts w:hint="eastAsia"/>
                  </w:rPr>
                  <w:instrText xml:space="preserve"> PAGE  \* MERGEFORMAT </w:instrText>
                </w:r>
                <w:r>
                  <w:rPr>
                    <w:rFonts w:hint="eastAsia"/>
                  </w:rPr>
                  <w:fldChar w:fldCharType="separate"/>
                </w:r>
                <w:r w:rsidR="006B2936">
                  <w:rPr>
                    <w:noProof/>
                  </w:rPr>
                  <w:t>- 12 -</w:t>
                </w:r>
                <w:r>
                  <w:rPr>
                    <w:rFonts w:hint="eastAsia"/>
                  </w:rPr>
                  <w:fldChar w:fldCharType="end"/>
                </w:r>
              </w:p>
            </w:txbxContent>
          </v:textbox>
          <w10:wrap anchorx="margin"/>
        </v:shape>
      </w:pict>
    </w:r>
    <w:r w:rsidR="00CF3EFD">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CE" w:rsidRDefault="00081FCE" w:rsidP="00C765E7">
      <w:r>
        <w:separator/>
      </w:r>
    </w:p>
  </w:footnote>
  <w:footnote w:type="continuationSeparator" w:id="1">
    <w:p w:rsidR="00081FCE" w:rsidRDefault="00081FCE" w:rsidP="00C7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7" w:rsidRDefault="005924CB">
    <w:pPr>
      <w:pStyle w:val="a6"/>
      <w:pBdr>
        <w:bottom w:val="threeDEngrave" w:sz="18" w:space="1" w:color="auto"/>
      </w:pBdr>
      <w:jc w:val="both"/>
      <w:rPr>
        <w:sz w:val="21"/>
        <w:szCs w:val="21"/>
      </w:rPr>
    </w:pPr>
    <w:r w:rsidRPr="005924CB">
      <w:rPr>
        <w:sz w:val="21"/>
      </w:rPr>
      <w:pict>
        <v:shapetype id="_x0000_t202" coordsize="21600,21600" o:spt="202" path="m,l,21600r21600,l21600,xe">
          <v:stroke joinstyle="miter"/>
          <v:path gradientshapeok="t" o:connecttype="rect"/>
        </v:shapetype>
        <v:shape id="_x0000_s4113" type="#_x0000_t202" style="position:absolute;left:0;text-align:left;margin-left:272.35pt;margin-top:-5.55pt;width:151.5pt;height:37.5pt;z-index:251663360"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5924CB">
      <w:rPr>
        <w:sz w:val="21"/>
      </w:rPr>
      <w:pict>
        <v:shape id="_x0000_s4114" type="#_x0000_t202" style="position:absolute;left:0;text-align:left;margin-left:108pt;margin-top:-14.35pt;width:177pt;height:48pt;z-index:251662336"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C765E7" w:rsidRDefault="00C765E7">
                <w:pPr>
                  <w:spacing w:line="200" w:lineRule="exact"/>
                  <w:ind w:firstLine="560"/>
                </w:pPr>
              </w:p>
              <w:p w:rsidR="00C765E7" w:rsidRDefault="00CF3EFD">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CF3EFD">
      <w:rPr>
        <w:rFonts w:hint="eastAsia"/>
        <w:noProof/>
      </w:rPr>
      <w:drawing>
        <wp:inline distT="0" distB="0" distL="114300" distR="114300">
          <wp:extent cx="1356360" cy="370205"/>
          <wp:effectExtent l="0" t="0" r="2540" b="10795"/>
          <wp:docPr id="5"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C765E7" w:rsidRDefault="00C765E7">
    <w:pPr>
      <w:pStyle w:val="a6"/>
      <w:pBdr>
        <w:bottom w:val="none" w:sz="0" w:space="1" w:color="auto"/>
      </w:pBdr>
      <w:jc w:val="both"/>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7" w:rsidRDefault="005924CB">
    <w:pPr>
      <w:pStyle w:val="a6"/>
      <w:pBdr>
        <w:bottom w:val="threeDEngrave" w:sz="18" w:space="1" w:color="auto"/>
      </w:pBdr>
      <w:jc w:val="both"/>
      <w:rPr>
        <w:sz w:val="21"/>
        <w:szCs w:val="21"/>
      </w:rPr>
    </w:pPr>
    <w:r w:rsidRPr="005924CB">
      <w:rPr>
        <w:sz w:val="21"/>
      </w:rPr>
      <w:pict>
        <v:shapetype id="_x0000_t202" coordsize="21600,21600" o:spt="202" path="m,l,21600r21600,l21600,xe">
          <v:stroke joinstyle="miter"/>
          <v:path gradientshapeok="t" o:connecttype="rect"/>
        </v:shapetype>
        <v:shape id="文本框 7" o:spid="_x0000_s4111" type="#_x0000_t202" style="position:absolute;left:0;text-align:left;margin-left:272.35pt;margin-top:-5.55pt;width:151.5pt;height:37.5pt;z-index:251661312"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5924CB">
      <w:rPr>
        <w:sz w:val="21"/>
      </w:rPr>
      <w:pict>
        <v:shape id="文本框 6" o:spid="_x0000_s4112" type="#_x0000_t202" style="position:absolute;left:0;text-align:left;margin-left:108pt;margin-top:-14.35pt;width:177pt;height:48pt;z-index:251660288"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C765E7" w:rsidRDefault="00C765E7">
                <w:pPr>
                  <w:spacing w:line="200" w:lineRule="exact"/>
                  <w:ind w:firstLine="560"/>
                </w:pPr>
              </w:p>
              <w:p w:rsidR="00C765E7" w:rsidRDefault="00CF3EFD">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CF3EFD">
      <w:rPr>
        <w:rFonts w:hint="eastAsia"/>
        <w:noProof/>
      </w:rPr>
      <w:drawing>
        <wp:inline distT="0" distB="0" distL="114300" distR="114300">
          <wp:extent cx="1356360" cy="370205"/>
          <wp:effectExtent l="0" t="0" r="2540" b="10795"/>
          <wp:docPr id="7"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C765E7" w:rsidRDefault="00C765E7">
    <w:pPr>
      <w:pStyle w:val="a6"/>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7" w:rsidRDefault="005924CB">
    <w:pPr>
      <w:pStyle w:val="a6"/>
      <w:pBdr>
        <w:bottom w:val="threeDEngrave" w:sz="18" w:space="1" w:color="auto"/>
      </w:pBdr>
      <w:jc w:val="both"/>
      <w:rPr>
        <w:sz w:val="21"/>
        <w:szCs w:val="21"/>
      </w:rPr>
    </w:pPr>
    <w:r w:rsidRPr="005924CB">
      <w:rPr>
        <w:sz w:val="21"/>
      </w:rPr>
      <w:pict>
        <v:shapetype id="_x0000_t202" coordsize="21600,21600" o:spt="202" path="m,l,21600r21600,l21600,xe">
          <v:stroke joinstyle="miter"/>
          <v:path gradientshapeok="t" o:connecttype="rect"/>
        </v:shapetype>
        <v:shape id="_x0000_s4115" type="#_x0000_t202" style="position:absolute;left:0;text-align:left;margin-left:272.35pt;margin-top:-5.55pt;width:151.5pt;height:37.5pt;z-index:251665408"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5924CB">
      <w:rPr>
        <w:sz w:val="21"/>
      </w:rPr>
      <w:pict>
        <v:shape id="_x0000_s4116" type="#_x0000_t202" style="position:absolute;left:0;text-align:left;margin-left:108pt;margin-top:-14.35pt;width:177pt;height:48pt;z-index:251664384"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C765E7" w:rsidRDefault="00C765E7">
                <w:pPr>
                  <w:spacing w:line="200" w:lineRule="exact"/>
                  <w:ind w:firstLine="560"/>
                </w:pPr>
              </w:p>
              <w:p w:rsidR="00C765E7" w:rsidRDefault="00CF3EFD">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C765E7" w:rsidRDefault="00CF3EFD">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CF3EFD">
      <w:rPr>
        <w:rFonts w:hint="eastAsia"/>
        <w:noProof/>
      </w:rPr>
      <w:drawing>
        <wp:inline distT="0" distB="0" distL="114300" distR="114300">
          <wp:extent cx="1356360" cy="370205"/>
          <wp:effectExtent l="0" t="0" r="2540" b="10795"/>
          <wp:docPr id="8"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C765E7" w:rsidRDefault="00C765E7">
    <w:pPr>
      <w:pStyle w:val="a6"/>
      <w:pBdr>
        <w:bottom w:val="none" w:sz="0" w:space="1" w:color="auto"/>
      </w:pBdr>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1BBE"/>
    <w:multiLevelType w:val="singleLevel"/>
    <w:tmpl w:val="04F41BBE"/>
    <w:lvl w:ilvl="0">
      <w:start w:val="2"/>
      <w:numFmt w:val="chineseCounting"/>
      <w:suff w:val="nothing"/>
      <w:lvlText w:val="（%1）"/>
      <w:lvlJc w:val="left"/>
      <w:rPr>
        <w:rFonts w:hint="eastAsia"/>
      </w:rPr>
    </w:lvl>
  </w:abstractNum>
  <w:abstractNum w:abstractNumId="1">
    <w:nsid w:val="1AB2DC73"/>
    <w:multiLevelType w:val="singleLevel"/>
    <w:tmpl w:val="1AB2DC73"/>
    <w:lvl w:ilvl="0">
      <w:start w:val="5"/>
      <w:numFmt w:val="decimal"/>
      <w:suff w:val="nothing"/>
      <w:lvlText w:val="（%1）"/>
      <w:lvlJc w:val="left"/>
    </w:lvl>
  </w:abstractNum>
  <w:abstractNum w:abstractNumId="2">
    <w:nsid w:val="1CDCCB77"/>
    <w:multiLevelType w:val="singleLevel"/>
    <w:tmpl w:val="1CDCCB77"/>
    <w:lvl w:ilvl="0">
      <w:start w:val="1"/>
      <w:numFmt w:val="decimal"/>
      <w:suff w:val="nothing"/>
      <w:lvlText w:val="（%1）"/>
      <w:lvlJc w:val="left"/>
    </w:lvl>
  </w:abstractNum>
  <w:abstractNum w:abstractNumId="3">
    <w:nsid w:val="7E815258"/>
    <w:multiLevelType w:val="singleLevel"/>
    <w:tmpl w:val="7E815258"/>
    <w:lvl w:ilvl="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520C"/>
    <w:rsid w:val="BC316A19"/>
    <w:rsid w:val="DFC44293"/>
    <w:rsid w:val="E35BB087"/>
    <w:rsid w:val="E7D1D147"/>
    <w:rsid w:val="EFBD0A63"/>
    <w:rsid w:val="FA7E1807"/>
    <w:rsid w:val="FE676D4F"/>
    <w:rsid w:val="FED763E6"/>
    <w:rsid w:val="FEE7D089"/>
    <w:rsid w:val="FF76B342"/>
    <w:rsid w:val="FFBDA1AD"/>
    <w:rsid w:val="FFDF3EC8"/>
    <w:rsid w:val="000549B7"/>
    <w:rsid w:val="00081FCE"/>
    <w:rsid w:val="000B362A"/>
    <w:rsid w:val="000C7DF0"/>
    <w:rsid w:val="00125006"/>
    <w:rsid w:val="00127ECA"/>
    <w:rsid w:val="00232A17"/>
    <w:rsid w:val="002656D4"/>
    <w:rsid w:val="002934E7"/>
    <w:rsid w:val="002A605E"/>
    <w:rsid w:val="002D4A16"/>
    <w:rsid w:val="002E5463"/>
    <w:rsid w:val="002E5823"/>
    <w:rsid w:val="003944E0"/>
    <w:rsid w:val="003B17E3"/>
    <w:rsid w:val="0043091E"/>
    <w:rsid w:val="004938DF"/>
    <w:rsid w:val="004B75F8"/>
    <w:rsid w:val="004F3EFC"/>
    <w:rsid w:val="004F7BC4"/>
    <w:rsid w:val="00574C47"/>
    <w:rsid w:val="005924CB"/>
    <w:rsid w:val="005B796B"/>
    <w:rsid w:val="005E5797"/>
    <w:rsid w:val="00635C60"/>
    <w:rsid w:val="006B2936"/>
    <w:rsid w:val="006B4958"/>
    <w:rsid w:val="006F52F7"/>
    <w:rsid w:val="007914BB"/>
    <w:rsid w:val="0079206D"/>
    <w:rsid w:val="007A025A"/>
    <w:rsid w:val="0084191E"/>
    <w:rsid w:val="008A7604"/>
    <w:rsid w:val="008B4CAA"/>
    <w:rsid w:val="008D692F"/>
    <w:rsid w:val="00901286"/>
    <w:rsid w:val="00926836"/>
    <w:rsid w:val="00927726"/>
    <w:rsid w:val="009B46F6"/>
    <w:rsid w:val="009C44FB"/>
    <w:rsid w:val="00A65D15"/>
    <w:rsid w:val="00A66EC5"/>
    <w:rsid w:val="00A879D1"/>
    <w:rsid w:val="00A951F0"/>
    <w:rsid w:val="00B33F20"/>
    <w:rsid w:val="00B870D6"/>
    <w:rsid w:val="00C24754"/>
    <w:rsid w:val="00C27A8A"/>
    <w:rsid w:val="00C765E7"/>
    <w:rsid w:val="00CB5D76"/>
    <w:rsid w:val="00CF3EFD"/>
    <w:rsid w:val="00D037BD"/>
    <w:rsid w:val="00D12AEC"/>
    <w:rsid w:val="00D1524D"/>
    <w:rsid w:val="00D21824"/>
    <w:rsid w:val="00D25CAA"/>
    <w:rsid w:val="00D30F8A"/>
    <w:rsid w:val="00DC1F4A"/>
    <w:rsid w:val="00EA520C"/>
    <w:rsid w:val="00EC3A17"/>
    <w:rsid w:val="00F66739"/>
    <w:rsid w:val="00FA0108"/>
    <w:rsid w:val="00FC09C9"/>
    <w:rsid w:val="00FF4F70"/>
    <w:rsid w:val="01CE0092"/>
    <w:rsid w:val="01E111DF"/>
    <w:rsid w:val="01F9036F"/>
    <w:rsid w:val="039C3335"/>
    <w:rsid w:val="04CB0076"/>
    <w:rsid w:val="06331BB1"/>
    <w:rsid w:val="072D3CE2"/>
    <w:rsid w:val="07BF31B5"/>
    <w:rsid w:val="07E02D85"/>
    <w:rsid w:val="07E72222"/>
    <w:rsid w:val="09E71FEF"/>
    <w:rsid w:val="0A3928AE"/>
    <w:rsid w:val="0B600AB1"/>
    <w:rsid w:val="0B711049"/>
    <w:rsid w:val="0BD13F1E"/>
    <w:rsid w:val="0C0334EE"/>
    <w:rsid w:val="0C300CC3"/>
    <w:rsid w:val="0DBE74EB"/>
    <w:rsid w:val="0DF94CBA"/>
    <w:rsid w:val="0DFD3050"/>
    <w:rsid w:val="0FB9257F"/>
    <w:rsid w:val="0FEA384C"/>
    <w:rsid w:val="0FFC76FB"/>
    <w:rsid w:val="100C4F81"/>
    <w:rsid w:val="11BE0D32"/>
    <w:rsid w:val="12DD4DBA"/>
    <w:rsid w:val="13CC36CE"/>
    <w:rsid w:val="14571D68"/>
    <w:rsid w:val="17627063"/>
    <w:rsid w:val="19E81F16"/>
    <w:rsid w:val="1A336CCB"/>
    <w:rsid w:val="1A6E4074"/>
    <w:rsid w:val="1A8B5996"/>
    <w:rsid w:val="1A901431"/>
    <w:rsid w:val="1AEE0FF3"/>
    <w:rsid w:val="1AFD34F1"/>
    <w:rsid w:val="1BA539F5"/>
    <w:rsid w:val="1C716C52"/>
    <w:rsid w:val="1CAA692F"/>
    <w:rsid w:val="1CED245F"/>
    <w:rsid w:val="1D4D263D"/>
    <w:rsid w:val="1DE76849"/>
    <w:rsid w:val="1DF7A548"/>
    <w:rsid w:val="1E653DC1"/>
    <w:rsid w:val="1EE92EAD"/>
    <w:rsid w:val="1F5B78BB"/>
    <w:rsid w:val="1FA7176E"/>
    <w:rsid w:val="1FD70F8C"/>
    <w:rsid w:val="20044F72"/>
    <w:rsid w:val="203D1E8A"/>
    <w:rsid w:val="20477837"/>
    <w:rsid w:val="20777569"/>
    <w:rsid w:val="209B68A3"/>
    <w:rsid w:val="21A07590"/>
    <w:rsid w:val="22DC6E3D"/>
    <w:rsid w:val="25F404A2"/>
    <w:rsid w:val="2A7B7B57"/>
    <w:rsid w:val="2B6A3F98"/>
    <w:rsid w:val="2B83257C"/>
    <w:rsid w:val="2C4C3C6B"/>
    <w:rsid w:val="2E3120C2"/>
    <w:rsid w:val="2EA37F17"/>
    <w:rsid w:val="2EEE48AD"/>
    <w:rsid w:val="2EF57293"/>
    <w:rsid w:val="2F011CA3"/>
    <w:rsid w:val="2F2B6BCE"/>
    <w:rsid w:val="30D34CDD"/>
    <w:rsid w:val="33D44C52"/>
    <w:rsid w:val="34A33BE2"/>
    <w:rsid w:val="34FA09EE"/>
    <w:rsid w:val="35D93131"/>
    <w:rsid w:val="36BC0C36"/>
    <w:rsid w:val="36EE420B"/>
    <w:rsid w:val="3718594A"/>
    <w:rsid w:val="37840B35"/>
    <w:rsid w:val="387C07BD"/>
    <w:rsid w:val="388E4848"/>
    <w:rsid w:val="389F0230"/>
    <w:rsid w:val="39646404"/>
    <w:rsid w:val="3CD1326C"/>
    <w:rsid w:val="3D97075D"/>
    <w:rsid w:val="3E132607"/>
    <w:rsid w:val="3E1F2D78"/>
    <w:rsid w:val="3FC62149"/>
    <w:rsid w:val="3FFFAA99"/>
    <w:rsid w:val="4012619D"/>
    <w:rsid w:val="403028D0"/>
    <w:rsid w:val="40FF3B15"/>
    <w:rsid w:val="419B0A79"/>
    <w:rsid w:val="42A21F85"/>
    <w:rsid w:val="43742028"/>
    <w:rsid w:val="43B74E73"/>
    <w:rsid w:val="440A67D7"/>
    <w:rsid w:val="441C0032"/>
    <w:rsid w:val="446B3F7A"/>
    <w:rsid w:val="44B67F51"/>
    <w:rsid w:val="44F34FCA"/>
    <w:rsid w:val="45EB2713"/>
    <w:rsid w:val="466F72C6"/>
    <w:rsid w:val="47092E9B"/>
    <w:rsid w:val="48943BC3"/>
    <w:rsid w:val="4A237486"/>
    <w:rsid w:val="4B0F3180"/>
    <w:rsid w:val="4B23487E"/>
    <w:rsid w:val="4BD8329C"/>
    <w:rsid w:val="4C145E3D"/>
    <w:rsid w:val="4C3D3749"/>
    <w:rsid w:val="4CF4166C"/>
    <w:rsid w:val="4D29488A"/>
    <w:rsid w:val="4D5E6D11"/>
    <w:rsid w:val="4D882DB4"/>
    <w:rsid w:val="4DA665E7"/>
    <w:rsid w:val="4EFD6EA4"/>
    <w:rsid w:val="4F3AB6FE"/>
    <w:rsid w:val="500B3B63"/>
    <w:rsid w:val="50BF11E3"/>
    <w:rsid w:val="51932710"/>
    <w:rsid w:val="51F75360"/>
    <w:rsid w:val="532D51BD"/>
    <w:rsid w:val="546A4AF3"/>
    <w:rsid w:val="547A4471"/>
    <w:rsid w:val="54CB7347"/>
    <w:rsid w:val="550D6486"/>
    <w:rsid w:val="5577021E"/>
    <w:rsid w:val="55A34A3E"/>
    <w:rsid w:val="55C25BFA"/>
    <w:rsid w:val="55C863E1"/>
    <w:rsid w:val="55FA023D"/>
    <w:rsid w:val="5643566B"/>
    <w:rsid w:val="57A1476D"/>
    <w:rsid w:val="5A1B2BD5"/>
    <w:rsid w:val="5A9F2AB0"/>
    <w:rsid w:val="5AEE6046"/>
    <w:rsid w:val="5B5A6C89"/>
    <w:rsid w:val="5B725198"/>
    <w:rsid w:val="5BFF7FCA"/>
    <w:rsid w:val="5C291F00"/>
    <w:rsid w:val="5C9F5D60"/>
    <w:rsid w:val="5D177BE4"/>
    <w:rsid w:val="5DCC2CB2"/>
    <w:rsid w:val="5ECDC3E9"/>
    <w:rsid w:val="5F1565E0"/>
    <w:rsid w:val="5FD63648"/>
    <w:rsid w:val="608B6579"/>
    <w:rsid w:val="619D23A0"/>
    <w:rsid w:val="61C44CD5"/>
    <w:rsid w:val="63421D1A"/>
    <w:rsid w:val="634E19C6"/>
    <w:rsid w:val="639E036D"/>
    <w:rsid w:val="64552BA9"/>
    <w:rsid w:val="64B35454"/>
    <w:rsid w:val="66707DBF"/>
    <w:rsid w:val="66D87BD0"/>
    <w:rsid w:val="67EF0D39"/>
    <w:rsid w:val="6851157D"/>
    <w:rsid w:val="68B3672F"/>
    <w:rsid w:val="69203764"/>
    <w:rsid w:val="69825343"/>
    <w:rsid w:val="699FBA45"/>
    <w:rsid w:val="69B51329"/>
    <w:rsid w:val="6A34308C"/>
    <w:rsid w:val="6AD26C18"/>
    <w:rsid w:val="6AFC41D5"/>
    <w:rsid w:val="6BC77AA2"/>
    <w:rsid w:val="6BEA1F22"/>
    <w:rsid w:val="6BFC2534"/>
    <w:rsid w:val="6C7E2063"/>
    <w:rsid w:val="6CA06A7B"/>
    <w:rsid w:val="6CC6554A"/>
    <w:rsid w:val="6D061D8A"/>
    <w:rsid w:val="6D1F5C40"/>
    <w:rsid w:val="6D9A40C4"/>
    <w:rsid w:val="6EDFCD7E"/>
    <w:rsid w:val="6F335C5F"/>
    <w:rsid w:val="705D6CE6"/>
    <w:rsid w:val="70AC6743"/>
    <w:rsid w:val="70F60C90"/>
    <w:rsid w:val="72AD1D85"/>
    <w:rsid w:val="73177498"/>
    <w:rsid w:val="73497292"/>
    <w:rsid w:val="737FB331"/>
    <w:rsid w:val="73CB44CB"/>
    <w:rsid w:val="73FB0C15"/>
    <w:rsid w:val="74061334"/>
    <w:rsid w:val="74DA1A0D"/>
    <w:rsid w:val="74F21698"/>
    <w:rsid w:val="757791C8"/>
    <w:rsid w:val="761C7822"/>
    <w:rsid w:val="765B128C"/>
    <w:rsid w:val="77564595"/>
    <w:rsid w:val="77632581"/>
    <w:rsid w:val="7774528A"/>
    <w:rsid w:val="77F119BF"/>
    <w:rsid w:val="77FAA19C"/>
    <w:rsid w:val="782E4775"/>
    <w:rsid w:val="78465642"/>
    <w:rsid w:val="78710079"/>
    <w:rsid w:val="79F012F9"/>
    <w:rsid w:val="7B0C6564"/>
    <w:rsid w:val="7BAE151B"/>
    <w:rsid w:val="7BDE2C3E"/>
    <w:rsid w:val="7CA036C3"/>
    <w:rsid w:val="7CF12AF9"/>
    <w:rsid w:val="7F83151B"/>
    <w:rsid w:val="AEFB33B1"/>
    <w:rsid w:val="AF65F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765E7"/>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C765E7"/>
    <w:pPr>
      <w:spacing w:after="120"/>
    </w:pPr>
    <w:rPr>
      <w:rFonts w:ascii="Calibri" w:hAnsi="Calibri"/>
      <w:kern w:val="0"/>
      <w:sz w:val="20"/>
      <w:szCs w:val="20"/>
    </w:rPr>
  </w:style>
  <w:style w:type="paragraph" w:styleId="a4">
    <w:name w:val="annotation text"/>
    <w:basedOn w:val="a"/>
    <w:semiHidden/>
    <w:unhideWhenUsed/>
    <w:qFormat/>
    <w:rsid w:val="00C765E7"/>
    <w:pPr>
      <w:jc w:val="left"/>
    </w:pPr>
  </w:style>
  <w:style w:type="paragraph" w:styleId="3">
    <w:name w:val="toc 3"/>
    <w:basedOn w:val="a"/>
    <w:next w:val="a"/>
    <w:semiHidden/>
    <w:unhideWhenUsed/>
    <w:qFormat/>
    <w:rsid w:val="00C765E7"/>
    <w:pPr>
      <w:ind w:leftChars="400" w:left="840"/>
    </w:pPr>
  </w:style>
  <w:style w:type="paragraph" w:styleId="a5">
    <w:name w:val="footer"/>
    <w:basedOn w:val="a"/>
    <w:link w:val="Char"/>
    <w:qFormat/>
    <w:rsid w:val="00C765E7"/>
    <w:pPr>
      <w:tabs>
        <w:tab w:val="center" w:pos="4153"/>
        <w:tab w:val="right" w:pos="8306"/>
      </w:tabs>
      <w:snapToGrid w:val="0"/>
      <w:jc w:val="left"/>
    </w:pPr>
    <w:rPr>
      <w:sz w:val="18"/>
      <w:szCs w:val="18"/>
    </w:rPr>
  </w:style>
  <w:style w:type="paragraph" w:styleId="a6">
    <w:name w:val="header"/>
    <w:basedOn w:val="a"/>
    <w:link w:val="Char0"/>
    <w:qFormat/>
    <w:rsid w:val="00C765E7"/>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unhideWhenUsed/>
    <w:qFormat/>
    <w:rsid w:val="00C765E7"/>
  </w:style>
  <w:style w:type="paragraph" w:styleId="2">
    <w:name w:val="toc 2"/>
    <w:basedOn w:val="a"/>
    <w:next w:val="a"/>
    <w:semiHidden/>
    <w:unhideWhenUsed/>
    <w:qFormat/>
    <w:rsid w:val="00C765E7"/>
    <w:pPr>
      <w:ind w:leftChars="200" w:left="420"/>
    </w:pPr>
  </w:style>
  <w:style w:type="paragraph" w:styleId="a7">
    <w:name w:val="Normal (Web)"/>
    <w:basedOn w:val="a"/>
    <w:uiPriority w:val="99"/>
    <w:qFormat/>
    <w:rsid w:val="00C765E7"/>
    <w:pPr>
      <w:jc w:val="left"/>
    </w:pPr>
    <w:rPr>
      <w:kern w:val="0"/>
      <w:sz w:val="24"/>
    </w:rPr>
  </w:style>
  <w:style w:type="character" w:customStyle="1" w:styleId="Char0">
    <w:name w:val="页眉 Char"/>
    <w:basedOn w:val="a1"/>
    <w:link w:val="a6"/>
    <w:qFormat/>
    <w:rsid w:val="00C765E7"/>
    <w:rPr>
      <w:rFonts w:asciiTheme="minorHAnsi" w:eastAsiaTheme="minorEastAsia" w:hAnsiTheme="minorHAnsi" w:cstheme="minorBidi"/>
      <w:kern w:val="2"/>
      <w:sz w:val="18"/>
      <w:szCs w:val="18"/>
    </w:rPr>
  </w:style>
  <w:style w:type="character" w:customStyle="1" w:styleId="Char">
    <w:name w:val="页脚 Char"/>
    <w:basedOn w:val="a1"/>
    <w:link w:val="a5"/>
    <w:qFormat/>
    <w:rsid w:val="00C765E7"/>
    <w:rPr>
      <w:rFonts w:asciiTheme="minorHAnsi" w:eastAsiaTheme="minorEastAsia" w:hAnsiTheme="minorHAnsi" w:cstheme="minorBidi"/>
      <w:kern w:val="2"/>
      <w:sz w:val="18"/>
      <w:szCs w:val="18"/>
    </w:rPr>
  </w:style>
  <w:style w:type="paragraph" w:customStyle="1" w:styleId="WPSOffice1">
    <w:name w:val="WPSOffice手动目录 1"/>
    <w:qFormat/>
    <w:rsid w:val="00C765E7"/>
    <w:rPr>
      <w:rFonts w:asciiTheme="minorHAnsi" w:eastAsiaTheme="minorEastAsia" w:hAnsiTheme="minorHAnsi" w:cstheme="minorBidi"/>
      <w:sz w:val="21"/>
      <w:szCs w:val="22"/>
    </w:rPr>
  </w:style>
  <w:style w:type="paragraph" w:customStyle="1" w:styleId="WPSOffice2">
    <w:name w:val="WPSOffice手动目录 2"/>
    <w:qFormat/>
    <w:rsid w:val="00C765E7"/>
    <w:pPr>
      <w:ind w:leftChars="200" w:left="200"/>
    </w:pPr>
    <w:rPr>
      <w:rFonts w:asciiTheme="minorHAnsi" w:eastAsiaTheme="minorEastAsia" w:hAnsiTheme="minorHAnsi" w:cstheme="minorBidi"/>
      <w:sz w:val="21"/>
      <w:szCs w:val="22"/>
    </w:rPr>
  </w:style>
  <w:style w:type="paragraph" w:customStyle="1" w:styleId="WPSOffice3">
    <w:name w:val="WPSOffice手动目录 3"/>
    <w:qFormat/>
    <w:rsid w:val="00C765E7"/>
    <w:pPr>
      <w:ind w:leftChars="400" w:left="400"/>
    </w:pPr>
  </w:style>
  <w:style w:type="paragraph" w:styleId="a8">
    <w:name w:val="List Paragraph"/>
    <w:basedOn w:val="a"/>
    <w:uiPriority w:val="99"/>
    <w:unhideWhenUsed/>
    <w:qFormat/>
    <w:rsid w:val="00C765E7"/>
    <w:pPr>
      <w:ind w:firstLineChars="200" w:firstLine="420"/>
    </w:pPr>
  </w:style>
  <w:style w:type="paragraph" w:styleId="a9">
    <w:name w:val="Balloon Text"/>
    <w:basedOn w:val="a"/>
    <w:link w:val="Char1"/>
    <w:rsid w:val="000B362A"/>
    <w:rPr>
      <w:sz w:val="18"/>
      <w:szCs w:val="18"/>
    </w:rPr>
  </w:style>
  <w:style w:type="character" w:customStyle="1" w:styleId="Char1">
    <w:name w:val="批注框文本 Char"/>
    <w:basedOn w:val="a1"/>
    <w:link w:val="a9"/>
    <w:rsid w:val="000B36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13"/>
    <customShpInfo spid="_x0000_s4114"/>
    <customShpInfo spid="_x0000_s4111"/>
    <customShpInfo spid="_x0000_s4112"/>
    <customShpInfo spid="_x0000_s4115"/>
    <customShpInfo spid="_x0000_s4116"/>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1271</Words>
  <Characters>7245</Characters>
  <Application>Microsoft Office Word</Application>
  <DocSecurity>0</DocSecurity>
  <Lines>60</Lines>
  <Paragraphs>16</Paragraphs>
  <ScaleCrop>false</ScaleCrop>
  <Company>微软中国</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伍松</cp:lastModifiedBy>
  <cp:revision>20</cp:revision>
  <cp:lastPrinted>2020-01-13T08:35:00Z</cp:lastPrinted>
  <dcterms:created xsi:type="dcterms:W3CDTF">2019-09-25T06:16:00Z</dcterms:created>
  <dcterms:modified xsi:type="dcterms:W3CDTF">2022-07-27T07:54:00Z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D7826A7CDAAF4BA9A3D4D1A42E70712C</vt:lpwstr>
  </property>
</Properties>
</file>