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eastAsia="方正小标宋简体"/>
          <w:color w:val="000000"/>
          <w:sz w:val="72"/>
          <w:szCs w:val="72"/>
        </w:rPr>
      </w:pPr>
      <w:bookmarkStart w:id="0" w:name="_Toc15306267"/>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spacing w:line="600" w:lineRule="exact"/>
        <w:jc w:val="center"/>
        <w:outlineLvl w:val="0"/>
        <w:rPr>
          <w:rFonts w:eastAsia="方正小标宋简体"/>
          <w:color w:val="000000"/>
          <w:sz w:val="72"/>
          <w:szCs w:val="72"/>
        </w:rPr>
      </w:pPr>
    </w:p>
    <w:p>
      <w:pPr>
        <w:adjustRightInd w:val="0"/>
        <w:snapToGrid w:val="0"/>
        <w:spacing w:line="360" w:lineRule="auto"/>
        <w:jc w:val="center"/>
        <w:outlineLvl w:val="0"/>
        <w:rPr>
          <w:rFonts w:eastAsia="方正小标宋简体"/>
          <w:color w:val="000000"/>
          <w:sz w:val="72"/>
          <w:szCs w:val="72"/>
        </w:rPr>
      </w:pPr>
      <w:bookmarkStart w:id="1" w:name="_Toc15396597"/>
      <w:bookmarkStart w:id="2" w:name="_Toc15377193"/>
      <w:bookmarkStart w:id="3" w:name="_Toc15378441"/>
      <w:bookmarkStart w:id="4" w:name="_Toc15377425"/>
      <w:bookmarkStart w:id="5" w:name="_Toc15396475"/>
      <w:r>
        <w:rPr>
          <w:rFonts w:eastAsia="黑体"/>
          <w:color w:val="000000"/>
          <w:sz w:val="72"/>
          <w:szCs w:val="72"/>
        </w:rPr>
        <w:t>2020</w:t>
      </w:r>
      <w:r>
        <w:rPr>
          <w:rFonts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eastAsia="方正小标宋简体"/>
          <w:color w:val="000000"/>
          <w:sz w:val="72"/>
          <w:szCs w:val="72"/>
        </w:rPr>
      </w:pPr>
      <w:bookmarkStart w:id="6" w:name="_Toc15377194"/>
      <w:bookmarkStart w:id="7" w:name="_Toc15396476"/>
      <w:bookmarkStart w:id="8" w:name="_Toc15396598"/>
      <w:bookmarkStart w:id="9" w:name="_Toc15378442"/>
      <w:bookmarkStart w:id="10" w:name="_Toc15377426"/>
      <w:r>
        <w:rPr>
          <w:rFonts w:eastAsia="方正小标宋简体"/>
          <w:color w:val="000000"/>
          <w:sz w:val="72"/>
          <w:szCs w:val="72"/>
        </w:rPr>
        <w:t>四川</w:t>
      </w:r>
      <w:bookmarkEnd w:id="0"/>
      <w:bookmarkStart w:id="11" w:name="_Toc15306268"/>
      <w:r>
        <w:rPr>
          <w:rFonts w:eastAsia="方正小标宋简体"/>
          <w:color w:val="000000"/>
          <w:sz w:val="72"/>
          <w:szCs w:val="72"/>
        </w:rPr>
        <w:t>省巴中市人民政府</w:t>
      </w:r>
    </w:p>
    <w:p>
      <w:pPr>
        <w:adjustRightInd w:val="0"/>
        <w:snapToGrid w:val="0"/>
        <w:spacing w:line="360" w:lineRule="auto"/>
        <w:jc w:val="center"/>
        <w:outlineLvl w:val="0"/>
        <w:rPr>
          <w:rFonts w:eastAsia="方正小标宋简体"/>
          <w:color w:val="000000"/>
          <w:sz w:val="72"/>
          <w:szCs w:val="72"/>
        </w:rPr>
      </w:pPr>
      <w:r>
        <w:rPr>
          <w:rFonts w:eastAsia="方正小标宋简体"/>
          <w:color w:val="000000"/>
          <w:sz w:val="72"/>
          <w:szCs w:val="72"/>
        </w:rPr>
        <w:t>办公室部门决算</w:t>
      </w:r>
      <w:bookmarkEnd w:id="6"/>
      <w:bookmarkEnd w:id="7"/>
      <w:bookmarkEnd w:id="8"/>
      <w:bookmarkEnd w:id="9"/>
      <w:bookmarkEnd w:id="10"/>
      <w:bookmarkEnd w:id="11"/>
    </w:p>
    <w:p>
      <w:pPr>
        <w:adjustRightInd w:val="0"/>
        <w:snapToGrid w:val="0"/>
        <w:spacing w:line="360" w:lineRule="auto"/>
        <w:outlineLvl w:val="0"/>
        <w:rPr>
          <w:rFonts w:eastAsia="方正小标宋简体"/>
          <w:color w:val="000000"/>
          <w:sz w:val="52"/>
          <w:szCs w:val="52"/>
        </w:rPr>
      </w:pPr>
    </w:p>
    <w:p>
      <w:pPr>
        <w:jc w:val="center"/>
        <w:rPr>
          <w:rFonts w:eastAsia="黑体"/>
          <w:color w:val="000000"/>
          <w:sz w:val="48"/>
          <w:szCs w:val="48"/>
        </w:rPr>
      </w:pPr>
      <w:r>
        <w:rPr>
          <w:rFonts w:eastAsia="方正小标宋简体"/>
          <w:color w:val="000000"/>
          <w:sz w:val="36"/>
          <w:szCs w:val="36"/>
        </w:rPr>
        <w:br w:type="page"/>
      </w:r>
      <w:r>
        <w:rPr>
          <w:rFonts w:hAnsi="黑体" w:eastAsia="黑体"/>
          <w:color w:val="000000"/>
          <w:sz w:val="48"/>
          <w:szCs w:val="48"/>
        </w:rPr>
        <w:t>目录</w:t>
      </w:r>
    </w:p>
    <w:p>
      <w:pPr>
        <w:jc w:val="center"/>
        <w:rPr>
          <w:rFonts w:eastAsia="黑体"/>
          <w:sz w:val="28"/>
          <w:szCs w:val="28"/>
        </w:rPr>
      </w:pPr>
    </w:p>
    <w:p>
      <w:pPr>
        <w:pStyle w:val="11"/>
        <w:rPr>
          <w:rFonts w:ascii="Times New Roman" w:hAnsi="Times New Roman"/>
        </w:rPr>
      </w:pPr>
      <w:r>
        <w:rPr>
          <w:rFonts w:ascii="Times New Roman"/>
        </w:rPr>
        <w:t>公开时间：</w:t>
      </w:r>
      <w:r>
        <w:rPr>
          <w:rFonts w:ascii="Times New Roman" w:hAnsi="Times New Roman"/>
        </w:rPr>
        <w:t>2021</w:t>
      </w:r>
      <w:r>
        <w:rPr>
          <w:rFonts w:ascii="Times New Roman"/>
        </w:rPr>
        <w:t>年</w:t>
      </w:r>
      <w:r>
        <w:rPr>
          <w:rFonts w:ascii="Times New Roman" w:hAnsi="Times New Roman"/>
        </w:rPr>
        <w:t xml:space="preserve"> 9</w:t>
      </w:r>
      <w:r>
        <w:rPr>
          <w:rFonts w:ascii="Times New Roman"/>
        </w:rPr>
        <w:t>月</w:t>
      </w:r>
      <w:r>
        <w:rPr>
          <w:rFonts w:ascii="Times New Roman" w:hAnsi="Times New Roman"/>
        </w:rPr>
        <w:t xml:space="preserve">17 </w:t>
      </w:r>
      <w:r>
        <w:rPr>
          <w:rFonts w:ascii="Times New Roman"/>
        </w:rPr>
        <w:t>日</w:t>
      </w:r>
    </w:p>
    <w:p>
      <w:pPr>
        <w:rPr>
          <w:sz w:val="28"/>
          <w:szCs w:val="28"/>
        </w:rPr>
      </w:pPr>
    </w:p>
    <w:sdt>
      <w:sdtPr>
        <w:rPr>
          <w:rFonts w:ascii="宋体" w:hAnsi="宋体"/>
          <w:kern w:val="0"/>
          <w:sz w:val="20"/>
          <w:szCs w:val="20"/>
        </w:rPr>
        <w:id w:val="147465728"/>
        <w:docPartObj>
          <w:docPartGallery w:val="Table of Contents"/>
          <w:docPartUnique/>
        </w:docPartObj>
      </w:sdtPr>
      <w:sdtEndPr>
        <w:rPr>
          <w:rFonts w:ascii="Times New Roman" w:hAnsi="Times New Roman" w:eastAsia="黑体"/>
          <w:kern w:val="0"/>
          <w:sz w:val="20"/>
          <w:szCs w:val="20"/>
        </w:rPr>
      </w:sdtEndPr>
      <w:sdtContent>
        <w:p>
          <w:pPr>
            <w:spacing w:line="360" w:lineRule="auto"/>
            <w:jc w:val="center"/>
          </w:pPr>
          <w:r>
            <w:rPr>
              <w:rFonts w:ascii="宋体" w:hAnsi="宋体"/>
            </w:rPr>
            <w:t>目录</w:t>
          </w:r>
        </w:p>
        <w:p>
          <w:pPr>
            <w:pStyle w:val="34"/>
            <w:tabs>
              <w:tab w:val="right" w:leader="dot" w:pos="8900"/>
            </w:tabs>
            <w:spacing w:line="360" w:lineRule="auto"/>
          </w:pPr>
          <w:r>
            <w:fldChar w:fldCharType="begin"/>
          </w:r>
          <w:r>
            <w:instrText xml:space="preserve"> HYPERLINK \l "_Toc31872_WPSOffice_Level1" </w:instrText>
          </w:r>
          <w:r>
            <w:fldChar w:fldCharType="separate"/>
          </w:r>
          <w:r>
            <w:rPr>
              <w:rFonts w:ascii="Times New Roman" w:hAnsi="黑体" w:eastAsia="黑体"/>
              <w:b/>
              <w:bCs/>
            </w:rPr>
            <w:t>第一部分部门概况</w:t>
          </w:r>
          <w:r>
            <w:rPr>
              <w:b/>
              <w:bCs/>
            </w:rPr>
            <w:tab/>
          </w:r>
          <w:bookmarkStart w:id="12" w:name="_Toc31872_WPSOffice_Level1Page"/>
          <w:r>
            <w:rPr>
              <w:b/>
              <w:bCs/>
            </w:rPr>
            <w:t>4</w:t>
          </w:r>
          <w:bookmarkEnd w:id="12"/>
          <w:r>
            <w:rPr>
              <w:b/>
              <w:bCs/>
            </w:rPr>
            <w:fldChar w:fldCharType="end"/>
          </w:r>
        </w:p>
        <w:p>
          <w:pPr>
            <w:pStyle w:val="35"/>
            <w:tabs>
              <w:tab w:val="right" w:leader="dot" w:pos="8900"/>
            </w:tabs>
            <w:spacing w:line="360" w:lineRule="auto"/>
            <w:ind w:left="420"/>
          </w:pPr>
          <w:r>
            <w:fldChar w:fldCharType="begin"/>
          </w:r>
          <w:r>
            <w:instrText xml:space="preserve"> HYPERLINK \l "_Toc29272_WPSOffice_Level2" </w:instrText>
          </w:r>
          <w:r>
            <w:fldChar w:fldCharType="separate"/>
          </w:r>
          <w:r>
            <w:rPr>
              <w:rFonts w:hint="eastAsia" w:ascii="Times New Roman" w:hAnsi="黑体" w:eastAsia="黑体"/>
            </w:rPr>
            <w:t>一、</w:t>
          </w:r>
          <w:r>
            <w:rPr>
              <w:rFonts w:ascii="Times New Roman" w:hAnsi="黑体" w:eastAsia="黑体"/>
            </w:rPr>
            <w:t>基本职能及主要工作</w:t>
          </w:r>
          <w:r>
            <w:tab/>
          </w:r>
          <w:bookmarkStart w:id="13" w:name="_Toc29272_WPSOffice_Level2Page"/>
          <w:r>
            <w:t>4</w:t>
          </w:r>
          <w:bookmarkEnd w:id="13"/>
          <w:r>
            <w:fldChar w:fldCharType="end"/>
          </w:r>
        </w:p>
        <w:p>
          <w:pPr>
            <w:pStyle w:val="35"/>
            <w:tabs>
              <w:tab w:val="right" w:leader="dot" w:pos="8900"/>
            </w:tabs>
            <w:spacing w:line="360" w:lineRule="auto"/>
            <w:ind w:left="420"/>
          </w:pPr>
          <w:r>
            <w:fldChar w:fldCharType="begin"/>
          </w:r>
          <w:r>
            <w:instrText xml:space="preserve"> HYPERLINK \l "_Toc15790_WPSOffice_Level2" </w:instrText>
          </w:r>
          <w:r>
            <w:fldChar w:fldCharType="separate"/>
          </w:r>
          <w:r>
            <w:rPr>
              <w:rFonts w:ascii="Times New Roman" w:hAnsi="黑体" w:eastAsia="黑体"/>
            </w:rPr>
            <w:t>二、机构设置</w:t>
          </w:r>
          <w:r>
            <w:tab/>
          </w:r>
          <w:bookmarkStart w:id="14" w:name="_Toc15790_WPSOffice_Level2Page"/>
          <w:r>
            <w:t>5</w:t>
          </w:r>
          <w:bookmarkEnd w:id="14"/>
          <w:r>
            <w:fldChar w:fldCharType="end"/>
          </w:r>
        </w:p>
        <w:p>
          <w:pPr>
            <w:pStyle w:val="34"/>
            <w:tabs>
              <w:tab w:val="right" w:leader="dot" w:pos="8900"/>
            </w:tabs>
            <w:spacing w:line="360" w:lineRule="auto"/>
          </w:pPr>
          <w:r>
            <w:fldChar w:fldCharType="begin"/>
          </w:r>
          <w:r>
            <w:instrText xml:space="preserve"> HYPERLINK \l "_Toc29272_WPSOffice_Level1" </w:instrText>
          </w:r>
          <w:r>
            <w:fldChar w:fldCharType="separate"/>
          </w:r>
          <w:r>
            <w:rPr>
              <w:rFonts w:ascii="Times New Roman" w:hAnsi="Times New Roman" w:eastAsia="方正小标宋简体"/>
              <w:b/>
              <w:bCs/>
            </w:rPr>
            <w:t>第二部分  2020年度部门决算情况说明</w:t>
          </w:r>
          <w:r>
            <w:rPr>
              <w:b/>
              <w:bCs/>
            </w:rPr>
            <w:tab/>
          </w:r>
          <w:bookmarkStart w:id="15" w:name="_Toc29272_WPSOffice_Level1Page"/>
          <w:r>
            <w:rPr>
              <w:b/>
              <w:bCs/>
            </w:rPr>
            <w:t>6</w:t>
          </w:r>
          <w:bookmarkEnd w:id="15"/>
          <w:r>
            <w:rPr>
              <w:b/>
              <w:bCs/>
            </w:rPr>
            <w:fldChar w:fldCharType="end"/>
          </w:r>
        </w:p>
        <w:p>
          <w:pPr>
            <w:pStyle w:val="35"/>
            <w:tabs>
              <w:tab w:val="right" w:leader="dot" w:pos="8900"/>
            </w:tabs>
            <w:spacing w:line="360" w:lineRule="auto"/>
            <w:ind w:left="420"/>
          </w:pPr>
          <w:r>
            <w:fldChar w:fldCharType="begin"/>
          </w:r>
          <w:r>
            <w:instrText xml:space="preserve"> HYPERLINK \l "_Toc2553_WPSOffice_Level2" </w:instrText>
          </w:r>
          <w:r>
            <w:fldChar w:fldCharType="separate"/>
          </w:r>
          <w:r>
            <w:rPr>
              <w:rFonts w:ascii="Times New Roman" w:hAnsi="Times New Roman" w:eastAsia="黑体"/>
            </w:rPr>
            <w:t>一、收入支出决算总体情况说明</w:t>
          </w:r>
          <w:r>
            <w:tab/>
          </w:r>
          <w:bookmarkStart w:id="16" w:name="_Toc2553_WPSOffice_Level2Page"/>
          <w:r>
            <w:t>6</w:t>
          </w:r>
          <w:bookmarkEnd w:id="16"/>
          <w:r>
            <w:fldChar w:fldCharType="end"/>
          </w:r>
        </w:p>
        <w:p>
          <w:pPr>
            <w:pStyle w:val="35"/>
            <w:tabs>
              <w:tab w:val="right" w:leader="dot" w:pos="8900"/>
            </w:tabs>
            <w:spacing w:line="360" w:lineRule="auto"/>
            <w:ind w:left="420"/>
          </w:pPr>
          <w:r>
            <w:fldChar w:fldCharType="begin"/>
          </w:r>
          <w:r>
            <w:instrText xml:space="preserve"> HYPERLINK \l "_Toc31714_WPSOffice_Level2" </w:instrText>
          </w:r>
          <w:r>
            <w:fldChar w:fldCharType="separate"/>
          </w:r>
          <w:r>
            <w:rPr>
              <w:rFonts w:ascii="Times New Roman" w:hAnsi="Times New Roman" w:eastAsia="黑体"/>
            </w:rPr>
            <w:t>二、收入决算情况说明</w:t>
          </w:r>
          <w:r>
            <w:tab/>
          </w:r>
          <w:bookmarkStart w:id="17" w:name="_Toc31714_WPSOffice_Level2Page"/>
          <w:r>
            <w:t>6</w:t>
          </w:r>
          <w:bookmarkEnd w:id="17"/>
          <w:r>
            <w:fldChar w:fldCharType="end"/>
          </w:r>
        </w:p>
        <w:p>
          <w:pPr>
            <w:pStyle w:val="35"/>
            <w:tabs>
              <w:tab w:val="right" w:leader="dot" w:pos="8900"/>
            </w:tabs>
            <w:spacing w:line="360" w:lineRule="auto"/>
            <w:ind w:left="420"/>
          </w:pPr>
          <w:r>
            <w:fldChar w:fldCharType="begin"/>
          </w:r>
          <w:r>
            <w:instrText xml:space="preserve"> HYPERLINK \l "_Toc15544_WPSOffice_Level2" </w:instrText>
          </w:r>
          <w:r>
            <w:fldChar w:fldCharType="separate"/>
          </w:r>
          <w:r>
            <w:rPr>
              <w:rFonts w:ascii="Times New Roman" w:hAnsi="Times New Roman" w:eastAsia="黑体"/>
            </w:rPr>
            <w:t>三、支出决算情况说明</w:t>
          </w:r>
          <w:r>
            <w:tab/>
          </w:r>
          <w:bookmarkStart w:id="18" w:name="_Toc15544_WPSOffice_Level2Page"/>
          <w:r>
            <w:t>7</w:t>
          </w:r>
          <w:bookmarkEnd w:id="18"/>
          <w:r>
            <w:fldChar w:fldCharType="end"/>
          </w:r>
        </w:p>
        <w:p>
          <w:pPr>
            <w:pStyle w:val="35"/>
            <w:tabs>
              <w:tab w:val="right" w:leader="dot" w:pos="8900"/>
            </w:tabs>
            <w:spacing w:line="360" w:lineRule="auto"/>
            <w:ind w:left="420"/>
          </w:pPr>
          <w:r>
            <w:fldChar w:fldCharType="begin"/>
          </w:r>
          <w:r>
            <w:instrText xml:space="preserve"> HYPERLINK \l "_Toc9649_WPSOffice_Level2" </w:instrText>
          </w:r>
          <w:r>
            <w:fldChar w:fldCharType="separate"/>
          </w:r>
          <w:r>
            <w:rPr>
              <w:rFonts w:ascii="Times New Roman" w:hAnsi="Times New Roman" w:eastAsia="黑体"/>
            </w:rPr>
            <w:t>四、财政拨款收入支出决算总体情况说明</w:t>
          </w:r>
          <w:r>
            <w:tab/>
          </w:r>
          <w:bookmarkStart w:id="19" w:name="_Toc9649_WPSOffice_Level2Page"/>
          <w:r>
            <w:t>8</w:t>
          </w:r>
          <w:bookmarkEnd w:id="19"/>
          <w:r>
            <w:fldChar w:fldCharType="end"/>
          </w:r>
        </w:p>
        <w:p>
          <w:pPr>
            <w:pStyle w:val="35"/>
            <w:tabs>
              <w:tab w:val="right" w:leader="dot" w:pos="8900"/>
            </w:tabs>
            <w:spacing w:line="360" w:lineRule="auto"/>
            <w:ind w:left="420"/>
          </w:pPr>
          <w:r>
            <w:fldChar w:fldCharType="begin"/>
          </w:r>
          <w:r>
            <w:instrText xml:space="preserve"> HYPERLINK \l "_Toc23240_WPSOffice_Level2" </w:instrText>
          </w:r>
          <w:r>
            <w:fldChar w:fldCharType="separate"/>
          </w:r>
          <w:r>
            <w:rPr>
              <w:rFonts w:ascii="Times New Roman" w:hAnsi="Times New Roman" w:eastAsia="黑体"/>
            </w:rPr>
            <w:t>五、一般公共预算财政拨款支出决算情况说明</w:t>
          </w:r>
          <w:r>
            <w:tab/>
          </w:r>
          <w:bookmarkStart w:id="20" w:name="_Toc23240_WPSOffice_Level2Page"/>
          <w:r>
            <w:t>8</w:t>
          </w:r>
          <w:bookmarkEnd w:id="20"/>
          <w:r>
            <w:fldChar w:fldCharType="end"/>
          </w:r>
        </w:p>
        <w:p>
          <w:pPr>
            <w:pStyle w:val="35"/>
            <w:tabs>
              <w:tab w:val="right" w:leader="dot" w:pos="8900"/>
            </w:tabs>
            <w:spacing w:line="360" w:lineRule="auto"/>
            <w:ind w:left="420"/>
          </w:pPr>
          <w:r>
            <w:fldChar w:fldCharType="begin"/>
          </w:r>
          <w:r>
            <w:instrText xml:space="preserve"> HYPERLINK \l "_Toc21550_WPSOffice_Level2" </w:instrText>
          </w:r>
          <w:r>
            <w:fldChar w:fldCharType="separate"/>
          </w:r>
          <w:r>
            <w:rPr>
              <w:rFonts w:ascii="Times New Roman" w:hAnsi="Times New Roman" w:eastAsia="黑体"/>
            </w:rPr>
            <w:t>六、一般公共预算财政拨款基本支出决算情况说明</w:t>
          </w:r>
          <w:r>
            <w:tab/>
          </w:r>
          <w:bookmarkStart w:id="21" w:name="_Toc21550_WPSOffice_Level2Page"/>
          <w:r>
            <w:t>11</w:t>
          </w:r>
          <w:bookmarkEnd w:id="21"/>
          <w:r>
            <w:fldChar w:fldCharType="end"/>
          </w:r>
        </w:p>
        <w:p>
          <w:pPr>
            <w:pStyle w:val="35"/>
            <w:tabs>
              <w:tab w:val="right" w:leader="dot" w:pos="8900"/>
            </w:tabs>
            <w:spacing w:line="360" w:lineRule="auto"/>
            <w:ind w:left="420"/>
          </w:pPr>
          <w:r>
            <w:fldChar w:fldCharType="begin"/>
          </w:r>
          <w:r>
            <w:instrText xml:space="preserve"> HYPERLINK \l "_Toc9201_WPSOffice_Level2" </w:instrText>
          </w:r>
          <w:r>
            <w:fldChar w:fldCharType="separate"/>
          </w:r>
          <w:r>
            <w:rPr>
              <w:rFonts w:ascii="Times New Roman" w:hAnsi="Times New Roman" w:eastAsia="黑体"/>
            </w:rPr>
            <w:t>七、“三公”经费财政拨款支出决算情况说明</w:t>
          </w:r>
          <w:r>
            <w:tab/>
          </w:r>
          <w:bookmarkStart w:id="22" w:name="_Toc9201_WPSOffice_Level2Page"/>
          <w:r>
            <w:t>12</w:t>
          </w:r>
          <w:bookmarkEnd w:id="22"/>
          <w:r>
            <w:fldChar w:fldCharType="end"/>
          </w:r>
        </w:p>
        <w:p>
          <w:pPr>
            <w:pStyle w:val="35"/>
            <w:tabs>
              <w:tab w:val="right" w:leader="dot" w:pos="8900"/>
            </w:tabs>
            <w:spacing w:line="360" w:lineRule="auto"/>
            <w:ind w:left="420"/>
          </w:pPr>
          <w:r>
            <w:fldChar w:fldCharType="begin"/>
          </w:r>
          <w:r>
            <w:instrText xml:space="preserve"> HYPERLINK \l "_Toc12021_WPSOffice_Level2" </w:instrText>
          </w:r>
          <w:r>
            <w:fldChar w:fldCharType="separate"/>
          </w:r>
          <w:r>
            <w:rPr>
              <w:rFonts w:ascii="Times New Roman" w:hAnsi="Times New Roman" w:eastAsia="黑体"/>
            </w:rPr>
            <w:t>八、政府性基金预算支出决算情况说明</w:t>
          </w:r>
          <w:r>
            <w:tab/>
          </w:r>
          <w:bookmarkStart w:id="23" w:name="_Toc12021_WPSOffice_Level2Page"/>
          <w:r>
            <w:t>14</w:t>
          </w:r>
          <w:bookmarkEnd w:id="23"/>
          <w:r>
            <w:fldChar w:fldCharType="end"/>
          </w:r>
        </w:p>
        <w:p>
          <w:pPr>
            <w:pStyle w:val="35"/>
            <w:tabs>
              <w:tab w:val="right" w:leader="dot" w:pos="8900"/>
            </w:tabs>
            <w:spacing w:line="360" w:lineRule="auto"/>
            <w:ind w:left="420"/>
          </w:pPr>
          <w:r>
            <w:fldChar w:fldCharType="begin"/>
          </w:r>
          <w:r>
            <w:instrText xml:space="preserve"> HYPERLINK \l "_Toc21614_WPSOffice_Level2" </w:instrText>
          </w:r>
          <w:r>
            <w:fldChar w:fldCharType="separate"/>
          </w:r>
          <w:r>
            <w:rPr>
              <w:rFonts w:ascii="Times New Roman" w:hAnsi="Times New Roman" w:eastAsia="黑体"/>
            </w:rPr>
            <w:t>九、国有资本经营预算支出决算情况说明</w:t>
          </w:r>
          <w:r>
            <w:tab/>
          </w:r>
          <w:bookmarkStart w:id="24" w:name="_Toc21614_WPSOffice_Level2Page"/>
          <w:r>
            <w:t>14</w:t>
          </w:r>
          <w:bookmarkEnd w:id="24"/>
          <w:r>
            <w:fldChar w:fldCharType="end"/>
          </w:r>
        </w:p>
        <w:p>
          <w:pPr>
            <w:pStyle w:val="35"/>
            <w:tabs>
              <w:tab w:val="right" w:leader="dot" w:pos="8900"/>
            </w:tabs>
            <w:spacing w:line="360" w:lineRule="auto"/>
            <w:ind w:left="420"/>
          </w:pPr>
          <w:r>
            <w:fldChar w:fldCharType="begin"/>
          </w:r>
          <w:r>
            <w:instrText xml:space="preserve"> HYPERLINK \l "_Toc12326_WPSOffice_Level2" </w:instrText>
          </w:r>
          <w:r>
            <w:fldChar w:fldCharType="separate"/>
          </w:r>
          <w:r>
            <w:rPr>
              <w:rFonts w:ascii="Times New Roman" w:hAnsi="黑体" w:eastAsia="黑体"/>
            </w:rPr>
            <w:t>十、其他重要事项的情况说明</w:t>
          </w:r>
          <w:r>
            <w:tab/>
          </w:r>
          <w:bookmarkStart w:id="25" w:name="_Toc12326_WPSOffice_Level2Page"/>
          <w:r>
            <w:t>14</w:t>
          </w:r>
          <w:bookmarkEnd w:id="25"/>
          <w:r>
            <w:fldChar w:fldCharType="end"/>
          </w:r>
        </w:p>
        <w:p>
          <w:pPr>
            <w:pStyle w:val="34"/>
            <w:tabs>
              <w:tab w:val="right" w:leader="dot" w:pos="8900"/>
            </w:tabs>
            <w:spacing w:line="360" w:lineRule="auto"/>
          </w:pPr>
          <w:r>
            <w:fldChar w:fldCharType="begin"/>
          </w:r>
          <w:r>
            <w:instrText xml:space="preserve"> HYPERLINK \l "_Toc15790_WPSOffice_Level1" </w:instrText>
          </w:r>
          <w:r>
            <w:fldChar w:fldCharType="separate"/>
          </w:r>
          <w:r>
            <w:rPr>
              <w:rFonts w:hint="eastAsia" w:ascii="Times New Roman" w:hAnsi="Times New Roman" w:eastAsia="黑体"/>
              <w:b/>
              <w:bCs/>
            </w:rPr>
            <w:t xml:space="preserve">第三部分  </w:t>
          </w:r>
          <w:r>
            <w:rPr>
              <w:rFonts w:ascii="Times New Roman" w:hAnsi="Times New Roman" w:eastAsia="黑体"/>
              <w:b/>
              <w:bCs/>
            </w:rPr>
            <w:t>名词解释</w:t>
          </w:r>
          <w:r>
            <w:rPr>
              <w:b/>
              <w:bCs/>
            </w:rPr>
            <w:tab/>
          </w:r>
          <w:bookmarkStart w:id="26" w:name="_Toc15790_WPSOffice_Level1Page"/>
          <w:r>
            <w:rPr>
              <w:b/>
              <w:bCs/>
            </w:rPr>
            <w:t>23</w:t>
          </w:r>
          <w:bookmarkEnd w:id="26"/>
          <w:r>
            <w:rPr>
              <w:b/>
              <w:bCs/>
            </w:rPr>
            <w:fldChar w:fldCharType="end"/>
          </w:r>
        </w:p>
        <w:p>
          <w:pPr>
            <w:pStyle w:val="34"/>
            <w:tabs>
              <w:tab w:val="right" w:leader="dot" w:pos="8900"/>
            </w:tabs>
            <w:spacing w:line="360" w:lineRule="auto"/>
          </w:pPr>
          <w:r>
            <w:fldChar w:fldCharType="begin"/>
          </w:r>
          <w:r>
            <w:instrText xml:space="preserve"> HYPERLINK \l "_Toc2553_WPSOffice_Level1" </w:instrText>
          </w:r>
          <w:r>
            <w:fldChar w:fldCharType="separate"/>
          </w:r>
          <w:r>
            <w:rPr>
              <w:rFonts w:ascii="Times New Roman" w:hAnsi="Times New Roman" w:eastAsia="黑体"/>
              <w:b/>
              <w:bCs/>
            </w:rPr>
            <w:t>第四部分 附件</w:t>
          </w:r>
          <w:r>
            <w:rPr>
              <w:b/>
              <w:bCs/>
            </w:rPr>
            <w:tab/>
          </w:r>
          <w:bookmarkStart w:id="27" w:name="_Toc2553_WPSOffice_Level1Page"/>
          <w:r>
            <w:rPr>
              <w:b/>
              <w:bCs/>
            </w:rPr>
            <w:t>27</w:t>
          </w:r>
          <w:bookmarkEnd w:id="27"/>
          <w:r>
            <w:rPr>
              <w:b/>
              <w:bCs/>
            </w:rPr>
            <w:fldChar w:fldCharType="end"/>
          </w:r>
        </w:p>
        <w:p>
          <w:pPr>
            <w:pStyle w:val="35"/>
            <w:tabs>
              <w:tab w:val="right" w:leader="dot" w:pos="8900"/>
            </w:tabs>
            <w:spacing w:line="360" w:lineRule="auto"/>
            <w:ind w:left="420"/>
            <w:rPr>
              <w:rFonts w:ascii="Times New Roman" w:hAnsi="Times New Roman" w:eastAsia="黑体"/>
            </w:rPr>
          </w:pPr>
          <w:r>
            <w:rPr>
              <w:rFonts w:hint="eastAsia" w:ascii="Times New Roman" w:hAnsi="Times New Roman" w:eastAsia="黑体"/>
            </w:rPr>
            <w:t>附件1：</w:t>
          </w:r>
          <w:r>
            <w:fldChar w:fldCharType="begin"/>
          </w:r>
          <w:r>
            <w:instrText xml:space="preserve"> HYPERLINK \l "_Toc6533_WPSOffice_Level2" </w:instrText>
          </w:r>
          <w:r>
            <w:fldChar w:fldCharType="separate"/>
          </w:r>
          <w:r>
            <w:rPr>
              <w:rFonts w:ascii="Times New Roman" w:hAnsi="Times New Roman" w:eastAsia="黑体"/>
            </w:rPr>
            <w:t>巴中市人民政府办公室</w:t>
          </w:r>
          <w:r>
            <w:rPr>
              <w:rFonts w:ascii="Times New Roman" w:hAnsi="Times New Roman" w:eastAsia="黑体"/>
            </w:rPr>
            <w:fldChar w:fldCharType="end"/>
          </w:r>
          <w:r>
            <w:fldChar w:fldCharType="begin"/>
          </w:r>
          <w:r>
            <w:instrText xml:space="preserve"> HYPERLINK \l "_Toc1286_WPSOffice_Level2" </w:instrText>
          </w:r>
          <w:r>
            <w:fldChar w:fldCharType="separate"/>
          </w:r>
          <w:r>
            <w:rPr>
              <w:rFonts w:ascii="Times New Roman" w:hAnsi="Times New Roman" w:eastAsia="黑体"/>
            </w:rPr>
            <w:t>2020年部门整体支出绩效评价报告</w:t>
          </w:r>
          <w:r>
            <w:rPr>
              <w:rFonts w:ascii="Times New Roman" w:hAnsi="Times New Roman" w:eastAsia="黑体"/>
            </w:rPr>
            <w:tab/>
          </w:r>
          <w:bookmarkStart w:id="28" w:name="_Toc1286_WPSOffice_Level2Page"/>
          <w:r>
            <w:rPr>
              <w:rFonts w:ascii="Times New Roman" w:hAnsi="Times New Roman" w:eastAsia="黑体"/>
            </w:rPr>
            <w:t>27</w:t>
          </w:r>
          <w:bookmarkEnd w:id="28"/>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rPr>
              <w:rFonts w:hint="eastAsia" w:ascii="Times New Roman" w:hAnsi="Times New Roman" w:eastAsia="黑体"/>
            </w:rPr>
            <w:t>附件2：</w:t>
          </w:r>
          <w:r>
            <w:fldChar w:fldCharType="begin"/>
          </w:r>
          <w:r>
            <w:instrText xml:space="preserve"> HYPERLINK \l "_Toc5703_WPSOffice_Level2" </w:instrText>
          </w:r>
          <w:r>
            <w:fldChar w:fldCharType="separate"/>
          </w:r>
          <w:r>
            <w:rPr>
              <w:rFonts w:ascii="Times New Roman" w:hAnsi="Times New Roman" w:eastAsia="黑体"/>
            </w:rPr>
            <w:t>巴中市</w:t>
          </w:r>
          <w:r>
            <w:rPr>
              <w:rFonts w:ascii="Times New Roman" w:hAnsi="Times New Roman" w:eastAsia="黑体"/>
            </w:rPr>
            <w:fldChar w:fldCharType="end"/>
          </w:r>
          <w:r>
            <w:fldChar w:fldCharType="begin"/>
          </w:r>
          <w:r>
            <w:instrText xml:space="preserve"> HYPERLINK \l "_Toc9812_WPSOffice_Level2" </w:instrText>
          </w:r>
          <w:r>
            <w:fldChar w:fldCharType="separate"/>
          </w:r>
          <w:r>
            <w:rPr>
              <w:rFonts w:ascii="Times New Roman" w:hAnsi="Times New Roman" w:eastAsia="黑体"/>
            </w:rPr>
            <w:t>政</w:t>
          </w:r>
          <w:r>
            <w:rPr>
              <w:rFonts w:hint="eastAsia" w:ascii="Times New Roman" w:hAnsi="Times New Roman" w:eastAsia="黑体"/>
            </w:rPr>
            <w:t>府</w:t>
          </w:r>
          <w:r>
            <w:rPr>
              <w:rFonts w:ascii="Times New Roman" w:hAnsi="Times New Roman" w:eastAsia="黑体"/>
            </w:rPr>
            <w:t>网站集约化平台建设项目2020年绩效评价报告</w:t>
          </w:r>
          <w:r>
            <w:rPr>
              <w:rFonts w:ascii="Times New Roman" w:hAnsi="Times New Roman" w:eastAsia="黑体"/>
            </w:rPr>
            <w:tab/>
          </w:r>
          <w:bookmarkStart w:id="29" w:name="_Toc9812_WPSOffice_Level2Page"/>
          <w:r>
            <w:rPr>
              <w:rFonts w:ascii="Times New Roman" w:hAnsi="Times New Roman" w:eastAsia="黑体"/>
            </w:rPr>
            <w:t>31</w:t>
          </w:r>
          <w:bookmarkEnd w:id="29"/>
          <w:r>
            <w:rPr>
              <w:rFonts w:ascii="Times New Roman" w:hAnsi="Times New Roman" w:eastAsia="黑体"/>
            </w:rPr>
            <w:fldChar w:fldCharType="end"/>
          </w:r>
        </w:p>
        <w:p>
          <w:pPr>
            <w:pStyle w:val="34"/>
            <w:tabs>
              <w:tab w:val="right" w:leader="dot" w:pos="8900"/>
            </w:tabs>
            <w:spacing w:line="360" w:lineRule="auto"/>
          </w:pPr>
          <w:r>
            <w:fldChar w:fldCharType="begin"/>
          </w:r>
          <w:r>
            <w:instrText xml:space="preserve"> HYPERLINK \l "_Toc31714_WPSOffice_Level1" </w:instrText>
          </w:r>
          <w:r>
            <w:fldChar w:fldCharType="separate"/>
          </w:r>
          <w:r>
            <w:rPr>
              <w:rFonts w:ascii="Times New Roman" w:hAnsi="Times New Roman" w:eastAsia="黑体"/>
              <w:b/>
              <w:bCs/>
            </w:rPr>
            <w:t>第五部分 附表</w:t>
          </w:r>
          <w:r>
            <w:rPr>
              <w:b/>
              <w:bCs/>
            </w:rPr>
            <w:tab/>
          </w:r>
          <w:bookmarkStart w:id="30" w:name="_Toc31714_WPSOffice_Level1Page"/>
          <w:r>
            <w:rPr>
              <w:b/>
              <w:bCs/>
            </w:rPr>
            <w:t>35</w:t>
          </w:r>
          <w:bookmarkEnd w:id="30"/>
          <w:r>
            <w:rPr>
              <w:b/>
              <w:bCs/>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"_Toc17364_WPSOffice_Level2" </w:instrText>
          </w:r>
          <w:r>
            <w:fldChar w:fldCharType="separate"/>
          </w:r>
          <w:r>
            <w:rPr>
              <w:rFonts w:ascii="Times New Roman" w:hAnsi="Times New Roman" w:eastAsia="黑体"/>
            </w:rPr>
            <w:t>一、收入支出决算总表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"_Toc9548_WPSOffice_Level2" </w:instrText>
          </w:r>
          <w:r>
            <w:fldChar w:fldCharType="separate"/>
          </w:r>
          <w:r>
            <w:rPr>
              <w:rFonts w:ascii="Times New Roman" w:hAnsi="Times New Roman" w:eastAsia="黑体"/>
            </w:rPr>
            <w:t>二、收入决算表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"_Toc16488_WPSOffice_Level2" </w:instrText>
          </w:r>
          <w:r>
            <w:fldChar w:fldCharType="separate"/>
          </w:r>
          <w:r>
            <w:rPr>
              <w:rFonts w:ascii="Times New Roman" w:hAnsi="Times New Roman" w:eastAsia="黑体"/>
            </w:rPr>
            <w:t>三、支出决算表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"_Toc3131_WPSOffice_Level2" </w:instrText>
          </w:r>
          <w:r>
            <w:fldChar w:fldCharType="separate"/>
          </w:r>
          <w:r>
            <w:rPr>
              <w:rFonts w:ascii="Times New Roman" w:hAnsi="Times New Roman" w:eastAsia="黑体"/>
            </w:rPr>
            <w:t>四、财政拨款收入支出决算总表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"_Toc32318_WPSOffice_Level2" </w:instrText>
          </w:r>
          <w:r>
            <w:fldChar w:fldCharType="separate"/>
          </w:r>
          <w:r>
            <w:rPr>
              <w:rFonts w:ascii="Times New Roman" w:hAnsi="Times New Roman" w:eastAsia="黑体"/>
            </w:rPr>
            <w:t>五、财政拨款支出决算明细表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"_Toc24816_WPSOffice_Level2" </w:instrText>
          </w:r>
          <w:r>
            <w:fldChar w:fldCharType="separate"/>
          </w:r>
          <w:r>
            <w:rPr>
              <w:rFonts w:ascii="Times New Roman" w:hAnsi="Times New Roman" w:eastAsia="黑体"/>
            </w:rPr>
            <w:t>六、一般公共预算财政拨款支出决算表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"_Toc8987_WPSOffice_Level2" </w:instrText>
          </w:r>
          <w:r>
            <w:fldChar w:fldCharType="separate"/>
          </w:r>
          <w:r>
            <w:rPr>
              <w:rFonts w:ascii="Times New Roman" w:hAnsi="Times New Roman" w:eastAsia="黑体"/>
            </w:rPr>
            <w:t>七、一般公共预算财政拨款支出决算明细表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"_Toc8327_WPSOffice_Level2" </w:instrText>
          </w:r>
          <w:r>
            <w:fldChar w:fldCharType="separate"/>
          </w:r>
          <w:r>
            <w:rPr>
              <w:rFonts w:ascii="Times New Roman" w:hAnsi="Times New Roman" w:eastAsia="黑体"/>
            </w:rPr>
            <w:t>八、一般公共预算财政拨款基本支出决算表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"_Toc5228_WPSOffice_Level2" </w:instrText>
          </w:r>
          <w:r>
            <w:fldChar w:fldCharType="separate"/>
          </w:r>
          <w:r>
            <w:rPr>
              <w:rFonts w:ascii="Times New Roman" w:hAnsi="Times New Roman" w:eastAsia="黑体"/>
            </w:rPr>
            <w:t>九、一般公共预算财政拨款项目支出决算表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"_Toc3186_WPSOffice_Level2" </w:instrText>
          </w:r>
          <w:r>
            <w:fldChar w:fldCharType="separate"/>
          </w:r>
          <w:r>
            <w:rPr>
              <w:rFonts w:ascii="Times New Roman" w:hAnsi="Times New Roman" w:eastAsia="黑体"/>
            </w:rPr>
            <w:t>十、一般公共预算财政拨款“三公”经费支出决算表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"_Toc8364_WPSOffice_Level2" </w:instrText>
          </w:r>
          <w:r>
            <w:fldChar w:fldCharType="separate"/>
          </w:r>
          <w:r>
            <w:rPr>
              <w:rFonts w:ascii="Times New Roman" w:hAnsi="Times New Roman" w:eastAsia="黑体"/>
            </w:rPr>
            <w:t>十一、政府性基金预算财政拨款收入支出决算表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"_Toc18637_WPSOffice_Level2" </w:instrText>
          </w:r>
          <w:r>
            <w:fldChar w:fldCharType="separate"/>
          </w:r>
          <w:r>
            <w:rPr>
              <w:rFonts w:ascii="Times New Roman" w:hAnsi="Times New Roman" w:eastAsia="黑体"/>
            </w:rPr>
            <w:t>十二、政府性基金预算财政拨款“三公”经费支出决算表</w:t>
          </w:r>
          <w:r>
            <w:rPr>
              <w:rFonts w:ascii="Times New Roman" w:hAnsi="Times New Roman" w:eastAsia="黑体"/>
            </w:rPr>
            <w:fldChar w:fldCharType="end"/>
          </w:r>
        </w:p>
        <w:p>
          <w:pPr>
            <w:pStyle w:val="35"/>
            <w:tabs>
              <w:tab w:val="right" w:leader="dot" w:pos="8900"/>
            </w:tabs>
            <w:spacing w:line="360" w:lineRule="auto"/>
            <w:ind w:left="420"/>
            <w:rPr>
              <w:rFonts w:ascii="Times New Roman" w:hAnsi="Times New Roman" w:eastAsia="黑体"/>
            </w:rPr>
          </w:pPr>
          <w:r>
            <w:fldChar w:fldCharType="begin"/>
          </w:r>
          <w:r>
            <w:instrText xml:space="preserve"> HYPERLINK \l "_Toc21740_WPSOffice_Level2" </w:instrText>
          </w:r>
          <w:r>
            <w:fldChar w:fldCharType="separate"/>
          </w:r>
          <w:r>
            <w:rPr>
              <w:rFonts w:ascii="Times New Roman" w:hAnsi="Times New Roman" w:eastAsia="黑体"/>
            </w:rPr>
            <w:t>十三、国有资本经营预算支出决算表</w:t>
          </w:r>
          <w:r>
            <w:rPr>
              <w:rFonts w:ascii="Times New Roman" w:hAnsi="Times New Roman" w:eastAsia="黑体"/>
            </w:rPr>
            <w:fldChar w:fldCharType="end"/>
          </w:r>
        </w:p>
      </w:sdtContent>
    </w:sdt>
    <w:p>
      <w:pPr>
        <w:adjustRightInd w:val="0"/>
        <w:snapToGrid w:val="0"/>
        <w:spacing w:line="440" w:lineRule="exact"/>
        <w:jc w:val="left"/>
        <w:rPr>
          <w:rFonts w:eastAsia="仿宋"/>
          <w:color w:val="FF0000"/>
          <w:sz w:val="28"/>
          <w:szCs w:val="28"/>
        </w:rPr>
        <w:sectPr>
          <w:footerReference r:id="rId5" w:type="first"/>
          <w:footerReference r:id="rId3" w:type="default"/>
          <w:footerReference r:id="rId4" w:type="even"/>
          <w:pgSz w:w="11906" w:h="16838"/>
          <w:pgMar w:top="1985" w:right="1418" w:bottom="1814" w:left="1588" w:header="851" w:footer="992" w:gutter="0"/>
          <w:pgNumType w:start="1"/>
          <w:cols w:space="425" w:num="1"/>
          <w:titlePg/>
          <w:docGrid w:type="lines" w:linePitch="312" w:charSpace="0"/>
        </w:sectPr>
      </w:pPr>
    </w:p>
    <w:p>
      <w:pPr>
        <w:pStyle w:val="2"/>
        <w:keepNext w:val="0"/>
        <w:keepLines w:val="0"/>
        <w:spacing w:before="0" w:after="0" w:line="560" w:lineRule="exact"/>
        <w:jc w:val="center"/>
        <w:rPr>
          <w:rStyle w:val="27"/>
          <w:rFonts w:ascii="方正小标宋简体" w:eastAsia="方正小标宋简体"/>
          <w:b w:val="0"/>
          <w:bCs w:val="0"/>
        </w:rPr>
      </w:pPr>
      <w:bookmarkStart w:id="31" w:name="_Toc31872_WPSOffice_Level1"/>
      <w:bookmarkStart w:id="32" w:name="_Toc15377196"/>
      <w:bookmarkStart w:id="33" w:name="_Toc15396599"/>
      <w:r>
        <w:rPr>
          <w:rFonts w:hint="eastAsia" w:ascii="方正小标宋简体" w:hAnsi="黑体" w:eastAsia="方正小标宋简体"/>
        </w:rPr>
        <w:t xml:space="preserve">第一部分  </w:t>
      </w:r>
      <w:r>
        <w:rPr>
          <w:rStyle w:val="27"/>
          <w:rFonts w:hint="eastAsia" w:ascii="方正小标宋简体" w:hAnsi="黑体" w:eastAsia="方正小标宋简体"/>
          <w:b/>
          <w:bCs w:val="0"/>
        </w:rPr>
        <w:t>部门概况</w:t>
      </w:r>
      <w:bookmarkEnd w:id="31"/>
      <w:bookmarkStart w:id="34" w:name="_Toc15396600"/>
      <w:bookmarkStart w:id="35" w:name="_Toc15377197"/>
    </w:p>
    <w:p>
      <w:pPr>
        <w:pStyle w:val="2"/>
        <w:keepNext w:val="0"/>
        <w:keepLines w:val="0"/>
        <w:spacing w:before="0" w:after="0" w:line="560" w:lineRule="exact"/>
        <w:ind w:firstLine="880" w:firstLineChars="200"/>
        <w:rPr>
          <w:rFonts w:hAnsi="黑体" w:eastAsia="黑体"/>
          <w:b w:val="0"/>
          <w:color w:val="000000"/>
        </w:rPr>
      </w:pPr>
    </w:p>
    <w:p>
      <w:pPr>
        <w:pStyle w:val="2"/>
        <w:keepNext w:val="0"/>
        <w:keepLines w:val="0"/>
        <w:spacing w:before="0" w:after="0" w:line="560" w:lineRule="exact"/>
        <w:ind w:firstLine="640" w:firstLineChars="200"/>
        <w:rPr>
          <w:rStyle w:val="28"/>
          <w:rFonts w:ascii="黑体" w:hAnsi="黑体" w:eastAsia="黑体" w:cs="Times New Roman"/>
          <w:b w:val="0"/>
          <w:bCs w:val="0"/>
          <w:kern w:val="44"/>
          <w:sz w:val="44"/>
          <w:szCs w:val="44"/>
        </w:rPr>
      </w:pPr>
      <w:bookmarkStart w:id="36" w:name="_Toc29272_WPSOffice_Level2"/>
      <w:r>
        <w:rPr>
          <w:rStyle w:val="28"/>
          <w:rFonts w:hint="eastAsia" w:ascii="黑体" w:hAnsi="黑体" w:eastAsia="黑体" w:cs="Times New Roman"/>
          <w:b w:val="0"/>
          <w:bCs w:val="0"/>
        </w:rPr>
        <w:t>一、</w:t>
      </w:r>
      <w:r>
        <w:rPr>
          <w:rStyle w:val="28"/>
          <w:rFonts w:ascii="黑体" w:hAnsi="黑体" w:eastAsia="黑体" w:cs="Times New Roman"/>
          <w:b w:val="0"/>
          <w:bCs w:val="0"/>
        </w:rPr>
        <w:t>基本职能及主要工作</w:t>
      </w:r>
      <w:bookmarkEnd w:id="34"/>
      <w:bookmarkEnd w:id="35"/>
      <w:bookmarkEnd w:id="36"/>
    </w:p>
    <w:p>
      <w:pPr>
        <w:snapToGrid w:val="0"/>
        <w:spacing w:line="560" w:lineRule="exact"/>
        <w:ind w:firstLine="619" w:firstLineChars="200"/>
        <w:rPr>
          <w:rFonts w:eastAsia="仿宋_GB2312"/>
          <w:color w:val="000000"/>
          <w:spacing w:val="-6"/>
          <w:sz w:val="32"/>
          <w:szCs w:val="32"/>
        </w:rPr>
      </w:pPr>
      <w:bookmarkStart w:id="37" w:name="_Toc15378445"/>
      <w:bookmarkStart w:id="38" w:name="_Toc15377198"/>
      <w:r>
        <w:rPr>
          <w:rFonts w:hint="eastAsia" w:ascii="楷体_GB2312" w:eastAsia="楷体_GB2312"/>
          <w:b/>
          <w:color w:val="000000"/>
          <w:spacing w:val="-6"/>
          <w:sz w:val="32"/>
          <w:szCs w:val="32"/>
        </w:rPr>
        <w:t>（一）主要职能。</w:t>
      </w:r>
      <w:bookmarkEnd w:id="37"/>
      <w:bookmarkEnd w:id="38"/>
      <w:bookmarkStart w:id="39" w:name="_Toc15377199"/>
      <w:bookmarkStart w:id="40" w:name="_Toc15378446"/>
      <w:r>
        <w:rPr>
          <w:rFonts w:eastAsia="仿宋_GB2312"/>
          <w:color w:val="000000"/>
          <w:spacing w:val="-6"/>
          <w:sz w:val="32"/>
          <w:szCs w:val="32"/>
        </w:rPr>
        <w:t>巴中市人民政府办公室（以下简称市政府办公室</w:t>
      </w:r>
      <w:r>
        <w:rPr>
          <w:rFonts w:hint="eastAsia" w:eastAsia="仿宋_GB2312"/>
          <w:color w:val="000000"/>
          <w:spacing w:val="-6"/>
          <w:sz w:val="32"/>
          <w:szCs w:val="32"/>
        </w:rPr>
        <w:t>）</w:t>
      </w:r>
      <w:r>
        <w:rPr>
          <w:rFonts w:eastAsia="仿宋_GB2312"/>
          <w:color w:val="000000"/>
          <w:spacing w:val="-6"/>
          <w:sz w:val="32"/>
          <w:szCs w:val="32"/>
        </w:rPr>
        <w:t>主要承担拟制、审核以市政府、市政府办公室名义发布的公文；承办市政府全体会议、常务会议、专题会议及其他全市性会议；围绕市委、市政府决策部署开展调查研究、提出建议、抓好落实；监督指导全市政府信息公开、电子政务及政府系统网站建设工作；负责全市民生、值班值守和依法行政工作。完成市委、市政府交办的其他工作。</w:t>
      </w:r>
    </w:p>
    <w:p>
      <w:pPr>
        <w:snapToGrid w:val="0"/>
        <w:spacing w:line="560" w:lineRule="exact"/>
        <w:ind w:firstLine="619" w:firstLineChars="200"/>
        <w:rPr>
          <w:rFonts w:eastAsia="仿宋_GB2312"/>
          <w:color w:val="000000"/>
          <w:spacing w:val="-6"/>
          <w:sz w:val="32"/>
          <w:szCs w:val="32"/>
        </w:rPr>
      </w:pPr>
      <w:r>
        <w:rPr>
          <w:rFonts w:ascii="楷体_GB2312" w:eastAsia="楷体_GB2312"/>
          <w:b/>
          <w:color w:val="000000"/>
          <w:spacing w:val="-6"/>
          <w:sz w:val="32"/>
          <w:szCs w:val="32"/>
        </w:rPr>
        <w:t>（二）2020年重点工作完成情况。</w:t>
      </w:r>
      <w:bookmarkEnd w:id="39"/>
      <w:bookmarkEnd w:id="40"/>
      <w:bookmarkStart w:id="41" w:name="_Toc15377200"/>
      <w:bookmarkStart w:id="42" w:name="_Toc15396601"/>
      <w:r>
        <w:rPr>
          <w:rFonts w:eastAsia="仿宋_GB2312"/>
          <w:color w:val="000000"/>
          <w:spacing w:val="-6"/>
          <w:sz w:val="32"/>
          <w:szCs w:val="32"/>
        </w:rPr>
        <w:t>2020年，在市委市政府坚强领导下，市政府办公室领导班子团结带领全体干部职工，坚定以习近平新时代中国特色社会主义思想为指导，认真落实中央和省委省政府、市委市政府决策部署，围绕中心大局强化担当、狠抓落实，全面完成年度目标任务，办公室公文处理、会务活动办理、电子政务等三项工作获得全省政府系统办公室先进等次，受到省政府办公厅通报表扬。一是聚力打好疫情防控人民战争。疫情防控取得重大成果，推动实现了1个月内初步遏制疫情蔓延，市内本土确诊病例增长控制在个位数，2020年3月14日全市确诊病例全部清零。二是聚力推进经济社会稳定恢复。筹办全省现代农业园区建设现场会、巴人文化艺术节、四川光雾山红叶节、市政府重点项目流动现场会等重大活动，为全市经济社会稳定恢复贡献了力量。三是聚力决胜脱贫攻坚。组织帮扶干部每月至少到户开展帮扶活动1次，加强问题排查，及时补足短板，消除返贫隐患，助推帮扶村顺利通过脱贫攻坚国家普查抽查验收。四是强化参谋辅政职能。累计报送政务信息360多条、专报150余篇，国办采用52条，得到领导综合性批示14条。五是强化政务服务职能。市、区县、乡镇（街道）的电子政务外网覆盖率保持100%，有效整合了各级各部门政务信息资源，充分让信息跑起来，让群众少跑路。六是强化督查督办职能。重点对经济运行、疫情防控、“八个一批”“四百计划”、民生实事等工作加强调度分析，有力推动了各项工作的落地落实。七是推进政治建设。全年未发生过重大网络意识形态安全、重大网络安全事件或重大网络舆情处置不力引发不良后果的事件。扎实做好市委第三巡察组巡察办公室反馈问题整改，对巡察反馈问题做到合格一个、销号一个。八是推进能力建设。选派机关干部到省级机关挂职学习、到基层一线实践锻炼；从各县</w:t>
      </w:r>
      <w:r>
        <w:rPr>
          <w:rFonts w:hint="eastAsia" w:eastAsia="仿宋_GB2312"/>
          <w:color w:val="000000"/>
          <w:spacing w:val="-6"/>
          <w:sz w:val="32"/>
          <w:szCs w:val="32"/>
        </w:rPr>
        <w:t>（</w:t>
      </w:r>
      <w:r>
        <w:rPr>
          <w:rFonts w:eastAsia="仿宋_GB2312"/>
          <w:color w:val="000000"/>
          <w:spacing w:val="-6"/>
          <w:sz w:val="32"/>
          <w:szCs w:val="32"/>
        </w:rPr>
        <w:t>区</w:t>
      </w:r>
      <w:r>
        <w:rPr>
          <w:rFonts w:hint="eastAsia" w:eastAsia="仿宋_GB2312"/>
          <w:color w:val="000000"/>
          <w:spacing w:val="-6"/>
          <w:sz w:val="32"/>
          <w:szCs w:val="32"/>
        </w:rPr>
        <w:t>）</w:t>
      </w:r>
      <w:r>
        <w:rPr>
          <w:rFonts w:eastAsia="仿宋_GB2312"/>
          <w:color w:val="000000"/>
          <w:spacing w:val="-6"/>
          <w:sz w:val="32"/>
          <w:szCs w:val="32"/>
        </w:rPr>
        <w:t>政府办公室和市级相关部门选派骨干人员到办公室跟班学习，做好“传帮带”。九是推进廉洁建设。带头遵规守纪，坚持民主集中制，坚持重要工作和重要事项及时向市委</w:t>
      </w:r>
      <w:r>
        <w:rPr>
          <w:rFonts w:hint="eastAsia" w:eastAsia="仿宋_GB2312"/>
          <w:color w:val="000000"/>
          <w:spacing w:val="-6"/>
          <w:sz w:val="32"/>
          <w:szCs w:val="32"/>
        </w:rPr>
        <w:t>、</w:t>
      </w:r>
      <w:r>
        <w:rPr>
          <w:rFonts w:eastAsia="仿宋_GB2312"/>
          <w:color w:val="000000"/>
          <w:spacing w:val="-6"/>
          <w:sz w:val="32"/>
          <w:szCs w:val="32"/>
        </w:rPr>
        <w:t>市政府主要领导和分管领导</w:t>
      </w:r>
      <w:r>
        <w:fldChar w:fldCharType="begin"/>
      </w:r>
      <w:r>
        <w:instrText xml:space="preserve"> HYPERLINK "http://www.xuexila.com/fanwen/qingshi/" \t "http://cache.baiducontent.com/_blank" </w:instrText>
      </w:r>
      <w:r>
        <w:fldChar w:fldCharType="separate"/>
      </w:r>
      <w:r>
        <w:rPr>
          <w:rFonts w:eastAsia="仿宋_GB2312"/>
          <w:color w:val="000000"/>
          <w:spacing w:val="-6"/>
          <w:sz w:val="32"/>
          <w:szCs w:val="32"/>
        </w:rPr>
        <w:t>请示</w:t>
      </w:r>
      <w:r>
        <w:rPr>
          <w:rFonts w:eastAsia="仿宋_GB2312"/>
          <w:color w:val="000000"/>
          <w:spacing w:val="-6"/>
          <w:sz w:val="32"/>
          <w:szCs w:val="32"/>
        </w:rPr>
        <w:fldChar w:fldCharType="end"/>
      </w:r>
      <w:r>
        <w:rPr>
          <w:rFonts w:eastAsia="仿宋_GB2312"/>
          <w:color w:val="000000"/>
          <w:spacing w:val="-6"/>
          <w:sz w:val="32"/>
          <w:szCs w:val="32"/>
        </w:rPr>
        <w:t>汇报，凡涉及本单位人员岗位调整、资金使用、后备干部推荐等重大问题重要情况的，一律提交党组会议集体讨论决定。</w:t>
      </w:r>
    </w:p>
    <w:p>
      <w:pPr>
        <w:pStyle w:val="3"/>
        <w:keepNext w:val="0"/>
        <w:keepLines w:val="0"/>
        <w:spacing w:before="0" w:after="0" w:line="560" w:lineRule="exact"/>
        <w:ind w:firstLine="640" w:firstLineChars="200"/>
        <w:rPr>
          <w:rStyle w:val="28"/>
          <w:rFonts w:ascii="Times New Roman" w:hAnsi="Times New Roman" w:eastAsia="黑体" w:cs="Times New Roman"/>
          <w:b w:val="0"/>
          <w:bCs w:val="0"/>
        </w:rPr>
      </w:pPr>
      <w:bookmarkStart w:id="43" w:name="_Toc15790_WPSOffice_Level2"/>
      <w:r>
        <w:rPr>
          <w:rStyle w:val="28"/>
          <w:rFonts w:ascii="Times New Roman" w:hAnsi="黑体" w:eastAsia="黑体" w:cs="Times New Roman"/>
          <w:b w:val="0"/>
          <w:bCs w:val="0"/>
        </w:rPr>
        <w:t>二、机构设置</w:t>
      </w:r>
      <w:bookmarkEnd w:id="41"/>
      <w:bookmarkEnd w:id="42"/>
      <w:bookmarkEnd w:id="43"/>
    </w:p>
    <w:p>
      <w:pPr>
        <w:pStyle w:val="3"/>
        <w:keepNext w:val="0"/>
        <w:keepLines w:val="0"/>
        <w:spacing w:before="0" w:after="0" w:line="560" w:lineRule="exact"/>
        <w:ind w:firstLine="640" w:firstLineChars="200"/>
        <w:rPr>
          <w:rFonts w:ascii="Times New Roman" w:hAnsi="Times New Roman" w:eastAsia="仿宋_GB2312" w:cs="Times New Roman"/>
          <w:b w:val="0"/>
          <w:bCs w:val="0"/>
          <w:color w:val="000000" w:themeColor="text1"/>
        </w:rPr>
      </w:pPr>
      <w:r>
        <w:rPr>
          <w:rFonts w:ascii="Times New Roman" w:hAnsi="Times New Roman" w:eastAsia="仿宋_GB2312" w:cs="Times New Roman"/>
          <w:b w:val="0"/>
          <w:bCs w:val="0"/>
          <w:color w:val="000000" w:themeColor="text1"/>
        </w:rPr>
        <w:t>市政府办公室内设14个科室、2个行政机构（研究室、信息公开办）及机关党委，下设3个事业单位（电子政务中心、应急指挥中心、民生工作服务中心）。</w:t>
      </w:r>
    </w:p>
    <w:bookmarkEnd w:id="32"/>
    <w:bookmarkEnd w:id="33"/>
    <w:p>
      <w:pPr>
        <w:pStyle w:val="2"/>
        <w:keepNext w:val="0"/>
        <w:keepLines w:val="0"/>
        <w:spacing w:line="700" w:lineRule="exact"/>
        <w:ind w:right="-57"/>
        <w:jc w:val="center"/>
      </w:pPr>
      <w:bookmarkStart w:id="44" w:name="_Toc29272_WPSOffice_Level1"/>
      <w:bookmarkStart w:id="45" w:name="_Toc15396602"/>
      <w:bookmarkStart w:id="46" w:name="_Toc15377204"/>
      <w:r>
        <w:rPr>
          <w:rFonts w:eastAsia="方正小标宋简体"/>
          <w:color w:val="000000"/>
        </w:rPr>
        <w:t xml:space="preserve">第二部分  </w:t>
      </w:r>
      <w:r>
        <w:rPr>
          <w:rStyle w:val="27"/>
          <w:rFonts w:eastAsia="方正小标宋简体"/>
          <w:b/>
          <w:bCs w:val="0"/>
        </w:rPr>
        <w:t>2020年度部门决算情况说明</w:t>
      </w:r>
      <w:bookmarkEnd w:id="44"/>
    </w:p>
    <w:p>
      <w:pPr>
        <w:pStyle w:val="26"/>
        <w:spacing w:line="560" w:lineRule="exact"/>
        <w:ind w:left="640" w:firstLine="0" w:firstLineChars="0"/>
        <w:outlineLvl w:val="1"/>
        <w:rPr>
          <w:rStyle w:val="28"/>
          <w:rFonts w:ascii="Times New Roman" w:hAnsi="Times New Roman" w:eastAsia="黑体" w:cs="Times New Roman"/>
          <w:b w:val="0"/>
        </w:rPr>
      </w:pPr>
      <w:bookmarkStart w:id="47" w:name="_Toc2553_WPSOffice_Level2"/>
      <w:r>
        <w:rPr>
          <w:rFonts w:eastAsia="黑体"/>
          <w:color w:val="000000"/>
          <w:sz w:val="32"/>
          <w:szCs w:val="32"/>
        </w:rPr>
        <w:t>一、收</w:t>
      </w:r>
      <w:r>
        <w:rPr>
          <w:rStyle w:val="28"/>
          <w:rFonts w:ascii="Times New Roman" w:hAnsi="Times New Roman" w:eastAsia="黑体" w:cs="Times New Roman"/>
          <w:b w:val="0"/>
        </w:rPr>
        <w:t>入支出决算总体情况说明</w:t>
      </w:r>
      <w:bookmarkEnd w:id="47"/>
    </w:p>
    <w:p>
      <w:pPr>
        <w:pStyle w:val="26"/>
        <w:spacing w:line="560" w:lineRule="exact"/>
        <w:ind w:firstLine="640"/>
        <w:outlineLvl w:val="1"/>
        <w:rPr>
          <w:rFonts w:eastAsia="仿宋_GB2312"/>
          <w:color w:val="000000"/>
          <w:spacing w:val="-6"/>
          <w:sz w:val="32"/>
          <w:szCs w:val="32"/>
          <w:highlight w:val="yellow"/>
        </w:rPr>
      </w:pPr>
      <w:r>
        <w:rPr>
          <w:rFonts w:eastAsia="仿宋_GB2312"/>
          <w:color w:val="000000"/>
          <w:sz w:val="32"/>
          <w:szCs w:val="32"/>
        </w:rPr>
        <w:t>2020年度收入总计2447.25万元。</w:t>
      </w:r>
      <w:r>
        <w:rPr>
          <w:rFonts w:eastAsia="仿宋_GB2312"/>
          <w:color w:val="000000"/>
          <w:spacing w:val="-6"/>
          <w:sz w:val="32"/>
          <w:szCs w:val="32"/>
        </w:rPr>
        <w:t>其中：年初结转和结余306.61万元，一般公共预算财政拨款收入2140.64万元。与2019年相比，收入总计减少501.49万元，下降17%。主要变动原因是2020年减少网络集约化平台建设项目经费及厉行节约压减经费。</w:t>
      </w:r>
    </w:p>
    <w:p>
      <w:pPr>
        <w:pStyle w:val="26"/>
        <w:spacing w:line="560" w:lineRule="exact"/>
        <w:ind w:firstLine="640"/>
        <w:outlineLvl w:val="1"/>
        <w:rPr>
          <w:rFonts w:eastAsia="仿宋_GB2312"/>
          <w:color w:val="000000"/>
          <w:spacing w:val="-6"/>
          <w:sz w:val="32"/>
          <w:szCs w:val="32"/>
          <w:highlight w:val="yellow"/>
        </w:rPr>
      </w:pPr>
      <w:r>
        <w:rPr>
          <w:rFonts w:eastAsia="仿宋_GB2312"/>
          <w:color w:val="000000"/>
          <w:sz w:val="32"/>
          <w:szCs w:val="32"/>
        </w:rPr>
        <w:t>2020年度支出总计2176.91万元。与2019年相比支出总计减少314.61万元，下降12.63%。主</w:t>
      </w:r>
      <w:r>
        <w:rPr>
          <w:rFonts w:eastAsia="仿宋_GB2312"/>
          <w:color w:val="000000"/>
          <w:spacing w:val="-6"/>
          <w:sz w:val="32"/>
          <w:szCs w:val="32"/>
        </w:rPr>
        <w:t>要变动原因是2020年减少网络集约化平台建设项目经费及厉行节约压减经费。</w:t>
      </w:r>
    </w:p>
    <w:p>
      <w:pPr>
        <w:jc w:val="center"/>
        <w:rPr>
          <w:rFonts w:eastAsia="仿宋_GB2312"/>
          <w:color w:val="000000"/>
          <w:sz w:val="32"/>
          <w:szCs w:val="32"/>
        </w:rPr>
      </w:pPr>
      <w:r>
        <w:rPr>
          <w:rFonts w:eastAsia="仿宋_GB2312"/>
          <w:color w:val="000000"/>
          <w:sz w:val="32"/>
          <w:szCs w:val="32"/>
        </w:rPr>
        <w:t>图1：收、支决算总计变动情况图</w:t>
      </w:r>
    </w:p>
    <w:p>
      <w:pPr>
        <w:jc w:val="center"/>
        <w:rPr>
          <w:rFonts w:eastAsia="仿宋_GB2312"/>
          <w:color w:val="000000"/>
          <w:sz w:val="32"/>
          <w:szCs w:val="32"/>
        </w:rPr>
      </w:pPr>
    </w:p>
    <w:p>
      <w:pPr>
        <w:jc w:val="center"/>
        <w:rPr>
          <w:rFonts w:eastAsia="仿宋_GB2312"/>
          <w:color w:val="000000"/>
          <w:sz w:val="32"/>
          <w:szCs w:val="32"/>
        </w:rPr>
      </w:pPr>
      <w:r>
        <w:drawing>
          <wp:inline distT="0" distB="0" distL="114300" distR="114300">
            <wp:extent cx="2982595" cy="2085975"/>
            <wp:effectExtent l="4445" t="4445" r="22860" b="5080"/>
            <wp:docPr id="13"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6"/>
        <w:spacing w:line="560" w:lineRule="exact"/>
        <w:ind w:firstLine="640"/>
        <w:outlineLvl w:val="1"/>
        <w:rPr>
          <w:rStyle w:val="28"/>
          <w:rFonts w:ascii="Times New Roman" w:hAnsi="Times New Roman" w:eastAsia="黑体" w:cs="Times New Roman"/>
          <w:b w:val="0"/>
        </w:rPr>
      </w:pPr>
      <w:bookmarkStart w:id="48" w:name="_Toc31714_WPSOffice_Level2"/>
      <w:r>
        <w:rPr>
          <w:rFonts w:eastAsia="黑体"/>
          <w:color w:val="000000"/>
          <w:sz w:val="32"/>
          <w:szCs w:val="32"/>
        </w:rPr>
        <w:t>二、收</w:t>
      </w:r>
      <w:r>
        <w:rPr>
          <w:rStyle w:val="28"/>
          <w:rFonts w:ascii="Times New Roman" w:hAnsi="Times New Roman" w:eastAsia="黑体" w:cs="Times New Roman"/>
          <w:b w:val="0"/>
        </w:rPr>
        <w:t>入决算情况说明</w:t>
      </w:r>
      <w:bookmarkEnd w:id="48"/>
    </w:p>
    <w:p>
      <w:pPr>
        <w:spacing w:line="560" w:lineRule="exact"/>
        <w:ind w:firstLine="640" w:firstLineChars="200"/>
        <w:outlineLvl w:val="1"/>
        <w:rPr>
          <w:rFonts w:eastAsia="仿宋"/>
          <w:color w:val="000000"/>
          <w:sz w:val="32"/>
          <w:szCs w:val="32"/>
        </w:rPr>
      </w:pPr>
      <w:r>
        <w:rPr>
          <w:rFonts w:eastAsia="仿宋_GB2312"/>
          <w:color w:val="000000"/>
          <w:sz w:val="32"/>
          <w:szCs w:val="32"/>
        </w:rPr>
        <w:t>2020年本年收入合计2140.64万元。其中：一般公共预算财政拨款收入2140.64万元，占100%；政府性基金预算财政拨款收入0万元；国有资本经营预算财政拨款收入0万元；事业收入0万元；附属单位上缴收入0万元。</w:t>
      </w:r>
    </w:p>
    <w:p>
      <w:pPr>
        <w:spacing w:line="600" w:lineRule="exact"/>
        <w:jc w:val="center"/>
        <w:rPr>
          <w:rFonts w:eastAsia="仿宋_GB2312"/>
          <w:color w:val="000000"/>
          <w:sz w:val="32"/>
          <w:szCs w:val="32"/>
        </w:rPr>
      </w:pPr>
      <w:r>
        <w:rPr>
          <w:rFonts w:eastAsia="仿宋_GB2312"/>
          <w:color w:val="000000"/>
          <w:sz w:val="32"/>
          <w:szCs w:val="32"/>
        </w:rPr>
        <w:t>图2：收入决算结构图</w:t>
      </w:r>
    </w:p>
    <w:p>
      <w:pPr>
        <w:spacing w:line="600" w:lineRule="exact"/>
        <w:jc w:val="center"/>
        <w:rPr>
          <w:rFonts w:eastAsia="仿宋_GB2312"/>
          <w:color w:val="000000"/>
          <w:sz w:val="32"/>
          <w:szCs w:val="32"/>
        </w:rPr>
      </w:pPr>
    </w:p>
    <w:p>
      <w:pPr>
        <w:jc w:val="center"/>
        <w:rPr>
          <w:rFonts w:eastAsia="仿宋_GB2312"/>
          <w:color w:val="000000"/>
          <w:sz w:val="32"/>
          <w:szCs w:val="32"/>
        </w:rPr>
      </w:pPr>
      <w:r>
        <w:drawing>
          <wp:inline distT="0" distB="0" distL="114300" distR="114300">
            <wp:extent cx="2982595" cy="2114550"/>
            <wp:effectExtent l="4445" t="4445" r="22860"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rFonts w:eastAsia="仿宋"/>
          <w:color w:val="000000"/>
          <w:sz w:val="32"/>
          <w:szCs w:val="32"/>
        </w:rPr>
        <w:drawing>
          <wp:anchor distT="0" distB="0" distL="0" distR="0" simplePos="0" relativeHeight="251658240" behindDoc="0" locked="0" layoutInCell="1" allowOverlap="1">
            <wp:simplePos x="0" y="0"/>
            <wp:positionH relativeFrom="column">
              <wp:posOffset>760730</wp:posOffset>
            </wp:positionH>
            <wp:positionV relativeFrom="paragraph">
              <wp:posOffset>-8289290</wp:posOffset>
            </wp:positionV>
            <wp:extent cx="3762375" cy="2514600"/>
            <wp:effectExtent l="19050" t="0" r="9525" b="0"/>
            <wp:wrapNone/>
            <wp:docPr id="5"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jc w:val="center"/>
        <w:rPr>
          <w:rFonts w:eastAsia="仿宋_GB2312"/>
          <w:color w:val="000000"/>
          <w:sz w:val="32"/>
          <w:szCs w:val="32"/>
        </w:rPr>
      </w:pPr>
    </w:p>
    <w:p>
      <w:pPr>
        <w:pStyle w:val="26"/>
        <w:spacing w:line="600" w:lineRule="exact"/>
        <w:ind w:firstLine="640"/>
        <w:outlineLvl w:val="1"/>
        <w:rPr>
          <w:rStyle w:val="28"/>
          <w:rFonts w:ascii="Times New Roman" w:hAnsi="Times New Roman" w:eastAsia="黑体" w:cs="Times New Roman"/>
          <w:b w:val="0"/>
          <w:bCs w:val="0"/>
          <w:color w:val="000000"/>
        </w:rPr>
      </w:pPr>
      <w:bookmarkStart w:id="49" w:name="_Toc15544_WPSOffice_Level2"/>
      <w:r>
        <w:rPr>
          <w:rFonts w:eastAsia="黑体"/>
          <w:color w:val="000000"/>
          <w:sz w:val="32"/>
          <w:szCs w:val="32"/>
        </w:rPr>
        <w:t>三、支</w:t>
      </w:r>
      <w:r>
        <w:rPr>
          <w:rStyle w:val="28"/>
          <w:rFonts w:ascii="Times New Roman" w:hAnsi="Times New Roman" w:eastAsia="黑体" w:cs="Times New Roman"/>
          <w:b w:val="0"/>
        </w:rPr>
        <w:t>出决算情况说明</w:t>
      </w:r>
      <w:bookmarkEnd w:id="49"/>
    </w:p>
    <w:p>
      <w:pPr>
        <w:spacing w:line="600" w:lineRule="exact"/>
        <w:ind w:firstLine="641"/>
        <w:rPr>
          <w:rFonts w:eastAsia="仿宋_GB2312"/>
          <w:color w:val="000000"/>
          <w:sz w:val="32"/>
          <w:szCs w:val="32"/>
        </w:rPr>
      </w:pPr>
      <w:r>
        <w:rPr>
          <w:rFonts w:eastAsia="仿宋_GB2312"/>
          <w:color w:val="000000"/>
          <w:sz w:val="32"/>
          <w:szCs w:val="32"/>
        </w:rPr>
        <w:t>2020年本年支出合计2176.91万元。其中：基本支出1560.63万元，占72%；项目支出616.28万元，占28%。</w:t>
      </w:r>
    </w:p>
    <w:p>
      <w:pPr>
        <w:spacing w:line="600" w:lineRule="exact"/>
        <w:jc w:val="center"/>
        <w:rPr>
          <w:rFonts w:eastAsia="仿宋_GB2312"/>
          <w:color w:val="000000"/>
          <w:sz w:val="32"/>
          <w:szCs w:val="32"/>
        </w:rPr>
      </w:pPr>
    </w:p>
    <w:p>
      <w:pPr>
        <w:spacing w:line="600" w:lineRule="exact"/>
        <w:jc w:val="center"/>
        <w:rPr>
          <w:rFonts w:eastAsia="仿宋_GB2312"/>
          <w:color w:val="000000"/>
          <w:sz w:val="32"/>
          <w:szCs w:val="32"/>
        </w:rPr>
      </w:pPr>
      <w:r>
        <w:rPr>
          <w:rFonts w:eastAsia="仿宋_GB2312"/>
          <w:color w:val="000000"/>
          <w:sz w:val="32"/>
          <w:szCs w:val="32"/>
        </w:rPr>
        <w:t>图3：支出决算结构图</w:t>
      </w:r>
    </w:p>
    <w:p>
      <w:pPr>
        <w:jc w:val="center"/>
        <w:rPr>
          <w:rFonts w:eastAsia="仿宋"/>
          <w:color w:val="000000"/>
          <w:sz w:val="32"/>
          <w:szCs w:val="32"/>
        </w:rPr>
      </w:pPr>
      <w:r>
        <w:drawing>
          <wp:inline distT="0" distB="0" distL="114300" distR="114300">
            <wp:extent cx="3242945" cy="2255520"/>
            <wp:effectExtent l="19050" t="0" r="14046" b="0"/>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eastAsia="仿宋"/>
          <w:color w:val="000000"/>
          <w:sz w:val="32"/>
          <w:szCs w:val="32"/>
        </w:rPr>
      </w:pPr>
    </w:p>
    <w:p>
      <w:pPr>
        <w:spacing w:line="580" w:lineRule="exact"/>
        <w:ind w:firstLine="641"/>
        <w:outlineLvl w:val="1"/>
        <w:rPr>
          <w:rStyle w:val="28"/>
          <w:rFonts w:ascii="Times New Roman" w:hAnsi="Times New Roman" w:eastAsia="黑体" w:cs="Times New Roman"/>
          <w:b w:val="0"/>
        </w:rPr>
      </w:pPr>
      <w:bookmarkStart w:id="50" w:name="_Toc9649_WPSOffice_Level2"/>
      <w:r>
        <w:rPr>
          <w:rFonts w:eastAsia="黑体"/>
          <w:color w:val="000000"/>
          <w:sz w:val="32"/>
          <w:szCs w:val="32"/>
        </w:rPr>
        <w:t>四、财</w:t>
      </w:r>
      <w:r>
        <w:rPr>
          <w:rStyle w:val="28"/>
          <w:rFonts w:ascii="Times New Roman" w:hAnsi="Times New Roman" w:eastAsia="黑体" w:cs="Times New Roman"/>
          <w:b w:val="0"/>
        </w:rPr>
        <w:t>政拨款收入支出决算总体情况说明</w:t>
      </w:r>
      <w:bookmarkEnd w:id="50"/>
    </w:p>
    <w:p>
      <w:pPr>
        <w:pStyle w:val="26"/>
        <w:spacing w:line="560" w:lineRule="exact"/>
        <w:ind w:firstLine="640"/>
        <w:outlineLvl w:val="1"/>
        <w:rPr>
          <w:rFonts w:eastAsia="仿宋_GB2312"/>
          <w:color w:val="000000"/>
          <w:spacing w:val="-6"/>
          <w:sz w:val="32"/>
          <w:szCs w:val="32"/>
          <w:highlight w:val="yellow"/>
        </w:rPr>
      </w:pPr>
      <w:r>
        <w:rPr>
          <w:rFonts w:eastAsia="仿宋_GB2312"/>
          <w:color w:val="000000"/>
          <w:sz w:val="32"/>
          <w:szCs w:val="32"/>
        </w:rPr>
        <w:t>2020年财政拨款收入总计2447.25万元。与2019年相比，财政拨款收入总计减少501.49万元，下降17%。主</w:t>
      </w:r>
      <w:r>
        <w:rPr>
          <w:rFonts w:eastAsia="仿宋_GB2312"/>
          <w:color w:val="000000"/>
          <w:spacing w:val="-6"/>
          <w:sz w:val="32"/>
          <w:szCs w:val="32"/>
        </w:rPr>
        <w:t>要变动原因是2020年减少网络集约化平台建设项目经费及厉行节约压减经费。</w:t>
      </w:r>
    </w:p>
    <w:p>
      <w:pPr>
        <w:pStyle w:val="26"/>
        <w:spacing w:line="560" w:lineRule="exact"/>
        <w:ind w:firstLine="640"/>
        <w:outlineLvl w:val="1"/>
        <w:rPr>
          <w:rFonts w:eastAsia="仿宋_GB2312"/>
          <w:color w:val="000000"/>
          <w:spacing w:val="-6"/>
          <w:sz w:val="32"/>
          <w:szCs w:val="32"/>
          <w:highlight w:val="yellow"/>
        </w:rPr>
      </w:pPr>
      <w:r>
        <w:rPr>
          <w:rFonts w:eastAsia="仿宋_GB2312"/>
          <w:color w:val="000000"/>
          <w:sz w:val="32"/>
          <w:szCs w:val="32"/>
        </w:rPr>
        <w:t>2020年财政拨款支出总计2176.91万元。其中：基本支出1560.63万元，占72%；项目支出616.28万元，占28%。与2019年相比，财政拨款支出总计减少314.61万元，下降12.63%。主</w:t>
      </w:r>
      <w:r>
        <w:rPr>
          <w:rFonts w:eastAsia="仿宋_GB2312"/>
          <w:color w:val="000000"/>
          <w:spacing w:val="-6"/>
          <w:sz w:val="32"/>
          <w:szCs w:val="32"/>
        </w:rPr>
        <w:t>要变动原因是2020年减少网络集约化平台建设项目经费及厉行节约压减经费。</w:t>
      </w:r>
    </w:p>
    <w:p>
      <w:pPr>
        <w:tabs>
          <w:tab w:val="left" w:pos="2520"/>
          <w:tab w:val="left" w:pos="6300"/>
          <w:tab w:val="left" w:pos="6480"/>
          <w:tab w:val="left" w:pos="6660"/>
        </w:tabs>
        <w:spacing w:line="600" w:lineRule="exact"/>
        <w:ind w:firstLine="960" w:firstLineChars="300"/>
        <w:rPr>
          <w:rFonts w:eastAsia="仿宋_GB2312"/>
          <w:color w:val="000000"/>
          <w:sz w:val="32"/>
          <w:szCs w:val="32"/>
        </w:rPr>
      </w:pPr>
      <w:r>
        <w:rPr>
          <w:rFonts w:eastAsia="仿宋_GB2312"/>
          <w:color w:val="000000"/>
          <w:sz w:val="32"/>
          <w:szCs w:val="32"/>
        </w:rPr>
        <w:t>图4：财政拨款收、支决算总计变动情况</w:t>
      </w:r>
    </w:p>
    <w:p>
      <w:pPr>
        <w:jc w:val="center"/>
        <w:rPr>
          <w:rFonts w:eastAsia="仿宋"/>
          <w:color w:val="000000"/>
          <w:sz w:val="32"/>
          <w:szCs w:val="32"/>
        </w:rPr>
      </w:pPr>
      <w:r>
        <w:drawing>
          <wp:inline distT="0" distB="0" distL="114300" distR="114300">
            <wp:extent cx="2933700" cy="2428875"/>
            <wp:effectExtent l="4445" t="5080" r="14605" b="4445"/>
            <wp:docPr id="1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outlineLvl w:val="1"/>
        <w:rPr>
          <w:rStyle w:val="28"/>
          <w:rFonts w:ascii="Times New Roman" w:hAnsi="Times New Roman" w:eastAsia="黑体" w:cs="Times New Roman"/>
          <w:b w:val="0"/>
        </w:rPr>
      </w:pPr>
      <w:bookmarkStart w:id="51" w:name="_Toc23240_WPSOffice_Level2"/>
      <w:r>
        <w:rPr>
          <w:rFonts w:eastAsia="黑体"/>
          <w:color w:val="000000"/>
          <w:sz w:val="32"/>
          <w:szCs w:val="32"/>
        </w:rPr>
        <w:t>五、</w:t>
      </w:r>
      <w:r>
        <w:rPr>
          <w:rFonts w:eastAsia="黑体"/>
          <w:b/>
          <w:color w:val="000000"/>
          <w:sz w:val="32"/>
          <w:szCs w:val="32"/>
        </w:rPr>
        <w:t>一</w:t>
      </w:r>
      <w:r>
        <w:rPr>
          <w:rStyle w:val="28"/>
          <w:rFonts w:ascii="Times New Roman" w:hAnsi="Times New Roman" w:eastAsia="黑体" w:cs="Times New Roman"/>
          <w:b w:val="0"/>
        </w:rPr>
        <w:t>般公共预算财政拨款支出决算情况说明</w:t>
      </w:r>
      <w:bookmarkEnd w:id="51"/>
    </w:p>
    <w:p>
      <w:pPr>
        <w:spacing w:line="600" w:lineRule="exact"/>
        <w:ind w:firstLine="643" w:firstLineChars="200"/>
        <w:outlineLvl w:val="2"/>
        <w:rPr>
          <w:rFonts w:eastAsia="楷体_GB2312"/>
          <w:b/>
          <w:color w:val="000000"/>
          <w:sz w:val="32"/>
          <w:szCs w:val="32"/>
        </w:rPr>
      </w:pPr>
      <w:r>
        <w:rPr>
          <w:rFonts w:eastAsia="楷体_GB2312"/>
          <w:b/>
          <w:color w:val="000000"/>
          <w:sz w:val="32"/>
          <w:szCs w:val="32"/>
        </w:rPr>
        <w:t>（一）一般公共预算财政拨款支出决算总体情况。</w:t>
      </w:r>
    </w:p>
    <w:p>
      <w:pPr>
        <w:pStyle w:val="26"/>
        <w:spacing w:line="560" w:lineRule="exact"/>
        <w:ind w:firstLine="640"/>
        <w:outlineLvl w:val="1"/>
        <w:rPr>
          <w:rFonts w:eastAsia="仿宋_GB2312"/>
          <w:color w:val="000000"/>
          <w:spacing w:val="-6"/>
          <w:sz w:val="32"/>
          <w:szCs w:val="32"/>
          <w:highlight w:val="yellow"/>
        </w:rPr>
      </w:pPr>
      <w:r>
        <w:rPr>
          <w:rFonts w:eastAsia="仿宋_GB2312"/>
          <w:color w:val="000000"/>
          <w:sz w:val="32"/>
          <w:szCs w:val="32"/>
        </w:rPr>
        <w:t>2020年一般公共预算财政拨款支出2176.91万元，占本年支出合计的100%。与2019年相比，一般公共预算财政拨款支出减少314.61万元，下降12.63%。主</w:t>
      </w:r>
      <w:r>
        <w:rPr>
          <w:rFonts w:eastAsia="仿宋_GB2312"/>
          <w:color w:val="000000"/>
          <w:spacing w:val="-6"/>
          <w:sz w:val="32"/>
          <w:szCs w:val="32"/>
        </w:rPr>
        <w:t>要变动原因是2020年减少网络集约化平台建设项目经费及厉行节约压减经费。</w:t>
      </w:r>
    </w:p>
    <w:p>
      <w:pPr>
        <w:ind w:firstLine="1280" w:firstLineChars="400"/>
        <w:rPr>
          <w:rFonts w:eastAsia="仿宋_GB2312"/>
          <w:color w:val="000000"/>
          <w:sz w:val="32"/>
          <w:szCs w:val="32"/>
        </w:rPr>
      </w:pPr>
      <w:r>
        <w:rPr>
          <w:rFonts w:eastAsia="仿宋_GB2312"/>
          <w:color w:val="000000"/>
          <w:sz w:val="32"/>
          <w:szCs w:val="32"/>
        </w:rPr>
        <w:t>图5：一般公共预算财政拨款支出决算变动情况</w:t>
      </w:r>
    </w:p>
    <w:p>
      <w:pPr>
        <w:jc w:val="center"/>
        <w:rPr>
          <w:rFonts w:eastAsia="仿宋_GB2312"/>
          <w:color w:val="000000"/>
          <w:sz w:val="32"/>
          <w:szCs w:val="32"/>
        </w:rPr>
      </w:pPr>
      <w:r>
        <w:drawing>
          <wp:inline distT="0" distB="0" distL="114300" distR="114300">
            <wp:extent cx="2696210" cy="2629535"/>
            <wp:effectExtent l="4445" t="4445" r="23495" b="13970"/>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center"/>
        <w:rPr>
          <w:rFonts w:eastAsia="仿宋_GB2312"/>
          <w:color w:val="000000"/>
          <w:sz w:val="32"/>
          <w:szCs w:val="32"/>
        </w:rPr>
      </w:pPr>
    </w:p>
    <w:p>
      <w:pPr>
        <w:spacing w:line="560" w:lineRule="exact"/>
        <w:ind w:firstLine="614" w:firstLineChars="191"/>
        <w:outlineLvl w:val="2"/>
        <w:rPr>
          <w:rFonts w:eastAsia="楷体_GB2312"/>
          <w:b/>
          <w:color w:val="000000"/>
          <w:sz w:val="32"/>
          <w:szCs w:val="32"/>
        </w:rPr>
      </w:pPr>
      <w:r>
        <w:rPr>
          <w:rFonts w:eastAsia="楷体_GB2312"/>
          <w:b/>
          <w:color w:val="000000"/>
          <w:sz w:val="32"/>
          <w:szCs w:val="32"/>
        </w:rPr>
        <w:t>（二）一般公共预算财政拨款支出决算结构情况。</w:t>
      </w:r>
    </w:p>
    <w:p>
      <w:pPr>
        <w:spacing w:line="560" w:lineRule="exact"/>
        <w:ind w:firstLine="640"/>
        <w:rPr>
          <w:rFonts w:eastAsia="仿宋_GB2312"/>
          <w:color w:val="000000"/>
          <w:sz w:val="32"/>
          <w:szCs w:val="32"/>
        </w:rPr>
      </w:pPr>
      <w:r>
        <w:rPr>
          <w:rFonts w:eastAsia="仿宋_GB2312"/>
          <w:color w:val="000000"/>
          <w:sz w:val="32"/>
          <w:szCs w:val="32"/>
        </w:rPr>
        <w:t>2020年一般公共预算财政拨款支出2176.91万元，主要用于以下5个方面：一般公共服务（类）支出1904.42万元，占87%；教育支出（类）6.3万元；社会保障和就业（类）支出101.29万元，占5%；卫生健康（类）支出62.7万元，占3%；住房保障（类）支出102.19万元，占5%。</w:t>
      </w:r>
    </w:p>
    <w:p>
      <w:pPr>
        <w:spacing w:line="600" w:lineRule="exact"/>
        <w:jc w:val="center"/>
        <w:rPr>
          <w:rFonts w:eastAsia="仿宋_GB2312"/>
          <w:color w:val="000000"/>
          <w:sz w:val="32"/>
          <w:szCs w:val="32"/>
        </w:rPr>
      </w:pPr>
      <w:r>
        <w:rPr>
          <w:rFonts w:eastAsia="仿宋_GB2312"/>
          <w:color w:val="000000"/>
          <w:sz w:val="32"/>
          <w:szCs w:val="32"/>
        </w:rPr>
        <w:t>图6：一般公共预算财政拨款支出决算结构</w:t>
      </w:r>
    </w:p>
    <w:p>
      <w:pPr>
        <w:spacing w:line="600" w:lineRule="exact"/>
        <w:rPr>
          <w:rFonts w:eastAsia="仿宋_GB2312"/>
          <w:color w:val="000000"/>
          <w:sz w:val="32"/>
          <w:szCs w:val="32"/>
        </w:rPr>
      </w:pPr>
    </w:p>
    <w:p>
      <w:pPr>
        <w:spacing w:line="600" w:lineRule="exact"/>
        <w:rPr>
          <w:rFonts w:eastAsia="仿宋_GB2312"/>
          <w:color w:val="000000"/>
          <w:sz w:val="32"/>
          <w:szCs w:val="32"/>
        </w:rPr>
      </w:pPr>
    </w:p>
    <w:p>
      <w:pPr>
        <w:jc w:val="center"/>
        <w:rPr>
          <w:rFonts w:eastAsia="仿宋"/>
          <w:color w:val="000000"/>
          <w:sz w:val="32"/>
          <w:szCs w:val="32"/>
        </w:rPr>
      </w:pPr>
      <w:r>
        <w:drawing>
          <wp:inline distT="0" distB="0" distL="114300" distR="114300">
            <wp:extent cx="2774315" cy="2552700"/>
            <wp:effectExtent l="4445" t="4445" r="21590" b="1460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3" w:firstLineChars="200"/>
        <w:outlineLvl w:val="2"/>
        <w:rPr>
          <w:rFonts w:eastAsia="楷体_GB2312"/>
          <w:b/>
          <w:color w:val="000000"/>
          <w:sz w:val="32"/>
          <w:szCs w:val="32"/>
        </w:rPr>
      </w:pPr>
      <w:r>
        <w:rPr>
          <w:rFonts w:eastAsia="楷体_GB2312"/>
          <w:b/>
          <w:color w:val="000000"/>
          <w:sz w:val="32"/>
          <w:szCs w:val="32"/>
        </w:rPr>
        <w:t>（三）一般公共预算财政拨款支出决算具体情况。</w:t>
      </w:r>
    </w:p>
    <w:p>
      <w:pPr>
        <w:spacing w:line="560" w:lineRule="exact"/>
        <w:ind w:firstLine="640" w:firstLineChars="200"/>
        <w:outlineLvl w:val="2"/>
        <w:rPr>
          <w:rFonts w:eastAsia="仿宋_GB2312"/>
          <w:color w:val="FF0000"/>
          <w:sz w:val="32"/>
          <w:szCs w:val="32"/>
        </w:rPr>
      </w:pPr>
      <w:r>
        <w:rPr>
          <w:rFonts w:eastAsia="仿宋_GB2312"/>
          <w:color w:val="000000"/>
          <w:sz w:val="32"/>
          <w:szCs w:val="32"/>
        </w:rPr>
        <w:t>2020年一般公共预算支出决算数为2176.91万元，</w:t>
      </w:r>
      <w:r>
        <w:rPr>
          <w:rStyle w:val="17"/>
          <w:rFonts w:eastAsia="仿宋_GB2312"/>
          <w:b w:val="0"/>
          <w:bCs/>
          <w:color w:val="000000"/>
          <w:sz w:val="32"/>
          <w:szCs w:val="32"/>
        </w:rPr>
        <w:t>完成预算</w:t>
      </w:r>
      <w:r>
        <w:rPr>
          <w:rStyle w:val="17"/>
          <w:rFonts w:hint="eastAsia" w:eastAsia="仿宋_GB2312"/>
          <w:b w:val="0"/>
          <w:bCs/>
          <w:color w:val="000000"/>
          <w:sz w:val="32"/>
          <w:szCs w:val="32"/>
          <w:lang w:eastAsia="zh-CN"/>
        </w:rPr>
        <w:t>的</w:t>
      </w:r>
      <w:r>
        <w:rPr>
          <w:rStyle w:val="17"/>
          <w:rFonts w:eastAsia="仿宋_GB2312"/>
          <w:b w:val="0"/>
          <w:bCs/>
          <w:color w:val="000000"/>
          <w:sz w:val="32"/>
          <w:szCs w:val="32"/>
        </w:rPr>
        <w:t>88.95%。其中</w:t>
      </w:r>
      <w:r>
        <w:rPr>
          <w:rStyle w:val="17"/>
          <w:rFonts w:eastAsia="仿宋_GB2312"/>
          <w:b w:val="0"/>
          <w:color w:val="000000"/>
          <w:sz w:val="32"/>
          <w:szCs w:val="32"/>
        </w:rPr>
        <w:t>：</w:t>
      </w:r>
    </w:p>
    <w:p>
      <w:pPr>
        <w:spacing w:line="560" w:lineRule="exact"/>
        <w:ind w:firstLine="627" w:firstLineChars="196"/>
        <w:rPr>
          <w:rStyle w:val="17"/>
          <w:rFonts w:eastAsia="仿宋_GB2312"/>
          <w:b w:val="0"/>
          <w:color w:val="000000"/>
          <w:sz w:val="32"/>
          <w:szCs w:val="32"/>
        </w:rPr>
      </w:pPr>
      <w:r>
        <w:rPr>
          <w:rStyle w:val="17"/>
          <w:rFonts w:eastAsia="仿宋_GB2312"/>
          <w:b w:val="0"/>
          <w:color w:val="000000"/>
          <w:sz w:val="32"/>
          <w:szCs w:val="32"/>
        </w:rPr>
        <w:t>1.一般公共服务（类）政府办公厅（室）及相关机构事务（款）行政运行（项）：支出决算为1256.55万元，完成预算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99.22%。</w:t>
      </w:r>
    </w:p>
    <w:p>
      <w:pPr>
        <w:spacing w:line="560" w:lineRule="exact"/>
        <w:ind w:firstLine="627" w:firstLineChars="196"/>
        <w:rPr>
          <w:rStyle w:val="17"/>
          <w:rFonts w:eastAsia="仿宋_GB2312"/>
          <w:b w:val="0"/>
          <w:color w:val="000000"/>
          <w:sz w:val="32"/>
          <w:szCs w:val="32"/>
        </w:rPr>
      </w:pPr>
      <w:r>
        <w:rPr>
          <w:rStyle w:val="17"/>
          <w:rFonts w:eastAsia="仿宋_GB2312"/>
          <w:b w:val="0"/>
          <w:color w:val="000000"/>
          <w:sz w:val="32"/>
          <w:szCs w:val="32"/>
        </w:rPr>
        <w:t>2.一般公共服务（类）政府办公厅（室）及相关机构事务（款）一般行政管理事务（项）：支出决算为388.38万元，完成预算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80%。</w:t>
      </w:r>
    </w:p>
    <w:p>
      <w:pPr>
        <w:spacing w:line="560" w:lineRule="exact"/>
        <w:ind w:firstLine="627" w:firstLineChars="196"/>
        <w:rPr>
          <w:rFonts w:eastAsia="仿宋_GB2312"/>
          <w:b/>
          <w:color w:val="000000"/>
          <w:sz w:val="32"/>
          <w:szCs w:val="32"/>
        </w:rPr>
      </w:pPr>
      <w:r>
        <w:rPr>
          <w:rStyle w:val="17"/>
          <w:rFonts w:eastAsia="仿宋_GB2312"/>
          <w:b w:val="0"/>
          <w:color w:val="000000"/>
          <w:sz w:val="32"/>
          <w:szCs w:val="32"/>
        </w:rPr>
        <w:t>3.一般公共服务（类）政府办公厅（室）及相关机构事务（款）事业运行（项）:支出决算为37.89万元，完成预算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99.45%。</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4.一般公共服务（类）政府办公厅（室）及相关机构事务（款）其他政府办公厅（室）及相关机构事务（项）: 支出决算为221.6万元，完成预算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66.15%</w:t>
      </w:r>
      <w:r>
        <w:rPr>
          <w:rStyle w:val="17"/>
          <w:rFonts w:hint="eastAsia" w:eastAsia="仿宋_GB2312"/>
          <w:b w:val="0"/>
          <w:color w:val="000000"/>
          <w:sz w:val="32"/>
          <w:szCs w:val="32"/>
          <w:lang w:eastAsia="zh-CN"/>
        </w:rPr>
        <w:t>。</w:t>
      </w:r>
      <w:bookmarkStart w:id="106" w:name="_GoBack"/>
      <w:bookmarkEnd w:id="106"/>
      <w:r>
        <w:rPr>
          <w:rStyle w:val="17"/>
          <w:rFonts w:eastAsia="仿宋_GB2312"/>
          <w:b w:val="0"/>
          <w:color w:val="000000"/>
          <w:sz w:val="32"/>
          <w:szCs w:val="32"/>
        </w:rPr>
        <w:t>决算数小于预算数的主要原因是年末追加的项目经费未能及时支付。</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5.教育支出（类）进修及培训（款）干部教育（项）:支出决算为6.3万元，完成预</w:t>
      </w:r>
      <w:r>
        <w:rPr>
          <w:rStyle w:val="17"/>
          <w:rFonts w:hint="eastAsia" w:eastAsia="仿宋_GB2312"/>
          <w:b w:val="0"/>
          <w:color w:val="000000"/>
          <w:sz w:val="32"/>
          <w:szCs w:val="32"/>
          <w:lang w:eastAsia="zh-CN"/>
        </w:rPr>
        <w:t>算的</w:t>
      </w:r>
      <w:r>
        <w:rPr>
          <w:rStyle w:val="17"/>
          <w:rFonts w:eastAsia="仿宋_GB2312"/>
          <w:b w:val="0"/>
          <w:color w:val="000000"/>
          <w:sz w:val="32"/>
          <w:szCs w:val="32"/>
        </w:rPr>
        <w:t>100% 。</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6.社会保障和就业（类）行政事业单位养老支出（款）机关事业单位基本养老保险缴费（项）：支出决算为93.08万元，完成预算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98.9%。</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7.社会保障和就业（类）行政事业单位养老支出（款）行政单位离退休（项）：支出决算为5.34万元，完成预算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100%。</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8.社会保障和就业（类）行政事业单位养老支出（款）其他行政事业单位养老（项）：支出决算为2.1万元，完成预算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65.63%。</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9.社会保障和就业（类）抚恤（款）死亡抚恤（项）：支出决算为0.78万元，完成预算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86.87%。</w:t>
      </w:r>
    </w:p>
    <w:p>
      <w:pPr>
        <w:spacing w:line="560" w:lineRule="exact"/>
        <w:ind w:firstLine="640" w:firstLineChars="200"/>
        <w:rPr>
          <w:rStyle w:val="17"/>
        </w:rPr>
      </w:pPr>
      <w:r>
        <w:rPr>
          <w:rStyle w:val="17"/>
          <w:rFonts w:eastAsia="仿宋_GB2312"/>
          <w:b w:val="0"/>
          <w:color w:val="000000"/>
          <w:sz w:val="32"/>
          <w:szCs w:val="32"/>
        </w:rPr>
        <w:t>10.卫生健康（类）行政事业单位医疗（款）行政单位医疗（项）：支出决算为44.4万元，完成预算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99.48%。</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11. 卫生健康（类）行政事业单位医疗（款）事业单位医疗（项）：支出决算为9.3万元，完成预算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100%。</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12. 卫生健康（类）行政事业单位医疗（款）公务员医疗补助（项）：支出决算为9万元，完成预算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100%。</w:t>
      </w:r>
    </w:p>
    <w:p>
      <w:pPr>
        <w:spacing w:line="560" w:lineRule="exact"/>
        <w:ind w:firstLine="640" w:firstLineChars="200"/>
        <w:rPr>
          <w:rFonts w:eastAsia="仿宋_GB2312"/>
          <w:b/>
          <w:color w:val="000000"/>
          <w:sz w:val="32"/>
          <w:szCs w:val="32"/>
        </w:rPr>
      </w:pPr>
      <w:r>
        <w:rPr>
          <w:rStyle w:val="17"/>
          <w:rFonts w:eastAsia="仿宋_GB2312"/>
          <w:b w:val="0"/>
          <w:color w:val="000000"/>
          <w:sz w:val="32"/>
          <w:szCs w:val="32"/>
        </w:rPr>
        <w:t>13.住房保障（类）住房改革（款）住房公积金（项）：支出决算为102.19万元，完成预算</w:t>
      </w:r>
      <w:r>
        <w:rPr>
          <w:rStyle w:val="17"/>
          <w:rFonts w:hint="eastAsia" w:eastAsia="仿宋_GB2312"/>
          <w:b w:val="0"/>
          <w:color w:val="000000"/>
          <w:sz w:val="32"/>
          <w:szCs w:val="32"/>
          <w:lang w:eastAsia="zh-CN"/>
        </w:rPr>
        <w:t>的</w:t>
      </w:r>
      <w:r>
        <w:rPr>
          <w:rStyle w:val="17"/>
          <w:rFonts w:eastAsia="仿宋_GB2312"/>
          <w:b w:val="0"/>
          <w:color w:val="000000"/>
          <w:sz w:val="32"/>
          <w:szCs w:val="32"/>
        </w:rPr>
        <w:t>97.57%。</w:t>
      </w:r>
    </w:p>
    <w:p>
      <w:pPr>
        <w:tabs>
          <w:tab w:val="right" w:pos="8306"/>
        </w:tabs>
        <w:spacing w:line="560" w:lineRule="exact"/>
        <w:ind w:firstLine="640"/>
        <w:outlineLvl w:val="1"/>
        <w:rPr>
          <w:rStyle w:val="28"/>
          <w:rFonts w:ascii="Times New Roman" w:hAnsi="Times New Roman" w:cs="Times New Roman"/>
        </w:rPr>
      </w:pPr>
      <w:bookmarkStart w:id="52" w:name="_Toc21550_WPSOffice_Level2"/>
      <w:r>
        <w:rPr>
          <w:rFonts w:eastAsia="黑体"/>
          <w:color w:val="000000"/>
          <w:sz w:val="32"/>
          <w:szCs w:val="32"/>
        </w:rPr>
        <w:t>六</w:t>
      </w:r>
      <w:r>
        <w:rPr>
          <w:rFonts w:eastAsia="黑体"/>
          <w:b/>
          <w:color w:val="000000"/>
          <w:sz w:val="32"/>
          <w:szCs w:val="32"/>
        </w:rPr>
        <w:t>、一</w:t>
      </w:r>
      <w:r>
        <w:rPr>
          <w:rStyle w:val="28"/>
          <w:rFonts w:ascii="Times New Roman" w:hAnsi="Times New Roman" w:eastAsia="黑体" w:cs="Times New Roman"/>
          <w:b w:val="0"/>
        </w:rPr>
        <w:t>般公共预算财政拨款基本支出决算情况说明</w:t>
      </w:r>
      <w:bookmarkEnd w:id="52"/>
      <w:r>
        <w:rPr>
          <w:rStyle w:val="28"/>
          <w:rFonts w:ascii="Times New Roman" w:hAnsi="Times New Roman" w:eastAsia="黑体" w:cs="Times New Roman"/>
          <w:b w:val="0"/>
        </w:rPr>
        <w:tab/>
      </w:r>
    </w:p>
    <w:p>
      <w:pPr>
        <w:spacing w:line="560" w:lineRule="exact"/>
        <w:ind w:firstLine="645"/>
        <w:rPr>
          <w:rFonts w:eastAsia="仿宋_GB2312"/>
          <w:color w:val="000000"/>
          <w:sz w:val="32"/>
          <w:szCs w:val="32"/>
        </w:rPr>
      </w:pPr>
      <w:r>
        <w:rPr>
          <w:rFonts w:eastAsia="仿宋_GB2312"/>
          <w:color w:val="000000"/>
          <w:sz w:val="32"/>
          <w:szCs w:val="32"/>
        </w:rPr>
        <w:t>2020年一般公共预算财政拨款基本支出1560.63万元。其中：人员经费1228.42万元，主要包括：基本工资、津贴补贴、奖金、绩效工资、机关事业单位基本养老保险缴费、其他社会保障缴费、其他工资福利支出、抚恤金、生活补助、医疗费补助、奖励金、住房公积金、其他对个人和家庭的补助支出等。</w:t>
      </w:r>
      <w:r>
        <w:rPr>
          <w:rFonts w:eastAsia="仿宋_GB2312"/>
          <w:color w:val="000000"/>
          <w:sz w:val="32"/>
          <w:szCs w:val="32"/>
        </w:rPr>
        <w:br w:type="textWrapping"/>
      </w:r>
      <w:r>
        <w:rPr>
          <w:rFonts w:eastAsia="仿宋_GB2312"/>
          <w:color w:val="000000"/>
          <w:sz w:val="32"/>
          <w:szCs w:val="32"/>
        </w:rPr>
        <w:t>　　日常公用经费332.21万元，主要包括：办公费、邮电费、差旅费、维修（护）费、租赁费、会议费、培训费、劳务费、委托业务费、工会经费、福利费、公务用车运行维护费、其他交通费、其他商品和服务支出等。</w:t>
      </w:r>
    </w:p>
    <w:p>
      <w:pPr>
        <w:spacing w:line="560" w:lineRule="exact"/>
        <w:ind w:firstLine="641"/>
        <w:outlineLvl w:val="1"/>
        <w:rPr>
          <w:rStyle w:val="28"/>
          <w:rFonts w:ascii="Times New Roman" w:hAnsi="Times New Roman" w:eastAsia="黑体" w:cs="Times New Roman"/>
          <w:b w:val="0"/>
        </w:rPr>
      </w:pPr>
      <w:bookmarkStart w:id="53" w:name="_Toc9201_WPSOffice_Level2"/>
      <w:r>
        <w:rPr>
          <w:rFonts w:eastAsia="黑体"/>
          <w:color w:val="000000"/>
          <w:sz w:val="32"/>
          <w:szCs w:val="32"/>
        </w:rPr>
        <w:t>七、</w:t>
      </w:r>
      <w:r>
        <w:rPr>
          <w:rStyle w:val="28"/>
          <w:rFonts w:ascii="Times New Roman" w:hAnsi="Times New Roman" w:eastAsia="黑体" w:cs="Times New Roman"/>
        </w:rPr>
        <w:t>“</w:t>
      </w:r>
      <w:r>
        <w:rPr>
          <w:rStyle w:val="28"/>
          <w:rFonts w:ascii="Times New Roman" w:hAnsi="Times New Roman" w:eastAsia="黑体" w:cs="Times New Roman"/>
          <w:b w:val="0"/>
        </w:rPr>
        <w:t>三公”经费财政拨款支出决算情况说明</w:t>
      </w:r>
      <w:bookmarkEnd w:id="53"/>
    </w:p>
    <w:p>
      <w:pPr>
        <w:spacing w:line="560" w:lineRule="exact"/>
        <w:ind w:firstLine="641"/>
        <w:outlineLvl w:val="2"/>
        <w:rPr>
          <w:rFonts w:eastAsia="楷体_GB2312"/>
          <w:b/>
          <w:color w:val="000000"/>
          <w:sz w:val="32"/>
          <w:szCs w:val="32"/>
        </w:rPr>
      </w:pPr>
      <w:r>
        <w:rPr>
          <w:rFonts w:eastAsia="楷体_GB2312"/>
          <w:b/>
          <w:color w:val="000000"/>
          <w:sz w:val="32"/>
          <w:szCs w:val="32"/>
        </w:rPr>
        <w:t>（一）“三公”经费财政拨款支出决算总体情况说明。</w:t>
      </w:r>
    </w:p>
    <w:p>
      <w:pPr>
        <w:spacing w:line="560" w:lineRule="exact"/>
        <w:ind w:firstLine="641"/>
        <w:rPr>
          <w:rFonts w:eastAsia="仿宋_GB2312"/>
          <w:color w:val="000000"/>
          <w:sz w:val="32"/>
          <w:szCs w:val="32"/>
        </w:rPr>
      </w:pPr>
      <w:r>
        <w:rPr>
          <w:rFonts w:eastAsia="仿宋_GB2312"/>
          <w:color w:val="000000"/>
          <w:sz w:val="32"/>
          <w:szCs w:val="32"/>
        </w:rPr>
        <w:t>2020年 “三公”经费财政拨款支出决算为81.72万元，完成预算</w:t>
      </w:r>
      <w:r>
        <w:rPr>
          <w:rFonts w:hint="eastAsia" w:eastAsia="仿宋_GB2312"/>
          <w:color w:val="000000"/>
          <w:sz w:val="32"/>
          <w:szCs w:val="32"/>
          <w:lang w:eastAsia="zh-CN"/>
        </w:rPr>
        <w:t>的</w:t>
      </w:r>
      <w:r>
        <w:rPr>
          <w:rFonts w:eastAsia="仿宋_GB2312"/>
          <w:color w:val="000000"/>
          <w:sz w:val="32"/>
          <w:szCs w:val="32"/>
        </w:rPr>
        <w:t>95.36%，决算数小于预算数的主要原因是严格执行各项规定，压减开支。</w:t>
      </w:r>
    </w:p>
    <w:p>
      <w:pPr>
        <w:spacing w:line="560" w:lineRule="exact"/>
        <w:ind w:firstLine="641"/>
        <w:outlineLvl w:val="2"/>
        <w:rPr>
          <w:rFonts w:eastAsia="楷体_GB2312"/>
          <w:b/>
          <w:color w:val="000000"/>
          <w:sz w:val="32"/>
          <w:szCs w:val="32"/>
        </w:rPr>
      </w:pPr>
      <w:r>
        <w:rPr>
          <w:rFonts w:eastAsia="楷体_GB2312"/>
          <w:b/>
          <w:color w:val="000000"/>
          <w:sz w:val="32"/>
          <w:szCs w:val="32"/>
        </w:rPr>
        <w:t>（二）“三公”经费财政拨款支出决算具体情况说明。</w:t>
      </w:r>
    </w:p>
    <w:p>
      <w:pPr>
        <w:spacing w:line="560" w:lineRule="exact"/>
        <w:ind w:firstLine="641"/>
        <w:rPr>
          <w:rFonts w:eastAsia="仿宋_GB2312"/>
          <w:color w:val="000000"/>
          <w:sz w:val="32"/>
          <w:szCs w:val="32"/>
        </w:rPr>
      </w:pPr>
      <w:r>
        <w:rPr>
          <w:rFonts w:eastAsia="仿宋_GB2312"/>
          <w:color w:val="000000"/>
          <w:sz w:val="32"/>
          <w:szCs w:val="32"/>
        </w:rPr>
        <w:t>2020年 “三公”经费财政拨款支出决算中，当年未安排因公出国（境）任务</w:t>
      </w:r>
      <w:r>
        <w:rPr>
          <w:rFonts w:hint="eastAsia" w:eastAsia="仿宋_GB2312"/>
          <w:color w:val="000000"/>
          <w:sz w:val="32"/>
          <w:szCs w:val="32"/>
          <w:lang w:eastAsia="zh-CN"/>
        </w:rPr>
        <w:t>，无费用产生；</w:t>
      </w:r>
      <w:r>
        <w:rPr>
          <w:rFonts w:eastAsia="仿宋_GB2312"/>
          <w:color w:val="000000"/>
          <w:sz w:val="32"/>
          <w:szCs w:val="32"/>
        </w:rPr>
        <w:t>公务接待费支出决算4.73万元，占6%;公务用车购置及运行维护费支出决算76.99万元，占94%。具体情况如下：</w:t>
      </w:r>
    </w:p>
    <w:p>
      <w:pPr>
        <w:spacing w:line="600" w:lineRule="exact"/>
        <w:ind w:firstLine="640"/>
        <w:jc w:val="center"/>
        <w:rPr>
          <w:rFonts w:eastAsia="仿宋_GB2312"/>
          <w:color w:val="000000"/>
          <w:sz w:val="32"/>
          <w:szCs w:val="32"/>
        </w:rPr>
      </w:pPr>
      <w:r>
        <w:rPr>
          <w:rFonts w:eastAsia="仿宋_GB2312"/>
          <w:color w:val="000000"/>
          <w:sz w:val="32"/>
          <w:szCs w:val="32"/>
        </w:rPr>
        <w:t>图7：“三公”经费财政拨款支出结构</w:t>
      </w:r>
    </w:p>
    <w:p>
      <w:pPr>
        <w:spacing w:line="600" w:lineRule="exact"/>
        <w:rPr>
          <w:rFonts w:eastAsia="仿宋_GB2312"/>
          <w:color w:val="000000"/>
          <w:sz w:val="32"/>
          <w:szCs w:val="32"/>
        </w:rPr>
      </w:pPr>
    </w:p>
    <w:p>
      <w:pPr>
        <w:spacing w:line="600" w:lineRule="exact"/>
        <w:ind w:firstLine="640"/>
        <w:jc w:val="center"/>
        <w:rPr>
          <w:rFonts w:eastAsia="仿宋_GB2312"/>
          <w:color w:val="000000"/>
          <w:sz w:val="32"/>
          <w:szCs w:val="32"/>
        </w:rPr>
      </w:pPr>
    </w:p>
    <w:p>
      <w:pPr>
        <w:spacing w:line="600" w:lineRule="exact"/>
        <w:ind w:firstLine="640"/>
        <w:jc w:val="center"/>
        <w:rPr>
          <w:rFonts w:eastAsia="仿宋_GB2312"/>
          <w:color w:val="000000"/>
          <w:sz w:val="32"/>
          <w:szCs w:val="32"/>
        </w:rPr>
      </w:pPr>
    </w:p>
    <w:p>
      <w:pPr>
        <w:spacing w:line="600" w:lineRule="exact"/>
        <w:ind w:firstLine="640"/>
        <w:jc w:val="center"/>
        <w:rPr>
          <w:rFonts w:eastAsia="仿宋_GB2312"/>
          <w:color w:val="000000"/>
          <w:sz w:val="32"/>
          <w:szCs w:val="32"/>
        </w:rPr>
      </w:pPr>
    </w:p>
    <w:p>
      <w:pPr>
        <w:jc w:val="center"/>
        <w:rPr>
          <w:rFonts w:eastAsia="仿宋"/>
          <w:color w:val="000000"/>
          <w:sz w:val="32"/>
          <w:szCs w:val="32"/>
        </w:rPr>
      </w:pPr>
      <w:r>
        <w:drawing>
          <wp:inline distT="0" distB="0" distL="114300" distR="114300">
            <wp:extent cx="2877185" cy="2724150"/>
            <wp:effectExtent l="4445" t="4445" r="13970"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560" w:lineRule="exact"/>
        <w:ind w:firstLine="640"/>
        <w:rPr>
          <w:rFonts w:eastAsia="仿宋_GB2312"/>
          <w:color w:val="000000"/>
          <w:sz w:val="32"/>
          <w:szCs w:val="32"/>
        </w:rPr>
      </w:pPr>
      <w:r>
        <w:rPr>
          <w:rFonts w:eastAsia="仿宋_GB2312"/>
          <w:b/>
          <w:color w:val="000000"/>
          <w:sz w:val="32"/>
          <w:szCs w:val="32"/>
        </w:rPr>
        <w:t>1.公务接待费支出</w:t>
      </w:r>
      <w:r>
        <w:rPr>
          <w:rFonts w:eastAsia="仿宋_GB2312"/>
          <w:color w:val="000000"/>
          <w:sz w:val="32"/>
          <w:szCs w:val="32"/>
        </w:rPr>
        <w:t>4.73万元，</w:t>
      </w:r>
      <w:r>
        <w:rPr>
          <w:rStyle w:val="17"/>
          <w:rFonts w:eastAsia="仿宋_GB2312"/>
          <w:b w:val="0"/>
          <w:bCs/>
          <w:color w:val="000000"/>
          <w:sz w:val="32"/>
          <w:szCs w:val="32"/>
        </w:rPr>
        <w:t>完成预算</w:t>
      </w:r>
      <w:r>
        <w:rPr>
          <w:rStyle w:val="17"/>
          <w:rFonts w:hint="eastAsia" w:eastAsia="仿宋_GB2312"/>
          <w:b w:val="0"/>
          <w:bCs/>
          <w:color w:val="000000"/>
          <w:sz w:val="32"/>
          <w:szCs w:val="32"/>
          <w:lang w:eastAsia="zh-CN"/>
        </w:rPr>
        <w:t>的</w:t>
      </w:r>
      <w:r>
        <w:rPr>
          <w:rStyle w:val="17"/>
          <w:rFonts w:eastAsia="仿宋_GB2312"/>
          <w:b w:val="0"/>
          <w:bCs/>
          <w:color w:val="000000"/>
          <w:sz w:val="32"/>
          <w:szCs w:val="32"/>
        </w:rPr>
        <w:t>54.37%。</w:t>
      </w:r>
      <w:r>
        <w:rPr>
          <w:rFonts w:eastAsia="仿宋_GB2312"/>
          <w:color w:val="000000"/>
          <w:sz w:val="32"/>
          <w:szCs w:val="32"/>
        </w:rPr>
        <w:t>公务接待费支出决算比2019年减少0.39万元，下降7.62%。主要原因是2020年接待人次较2019年减少。</w:t>
      </w:r>
    </w:p>
    <w:p>
      <w:pPr>
        <w:spacing w:line="600" w:lineRule="exact"/>
        <w:ind w:firstLine="640"/>
        <w:rPr>
          <w:rFonts w:eastAsia="仿宋_GB2312"/>
          <w:color w:val="000000"/>
          <w:sz w:val="32"/>
          <w:szCs w:val="32"/>
        </w:rPr>
      </w:pPr>
      <w:r>
        <w:rPr>
          <w:rFonts w:eastAsia="仿宋_GB2312"/>
          <w:color w:val="000000"/>
          <w:sz w:val="32"/>
          <w:szCs w:val="32"/>
        </w:rPr>
        <w:t>主要用于执行公务、开展业务活动开支的餐费等。国内公务接待24批次270余人次，共计支出4.73万元，具体内容包括：中央党史和文献研究院研究、国办调研、国企考察</w:t>
      </w:r>
      <w:r>
        <w:rPr>
          <w:rFonts w:hint="eastAsia" w:eastAsia="仿宋_GB2312"/>
          <w:color w:val="000000"/>
          <w:sz w:val="32"/>
          <w:szCs w:val="32"/>
        </w:rPr>
        <w:t>、</w:t>
      </w:r>
      <w:r>
        <w:rPr>
          <w:rFonts w:eastAsia="仿宋_GB2312"/>
          <w:color w:val="000000"/>
          <w:sz w:val="32"/>
          <w:szCs w:val="32"/>
        </w:rPr>
        <w:t>省政府督查、相关市（州）考察学习等。</w:t>
      </w:r>
    </w:p>
    <w:p>
      <w:pPr>
        <w:spacing w:line="600" w:lineRule="exact"/>
        <w:ind w:firstLine="640"/>
        <w:rPr>
          <w:rFonts w:eastAsia="仿宋_GB2312"/>
          <w:b/>
          <w:color w:val="000000"/>
          <w:sz w:val="32"/>
          <w:szCs w:val="32"/>
        </w:rPr>
      </w:pPr>
      <w:r>
        <w:rPr>
          <w:rFonts w:eastAsia="仿宋_GB2312"/>
          <w:b/>
          <w:color w:val="000000"/>
          <w:sz w:val="32"/>
          <w:szCs w:val="32"/>
        </w:rPr>
        <w:t>2.公务用车购置及运行维护费支出</w:t>
      </w:r>
      <w:r>
        <w:rPr>
          <w:rFonts w:eastAsia="仿宋_GB2312"/>
          <w:color w:val="000000"/>
          <w:sz w:val="32"/>
          <w:szCs w:val="32"/>
        </w:rPr>
        <w:t>76.99万元，</w:t>
      </w:r>
      <w:r>
        <w:rPr>
          <w:rStyle w:val="17"/>
          <w:rFonts w:eastAsia="仿宋_GB2312"/>
          <w:b w:val="0"/>
          <w:bCs/>
          <w:color w:val="000000"/>
          <w:sz w:val="32"/>
          <w:szCs w:val="32"/>
        </w:rPr>
        <w:t>完成预算</w:t>
      </w:r>
      <w:r>
        <w:rPr>
          <w:rStyle w:val="17"/>
          <w:rFonts w:hint="eastAsia" w:eastAsia="仿宋_GB2312"/>
          <w:b w:val="0"/>
          <w:bCs/>
          <w:color w:val="000000"/>
          <w:sz w:val="32"/>
          <w:szCs w:val="32"/>
          <w:lang w:eastAsia="zh-CN"/>
        </w:rPr>
        <w:t>的</w:t>
      </w:r>
      <w:r>
        <w:rPr>
          <w:rStyle w:val="17"/>
          <w:rFonts w:eastAsia="仿宋_GB2312"/>
          <w:b w:val="0"/>
          <w:bCs/>
          <w:color w:val="000000"/>
          <w:sz w:val="32"/>
          <w:szCs w:val="32"/>
        </w:rPr>
        <w:t>99.99%。</w:t>
      </w:r>
      <w:r>
        <w:rPr>
          <w:rFonts w:eastAsia="仿宋_GB2312"/>
          <w:color w:val="000000"/>
          <w:sz w:val="32"/>
          <w:szCs w:val="32"/>
        </w:rPr>
        <w:t>公务用车购置及运行维护费支出决算比2019年减少2.27万元，下降2.86%。主要原因是压减开支。</w:t>
      </w:r>
    </w:p>
    <w:p>
      <w:pPr>
        <w:spacing w:line="600" w:lineRule="exact"/>
        <w:ind w:firstLine="640" w:firstLineChars="200"/>
        <w:rPr>
          <w:rFonts w:eastAsia="仿宋_GB2312"/>
          <w:color w:val="000000"/>
          <w:sz w:val="32"/>
          <w:szCs w:val="32"/>
        </w:rPr>
      </w:pPr>
      <w:r>
        <w:rPr>
          <w:rFonts w:eastAsia="仿宋_GB2312"/>
          <w:color w:val="000000"/>
          <w:sz w:val="32"/>
          <w:szCs w:val="32"/>
        </w:rPr>
        <w:t>其中：</w:t>
      </w:r>
      <w:r>
        <w:rPr>
          <w:rFonts w:eastAsia="仿宋_GB2312"/>
          <w:b/>
          <w:color w:val="000000"/>
          <w:sz w:val="32"/>
          <w:szCs w:val="32"/>
        </w:rPr>
        <w:t>公务用车购置支出</w:t>
      </w:r>
      <w:r>
        <w:rPr>
          <w:rFonts w:eastAsia="仿宋_GB2312"/>
          <w:color w:val="000000"/>
          <w:sz w:val="32"/>
          <w:szCs w:val="32"/>
        </w:rPr>
        <w:t>0万元。截至2020年12月31日，单位共有公务用车10辆（轿车4辆、越野车6辆）。</w:t>
      </w:r>
    </w:p>
    <w:p>
      <w:pPr>
        <w:spacing w:line="600" w:lineRule="exact"/>
        <w:ind w:firstLine="643" w:firstLineChars="200"/>
        <w:rPr>
          <w:rFonts w:eastAsia="仿宋_GB2312"/>
          <w:color w:val="000000"/>
          <w:sz w:val="32"/>
          <w:szCs w:val="32"/>
        </w:rPr>
      </w:pPr>
      <w:r>
        <w:rPr>
          <w:rFonts w:eastAsia="仿宋_GB2312"/>
          <w:b/>
          <w:color w:val="000000"/>
          <w:sz w:val="32"/>
          <w:szCs w:val="32"/>
        </w:rPr>
        <w:t>公务用车运行维护费支出</w:t>
      </w:r>
      <w:r>
        <w:rPr>
          <w:rFonts w:eastAsia="仿宋_GB2312"/>
          <w:color w:val="000000"/>
          <w:sz w:val="32"/>
          <w:szCs w:val="32"/>
        </w:rPr>
        <w:t>76.99万元。主要用于开展脱贫攻坚、疫情防控、环保督</w:t>
      </w:r>
      <w:r>
        <w:rPr>
          <w:rFonts w:hint="eastAsia" w:eastAsia="仿宋_GB2312"/>
          <w:color w:val="000000"/>
          <w:sz w:val="32"/>
          <w:szCs w:val="32"/>
        </w:rPr>
        <w:t>察</w:t>
      </w:r>
      <w:r>
        <w:rPr>
          <w:rFonts w:eastAsia="仿宋_GB2312"/>
          <w:color w:val="000000"/>
          <w:sz w:val="32"/>
          <w:szCs w:val="32"/>
        </w:rPr>
        <w:t>、招商引资、对外交流、参加会议、工作调研等保障的公务用车燃料费、维修（护）费、过路过桥费、保险费等支出。</w:t>
      </w:r>
    </w:p>
    <w:p>
      <w:pPr>
        <w:spacing w:line="560" w:lineRule="exact"/>
        <w:ind w:firstLine="640" w:firstLineChars="200"/>
        <w:outlineLvl w:val="1"/>
        <w:rPr>
          <w:rStyle w:val="28"/>
          <w:rFonts w:ascii="Times New Roman" w:hAnsi="Times New Roman" w:eastAsia="黑体" w:cs="Times New Roman"/>
        </w:rPr>
      </w:pPr>
      <w:bookmarkStart w:id="54" w:name="_Toc12021_WPSOffice_Level2"/>
      <w:r>
        <w:rPr>
          <w:rFonts w:eastAsia="黑体"/>
          <w:color w:val="000000"/>
          <w:sz w:val="32"/>
          <w:szCs w:val="32"/>
        </w:rPr>
        <w:t>八、</w:t>
      </w:r>
      <w:r>
        <w:rPr>
          <w:rStyle w:val="28"/>
          <w:rFonts w:ascii="Times New Roman" w:hAnsi="Times New Roman" w:eastAsia="黑体" w:cs="Times New Roman"/>
          <w:b w:val="0"/>
        </w:rPr>
        <w:t>政府性基金预算支出决算情况说明</w:t>
      </w:r>
      <w:bookmarkEnd w:id="54"/>
    </w:p>
    <w:p>
      <w:pPr>
        <w:spacing w:line="560" w:lineRule="exact"/>
        <w:ind w:firstLine="640"/>
        <w:rPr>
          <w:rFonts w:eastAsia="仿宋_GB2312"/>
          <w:color w:val="000000"/>
          <w:sz w:val="32"/>
          <w:szCs w:val="32"/>
        </w:rPr>
      </w:pPr>
      <w:r>
        <w:rPr>
          <w:rFonts w:eastAsia="仿宋_GB2312"/>
          <w:color w:val="000000"/>
          <w:sz w:val="32"/>
          <w:szCs w:val="32"/>
        </w:rPr>
        <w:t>2020年政府性基金预算拨款支出0万元。</w:t>
      </w:r>
    </w:p>
    <w:p>
      <w:pPr>
        <w:spacing w:line="560" w:lineRule="exact"/>
        <w:ind w:firstLine="640"/>
        <w:rPr>
          <w:rStyle w:val="28"/>
          <w:rFonts w:ascii="Times New Roman" w:hAnsi="Times New Roman" w:eastAsia="黑体" w:cs="Times New Roman"/>
          <w:b w:val="0"/>
        </w:rPr>
      </w:pPr>
      <w:bookmarkStart w:id="55" w:name="_Toc21614_WPSOffice_Level2"/>
      <w:r>
        <w:rPr>
          <w:rStyle w:val="28"/>
          <w:rFonts w:ascii="Times New Roman" w:hAnsi="Times New Roman" w:eastAsia="黑体" w:cs="Times New Roman"/>
          <w:b w:val="0"/>
        </w:rPr>
        <w:t>九、国有资本经营预算支出决算情况说明</w:t>
      </w:r>
      <w:bookmarkEnd w:id="55"/>
    </w:p>
    <w:p>
      <w:pPr>
        <w:spacing w:line="560" w:lineRule="exact"/>
        <w:ind w:firstLine="640"/>
        <w:rPr>
          <w:rFonts w:eastAsia="仿宋_GB2312"/>
          <w:color w:val="000000"/>
          <w:sz w:val="32"/>
          <w:szCs w:val="32"/>
        </w:rPr>
      </w:pPr>
      <w:r>
        <w:rPr>
          <w:rFonts w:eastAsia="仿宋_GB2312"/>
          <w:color w:val="000000"/>
          <w:sz w:val="32"/>
          <w:szCs w:val="32"/>
        </w:rPr>
        <w:t>2020年国有资本经营预算拨款支出0万元。</w:t>
      </w:r>
      <w:bookmarkStart w:id="56" w:name="_Toc15396612"/>
      <w:bookmarkStart w:id="57" w:name="_Toc15377221"/>
      <w:bookmarkStart w:id="58" w:name="_Toc12326_WPSOffice_Level2"/>
    </w:p>
    <w:p>
      <w:pPr>
        <w:spacing w:line="560" w:lineRule="exact"/>
        <w:ind w:firstLine="640"/>
        <w:rPr>
          <w:rStyle w:val="28"/>
          <w:rFonts w:ascii="Times New Roman" w:hAnsi="Times New Roman" w:eastAsia="黑体" w:cs="Times New Roman"/>
        </w:rPr>
      </w:pPr>
      <w:r>
        <w:rPr>
          <w:rFonts w:hAnsi="黑体" w:eastAsia="黑体"/>
          <w:color w:val="000000"/>
          <w:sz w:val="32"/>
          <w:szCs w:val="32"/>
        </w:rPr>
        <w:t>十</w:t>
      </w:r>
      <w:r>
        <w:rPr>
          <w:rStyle w:val="28"/>
          <w:rFonts w:ascii="Times New Roman" w:hAnsi="黑体" w:eastAsia="黑体" w:cs="Times New Roman"/>
        </w:rPr>
        <w:t>、</w:t>
      </w:r>
      <w:r>
        <w:rPr>
          <w:rStyle w:val="28"/>
          <w:rFonts w:ascii="Times New Roman" w:hAnsi="黑体" w:eastAsia="黑体" w:cs="Times New Roman"/>
          <w:b w:val="0"/>
        </w:rPr>
        <w:t>其他重要事项的情况说明</w:t>
      </w:r>
      <w:bookmarkEnd w:id="56"/>
      <w:bookmarkEnd w:id="57"/>
      <w:bookmarkEnd w:id="58"/>
    </w:p>
    <w:p>
      <w:pPr>
        <w:spacing w:line="600" w:lineRule="exact"/>
        <w:ind w:firstLine="643" w:firstLineChars="200"/>
        <w:outlineLvl w:val="2"/>
        <w:rPr>
          <w:rFonts w:ascii="楷体_GB2312" w:eastAsia="楷体_GB2312"/>
          <w:color w:val="000000"/>
          <w:sz w:val="32"/>
          <w:szCs w:val="32"/>
        </w:rPr>
      </w:pPr>
      <w:bookmarkStart w:id="59" w:name="_Toc15377222"/>
      <w:r>
        <w:rPr>
          <w:rFonts w:hint="eastAsia" w:ascii="楷体_GB2312" w:hAnsi="仿宋" w:eastAsia="楷体_GB2312"/>
          <w:b/>
          <w:color w:val="000000"/>
          <w:sz w:val="32"/>
          <w:szCs w:val="32"/>
        </w:rPr>
        <w:t>（一）机关运行经费支出情况</w:t>
      </w:r>
      <w:bookmarkEnd w:id="59"/>
    </w:p>
    <w:p>
      <w:pPr>
        <w:spacing w:line="560" w:lineRule="exact"/>
        <w:ind w:firstLine="640" w:firstLineChars="200"/>
        <w:rPr>
          <w:rFonts w:eastAsia="方正仿宋_GBK"/>
          <w:sz w:val="32"/>
          <w:szCs w:val="32"/>
        </w:rPr>
      </w:pPr>
      <w:r>
        <w:rPr>
          <w:rFonts w:eastAsia="仿宋_GB2312"/>
          <w:color w:val="000000"/>
          <w:sz w:val="32"/>
          <w:szCs w:val="32"/>
        </w:rPr>
        <w:t>2020年，市政府办公室机关运行经费支出332.21万元，比2019年增加44.35万元，增长15.41%。主要原因是</w:t>
      </w:r>
      <w:r>
        <w:rPr>
          <w:rFonts w:eastAsia="方正仿宋_GBK"/>
          <w:sz w:val="32"/>
          <w:szCs w:val="32"/>
        </w:rPr>
        <w:t>人员增加而增加相关经费。</w:t>
      </w:r>
    </w:p>
    <w:p>
      <w:pPr>
        <w:spacing w:line="600" w:lineRule="exact"/>
        <w:ind w:firstLine="643" w:firstLineChars="200"/>
        <w:outlineLvl w:val="2"/>
        <w:rPr>
          <w:rFonts w:ascii="楷体_GB2312" w:hAnsi="仿宋" w:eastAsia="楷体_GB2312"/>
          <w:b/>
          <w:color w:val="000000"/>
          <w:sz w:val="32"/>
          <w:szCs w:val="32"/>
        </w:rPr>
      </w:pPr>
      <w:bookmarkStart w:id="60" w:name="_Toc15377223"/>
      <w:r>
        <w:rPr>
          <w:rFonts w:ascii="楷体_GB2312" w:hAnsi="仿宋" w:eastAsia="楷体_GB2312"/>
          <w:b/>
          <w:color w:val="000000"/>
          <w:sz w:val="32"/>
          <w:szCs w:val="32"/>
        </w:rPr>
        <w:t>（二）政府采购支出情况</w:t>
      </w:r>
      <w:bookmarkEnd w:id="60"/>
    </w:p>
    <w:p>
      <w:pPr>
        <w:spacing w:line="600" w:lineRule="exact"/>
        <w:ind w:firstLine="640" w:firstLineChars="200"/>
        <w:rPr>
          <w:rFonts w:eastAsia="仿宋_GB2312"/>
          <w:color w:val="000000"/>
          <w:sz w:val="32"/>
          <w:szCs w:val="32"/>
        </w:rPr>
      </w:pPr>
      <w:r>
        <w:rPr>
          <w:rFonts w:eastAsia="仿宋_GB2312"/>
          <w:color w:val="000000"/>
          <w:sz w:val="32"/>
          <w:szCs w:val="32"/>
        </w:rPr>
        <w:t>2020年，市政府办公室采购支出总额36.32万元，其中：政府采购货物支出16.83万元、采购服务支出19.49万元。主要用于市政府集约化网站群及政务新媒体云监管支出。</w:t>
      </w:r>
    </w:p>
    <w:p>
      <w:pPr>
        <w:autoSpaceDE w:val="0"/>
        <w:autoSpaceDN w:val="0"/>
        <w:adjustRightInd w:val="0"/>
        <w:spacing w:line="600" w:lineRule="exact"/>
        <w:ind w:firstLine="643" w:firstLineChars="200"/>
        <w:jc w:val="left"/>
        <w:outlineLvl w:val="2"/>
        <w:rPr>
          <w:rFonts w:ascii="楷体_GB2312" w:eastAsia="楷体_GB2312"/>
          <w:b/>
          <w:color w:val="000000"/>
          <w:sz w:val="32"/>
          <w:szCs w:val="32"/>
        </w:rPr>
      </w:pPr>
      <w:bookmarkStart w:id="61" w:name="_Toc15377224"/>
      <w:r>
        <w:rPr>
          <w:rFonts w:hint="eastAsia" w:ascii="楷体_GB2312" w:hAnsi="仿宋" w:eastAsia="楷体_GB2312"/>
          <w:b/>
          <w:color w:val="000000"/>
          <w:sz w:val="32"/>
          <w:szCs w:val="32"/>
        </w:rPr>
        <w:t>（三）国有资产占有使用情况</w:t>
      </w:r>
      <w:bookmarkEnd w:id="61"/>
    </w:p>
    <w:p>
      <w:pPr>
        <w:adjustRightInd w:val="0"/>
        <w:spacing w:line="560" w:lineRule="exact"/>
        <w:ind w:firstLine="640" w:firstLineChars="200"/>
        <w:jc w:val="left"/>
        <w:rPr>
          <w:rFonts w:eastAsia="仿宋_GB2312"/>
          <w:color w:val="000000"/>
          <w:sz w:val="32"/>
          <w:szCs w:val="32"/>
        </w:rPr>
      </w:pPr>
      <w:r>
        <w:rPr>
          <w:rFonts w:eastAsia="仿宋_GB2312"/>
          <w:color w:val="000000"/>
          <w:sz w:val="32"/>
          <w:szCs w:val="32"/>
        </w:rPr>
        <w:t>截至2020年12月31日，市政府办公室共有车辆10辆，均为一般公务用车。</w:t>
      </w:r>
    </w:p>
    <w:p>
      <w:pPr>
        <w:autoSpaceDE w:val="0"/>
        <w:autoSpaceDN w:val="0"/>
        <w:adjustRightInd w:val="0"/>
        <w:spacing w:line="600" w:lineRule="exact"/>
        <w:ind w:firstLine="643" w:firstLineChars="200"/>
        <w:jc w:val="left"/>
        <w:outlineLvl w:val="2"/>
        <w:rPr>
          <w:rFonts w:ascii="楷体_GB2312" w:eastAsia="楷体_GB2312"/>
          <w:b/>
          <w:color w:val="000000"/>
          <w:sz w:val="32"/>
          <w:szCs w:val="32"/>
        </w:rPr>
      </w:pPr>
      <w:r>
        <w:rPr>
          <w:rFonts w:hint="eastAsia" w:ascii="楷体_GB2312" w:hAnsi="仿宋" w:eastAsia="楷体_GB2312"/>
          <w:b/>
          <w:color w:val="000000"/>
          <w:sz w:val="32"/>
          <w:szCs w:val="32"/>
        </w:rPr>
        <w:t>（四）预算绩效管理情况。</w:t>
      </w:r>
    </w:p>
    <w:p>
      <w:pPr>
        <w:spacing w:line="580" w:lineRule="exact"/>
        <w:ind w:firstLine="640" w:firstLineChars="200"/>
        <w:rPr>
          <w:rFonts w:eastAsia="仿宋_GB2312"/>
          <w:color w:val="000000" w:themeColor="text1"/>
          <w:sz w:val="32"/>
          <w:szCs w:val="32"/>
        </w:rPr>
      </w:pPr>
      <w:r>
        <w:rPr>
          <w:rFonts w:hAnsi="仿宋_GB2312" w:eastAsia="仿宋_GB2312"/>
          <w:color w:val="000000" w:themeColor="text1"/>
          <w:sz w:val="32"/>
          <w:szCs w:val="32"/>
        </w:rPr>
        <w:t>根据预算绩效管理要求，本部门在年初预算编制阶段，组织对政务访谈（市长访谈）、政府公报印刷及邮寄、调研、总值班室值班、脱贫攻坚</w:t>
      </w:r>
      <w:r>
        <w:rPr>
          <w:rFonts w:eastAsia="仿宋_GB2312"/>
          <w:color w:val="000000" w:themeColor="text1"/>
          <w:sz w:val="32"/>
          <w:szCs w:val="32"/>
        </w:rPr>
        <w:t>5</w:t>
      </w:r>
      <w:r>
        <w:rPr>
          <w:rFonts w:hAnsi="仿宋_GB2312" w:eastAsia="仿宋_GB2312"/>
          <w:color w:val="000000" w:themeColor="text1"/>
          <w:sz w:val="32"/>
          <w:szCs w:val="32"/>
        </w:rPr>
        <w:t>个项目进行了预算事前绩效评估，对</w:t>
      </w:r>
      <w:r>
        <w:rPr>
          <w:rFonts w:hint="eastAsia" w:hAnsi="仿宋_GB2312" w:eastAsia="仿宋_GB2312"/>
          <w:color w:val="000000" w:themeColor="text1"/>
          <w:sz w:val="32"/>
          <w:szCs w:val="32"/>
        </w:rPr>
        <w:t>41</w:t>
      </w:r>
      <w:r>
        <w:rPr>
          <w:rFonts w:hAnsi="仿宋_GB2312" w:eastAsia="仿宋_GB2312"/>
          <w:color w:val="000000" w:themeColor="text1"/>
          <w:sz w:val="32"/>
          <w:szCs w:val="32"/>
        </w:rPr>
        <w:t>个项目编制了绩效目标，预算执行过程中，选取</w:t>
      </w:r>
      <w:r>
        <w:rPr>
          <w:rFonts w:eastAsia="仿宋_GB2312"/>
          <w:color w:val="000000" w:themeColor="text1"/>
          <w:sz w:val="32"/>
          <w:szCs w:val="32"/>
        </w:rPr>
        <w:t>5</w:t>
      </w:r>
      <w:r>
        <w:rPr>
          <w:rFonts w:hAnsi="仿宋_GB2312" w:eastAsia="仿宋_GB2312"/>
          <w:color w:val="000000" w:themeColor="text1"/>
          <w:sz w:val="32"/>
          <w:szCs w:val="32"/>
        </w:rPr>
        <w:t>个项目开展绩效监控，年终执行完毕后，对</w:t>
      </w:r>
      <w:r>
        <w:rPr>
          <w:rFonts w:eastAsia="仿宋_GB2312"/>
          <w:color w:val="000000" w:themeColor="text1"/>
          <w:sz w:val="32"/>
          <w:szCs w:val="32"/>
        </w:rPr>
        <w:t>5</w:t>
      </w:r>
      <w:r>
        <w:rPr>
          <w:rFonts w:hAnsi="仿宋_GB2312" w:eastAsia="仿宋_GB2312"/>
          <w:color w:val="000000" w:themeColor="text1"/>
          <w:sz w:val="32"/>
          <w:szCs w:val="32"/>
        </w:rPr>
        <w:t>个项目开展了绩效目标完成情况自评。</w:t>
      </w:r>
    </w:p>
    <w:p>
      <w:pPr>
        <w:spacing w:line="560" w:lineRule="exact"/>
        <w:ind w:firstLine="640" w:firstLineChars="200"/>
        <w:rPr>
          <w:rFonts w:eastAsia="仿宋_GB2312"/>
          <w:color w:val="FF0000"/>
          <w:sz w:val="32"/>
          <w:szCs w:val="32"/>
        </w:rPr>
      </w:pPr>
      <w:r>
        <w:rPr>
          <w:rFonts w:hAnsi="仿宋_GB2312" w:eastAsia="仿宋_GB2312"/>
          <w:sz w:val="32"/>
          <w:szCs w:val="32"/>
        </w:rPr>
        <w:t>本部门按要求对</w:t>
      </w:r>
      <w:r>
        <w:rPr>
          <w:rFonts w:eastAsia="仿宋_GB2312"/>
          <w:sz w:val="32"/>
          <w:szCs w:val="32"/>
        </w:rPr>
        <w:t>2020</w:t>
      </w:r>
      <w:r>
        <w:rPr>
          <w:rFonts w:hAnsi="仿宋_GB2312" w:eastAsia="仿宋_GB2312"/>
          <w:sz w:val="32"/>
          <w:szCs w:val="32"/>
        </w:rPr>
        <w:t>年部门整体支出开展绩效自评，从评价情况来看，所有项目均按照编制的预算绩效目标圆满完成各项指标。</w:t>
      </w:r>
    </w:p>
    <w:p>
      <w:pPr>
        <w:spacing w:line="560" w:lineRule="exact"/>
        <w:ind w:firstLine="640" w:firstLineChars="200"/>
        <w:rPr>
          <w:rFonts w:eastAsia="仿宋_GB2312"/>
          <w:sz w:val="32"/>
          <w:szCs w:val="32"/>
        </w:rPr>
      </w:pPr>
      <w:r>
        <w:rPr>
          <w:rFonts w:hAnsi="仿宋_GB2312" w:eastAsia="仿宋_GB2312"/>
          <w:sz w:val="32"/>
          <w:szCs w:val="32"/>
        </w:rPr>
        <w:t>本部门还自行组织了</w:t>
      </w:r>
      <w:r>
        <w:rPr>
          <w:rFonts w:eastAsia="仿宋_GB2312"/>
          <w:sz w:val="32"/>
          <w:szCs w:val="32"/>
        </w:rPr>
        <w:t>5</w:t>
      </w:r>
      <w:r>
        <w:rPr>
          <w:rFonts w:hAnsi="仿宋_GB2312" w:eastAsia="仿宋_GB2312"/>
          <w:sz w:val="32"/>
          <w:szCs w:val="32"/>
        </w:rPr>
        <w:t>个项目进行支出绩效评价，从评价情况看，</w:t>
      </w:r>
      <w:r>
        <w:rPr>
          <w:rFonts w:eastAsia="仿宋_GB2312"/>
          <w:sz w:val="32"/>
          <w:szCs w:val="32"/>
        </w:rPr>
        <w:t>5</w:t>
      </w:r>
      <w:r>
        <w:rPr>
          <w:rFonts w:hAnsi="仿宋_GB2312" w:eastAsia="仿宋_GB2312"/>
          <w:sz w:val="32"/>
          <w:szCs w:val="32"/>
        </w:rPr>
        <w:t>个项目均按照预算绩效目标完成各项指标。</w:t>
      </w:r>
    </w:p>
    <w:p>
      <w:pPr>
        <w:spacing w:line="560" w:lineRule="exact"/>
        <w:ind w:firstLine="640" w:firstLineChars="200"/>
        <w:rPr>
          <w:rFonts w:hAnsi="楷体_GB2312" w:eastAsia="楷体_GB2312"/>
          <w:sz w:val="32"/>
          <w:szCs w:val="32"/>
        </w:rPr>
      </w:pPr>
      <w:r>
        <w:rPr>
          <w:rFonts w:eastAsia="楷体_GB2312"/>
          <w:sz w:val="32"/>
          <w:szCs w:val="32"/>
        </w:rPr>
        <w:t>1.</w:t>
      </w:r>
      <w:r>
        <w:rPr>
          <w:rFonts w:hAnsi="楷体_GB2312" w:eastAsia="楷体_GB2312"/>
          <w:sz w:val="32"/>
          <w:szCs w:val="32"/>
        </w:rPr>
        <w:t>项目绩效目标完成情况。</w:t>
      </w:r>
    </w:p>
    <w:p>
      <w:pPr>
        <w:spacing w:line="560" w:lineRule="exact"/>
        <w:ind w:firstLine="640" w:firstLineChars="200"/>
        <w:rPr>
          <w:rFonts w:eastAsia="仿宋_GB2312"/>
          <w:sz w:val="32"/>
          <w:szCs w:val="32"/>
        </w:rPr>
      </w:pPr>
      <w:r>
        <w:rPr>
          <w:rFonts w:hAnsi="仿宋_GB2312" w:eastAsia="仿宋_GB2312"/>
          <w:sz w:val="32"/>
          <w:szCs w:val="32"/>
        </w:rPr>
        <w:t>本部门在</w:t>
      </w:r>
      <w:r>
        <w:rPr>
          <w:rFonts w:eastAsia="仿宋_GB2312"/>
          <w:sz w:val="32"/>
          <w:szCs w:val="32"/>
        </w:rPr>
        <w:t>2020</w:t>
      </w:r>
      <w:r>
        <w:rPr>
          <w:rFonts w:hAnsi="仿宋_GB2312" w:eastAsia="仿宋_GB2312"/>
          <w:sz w:val="32"/>
          <w:szCs w:val="32"/>
        </w:rPr>
        <w:t>年度部门决算中反映政务访谈（市长访谈）、政府公报印刷及邮寄、调研、总值班室值班、脱贫攻坚工作</w:t>
      </w:r>
      <w:r>
        <w:rPr>
          <w:rFonts w:eastAsia="仿宋_GB2312"/>
          <w:sz w:val="32"/>
          <w:szCs w:val="32"/>
        </w:rPr>
        <w:t>5</w:t>
      </w:r>
      <w:r>
        <w:rPr>
          <w:rFonts w:hAnsi="仿宋_GB2312" w:eastAsia="仿宋_GB2312"/>
          <w:sz w:val="32"/>
          <w:szCs w:val="32"/>
        </w:rPr>
        <w:t>个项目绩效目标实际完成情况。</w:t>
      </w:r>
    </w:p>
    <w:p>
      <w:pPr>
        <w:tabs>
          <w:tab w:val="left" w:pos="312"/>
        </w:tabs>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1</w:t>
      </w:r>
      <w:r>
        <w:rPr>
          <w:rFonts w:hAnsi="仿宋_GB2312" w:eastAsia="仿宋_GB2312"/>
          <w:sz w:val="32"/>
          <w:szCs w:val="32"/>
        </w:rPr>
        <w:t>）政务访谈（市长访谈）项目绩效目标完成情况综述。项目全年预算数</w:t>
      </w:r>
      <w:r>
        <w:rPr>
          <w:rFonts w:eastAsia="仿宋_GB2312"/>
          <w:sz w:val="32"/>
          <w:szCs w:val="32"/>
        </w:rPr>
        <w:t>20</w:t>
      </w:r>
      <w:r>
        <w:rPr>
          <w:rFonts w:hAnsi="仿宋_GB2312" w:eastAsia="仿宋_GB2312"/>
          <w:sz w:val="32"/>
          <w:szCs w:val="32"/>
        </w:rPr>
        <w:t>万元，执行数为</w:t>
      </w:r>
      <w:r>
        <w:rPr>
          <w:rFonts w:eastAsia="仿宋_GB2312"/>
          <w:sz w:val="32"/>
          <w:szCs w:val="32"/>
        </w:rPr>
        <w:t>20</w:t>
      </w:r>
      <w:r>
        <w:rPr>
          <w:rFonts w:hAnsi="仿宋_GB2312" w:eastAsia="仿宋_GB2312"/>
          <w:sz w:val="32"/>
          <w:szCs w:val="32"/>
        </w:rPr>
        <w:t>万元，完成预算的</w:t>
      </w:r>
      <w:r>
        <w:rPr>
          <w:rFonts w:eastAsia="仿宋_GB2312"/>
          <w:sz w:val="32"/>
          <w:szCs w:val="32"/>
        </w:rPr>
        <w:t>100%</w:t>
      </w:r>
      <w:r>
        <w:rPr>
          <w:rFonts w:hint="eastAsia" w:eastAsia="仿宋_GB2312"/>
          <w:sz w:val="32"/>
          <w:szCs w:val="32"/>
        </w:rPr>
        <w:t>，</w:t>
      </w:r>
      <w:r>
        <w:rPr>
          <w:rFonts w:eastAsia="仿宋_GB2312"/>
          <w:sz w:val="32"/>
          <w:szCs w:val="32"/>
        </w:rPr>
        <w:t>2020</w:t>
      </w:r>
      <w:r>
        <w:rPr>
          <w:rFonts w:hAnsi="仿宋_GB2312" w:eastAsia="仿宋_GB2312"/>
          <w:sz w:val="32"/>
          <w:szCs w:val="32"/>
        </w:rPr>
        <w:t>年共开展《政务访谈》</w:t>
      </w:r>
      <w:r>
        <w:rPr>
          <w:rFonts w:eastAsia="仿宋_GB2312"/>
          <w:sz w:val="32"/>
          <w:szCs w:val="32"/>
        </w:rPr>
        <w:t>12</w:t>
      </w:r>
      <w:r>
        <w:rPr>
          <w:rFonts w:hAnsi="仿宋_GB2312" w:eastAsia="仿宋_GB2312"/>
          <w:sz w:val="32"/>
          <w:szCs w:val="32"/>
        </w:rPr>
        <w:t>期，《市长访谈》</w:t>
      </w:r>
      <w:r>
        <w:rPr>
          <w:rFonts w:eastAsia="仿宋_GB2312"/>
          <w:sz w:val="32"/>
          <w:szCs w:val="32"/>
        </w:rPr>
        <w:t>4</w:t>
      </w:r>
      <w:r>
        <w:rPr>
          <w:rFonts w:hAnsi="仿宋_GB2312" w:eastAsia="仿宋_GB2312"/>
          <w:sz w:val="32"/>
          <w:szCs w:val="32"/>
        </w:rPr>
        <w:t>期，每期</w:t>
      </w:r>
      <w:r>
        <w:rPr>
          <w:rFonts w:eastAsia="仿宋_GB2312"/>
          <w:sz w:val="32"/>
          <w:szCs w:val="32"/>
        </w:rPr>
        <w:t>观看、收听、上线人数约3.5万人次。通过开展《政务访谈》和《市长访谈》，及时公开、宣讲相关政策，传达重要文件精神，就相关政策进行深入详细的解读、及时回应民众关心的热点难点问题，访谈内容不断丰富，宣传手段不断创新，政策宣传面不断扩大，公众知晓率不断提升。党和政府的声音传到了基层，传到了群众。</w:t>
      </w:r>
    </w:p>
    <w:p>
      <w:pPr>
        <w:spacing w:line="560" w:lineRule="exact"/>
        <w:ind w:firstLine="640" w:firstLineChars="200"/>
        <w:rPr>
          <w:rFonts w:eastAsia="仿宋_GB2312"/>
          <w:sz w:val="32"/>
          <w:szCs w:val="32"/>
        </w:rPr>
      </w:pPr>
      <w:r>
        <w:rPr>
          <w:rFonts w:hAnsi="仿宋_GB2312" w:eastAsia="仿宋_GB2312"/>
          <w:sz w:val="32"/>
          <w:szCs w:val="32"/>
        </w:rPr>
        <w:t>（</w:t>
      </w:r>
      <w:r>
        <w:rPr>
          <w:rFonts w:eastAsia="仿宋_GB2312"/>
          <w:sz w:val="32"/>
          <w:szCs w:val="32"/>
        </w:rPr>
        <w:t>2</w:t>
      </w:r>
      <w:r>
        <w:rPr>
          <w:rFonts w:hAnsi="仿宋_GB2312" w:eastAsia="仿宋_GB2312"/>
          <w:sz w:val="32"/>
          <w:szCs w:val="32"/>
        </w:rPr>
        <w:t>）政府公报印刷邮寄项目绩效目标完成情况综述。项目全年预算数</w:t>
      </w:r>
      <w:r>
        <w:rPr>
          <w:rFonts w:eastAsia="仿宋_GB2312"/>
          <w:sz w:val="32"/>
          <w:szCs w:val="32"/>
        </w:rPr>
        <w:t>18</w:t>
      </w:r>
      <w:r>
        <w:rPr>
          <w:rFonts w:hAnsi="仿宋_GB2312" w:eastAsia="仿宋_GB2312"/>
          <w:sz w:val="32"/>
          <w:szCs w:val="32"/>
        </w:rPr>
        <w:t>万元，执行数为</w:t>
      </w:r>
      <w:r>
        <w:rPr>
          <w:rFonts w:eastAsia="仿宋_GB2312"/>
          <w:sz w:val="32"/>
          <w:szCs w:val="32"/>
        </w:rPr>
        <w:t>18</w:t>
      </w:r>
      <w:r>
        <w:rPr>
          <w:rFonts w:hAnsi="仿宋_GB2312" w:eastAsia="仿宋_GB2312"/>
          <w:sz w:val="32"/>
          <w:szCs w:val="32"/>
        </w:rPr>
        <w:t>万元，完成预算的</w:t>
      </w:r>
      <w:r>
        <w:rPr>
          <w:rFonts w:eastAsia="仿宋_GB2312"/>
          <w:sz w:val="32"/>
          <w:szCs w:val="32"/>
        </w:rPr>
        <w:t>100%</w:t>
      </w:r>
      <w:r>
        <w:rPr>
          <w:rFonts w:hAnsi="仿宋_GB2312" w:eastAsia="仿宋_GB2312"/>
          <w:sz w:val="32"/>
          <w:szCs w:val="32"/>
        </w:rPr>
        <w:t>。</w:t>
      </w:r>
      <w:r>
        <w:rPr>
          <w:rFonts w:eastAsia="仿宋_GB2312"/>
          <w:sz w:val="32"/>
          <w:szCs w:val="32"/>
        </w:rPr>
        <w:t>2020</w:t>
      </w:r>
      <w:r>
        <w:rPr>
          <w:rFonts w:hAnsi="仿宋_GB2312" w:eastAsia="仿宋_GB2312"/>
          <w:sz w:val="32"/>
          <w:szCs w:val="32"/>
        </w:rPr>
        <w:t>年印刷邮寄政府公报</w:t>
      </w:r>
      <w:r>
        <w:rPr>
          <w:rFonts w:eastAsia="仿宋_GB2312"/>
          <w:sz w:val="32"/>
          <w:szCs w:val="32"/>
        </w:rPr>
        <w:t>12</w:t>
      </w:r>
      <w:r>
        <w:rPr>
          <w:rFonts w:hAnsi="仿宋_GB2312" w:eastAsia="仿宋_GB2312"/>
          <w:sz w:val="32"/>
          <w:szCs w:val="32"/>
        </w:rPr>
        <w:t>期，</w:t>
      </w:r>
      <w:r>
        <w:rPr>
          <w:rFonts w:eastAsia="仿宋_GB2312"/>
          <w:sz w:val="32"/>
          <w:szCs w:val="32"/>
        </w:rPr>
        <w:t>48000</w:t>
      </w:r>
      <w:r>
        <w:rPr>
          <w:rFonts w:hAnsi="仿宋_GB2312" w:eastAsia="仿宋_GB2312"/>
          <w:sz w:val="32"/>
          <w:szCs w:val="32"/>
        </w:rPr>
        <w:t>余册。将政府相关政策和文件以政府公报的形</w:t>
      </w:r>
      <w:r>
        <w:rPr>
          <w:rFonts w:hint="eastAsia" w:hAnsi="仿宋_GB2312" w:eastAsia="仿宋_GB2312"/>
          <w:sz w:val="32"/>
          <w:szCs w:val="32"/>
        </w:rPr>
        <w:t>式</w:t>
      </w:r>
      <w:r>
        <w:rPr>
          <w:rFonts w:hAnsi="仿宋_GB2312" w:eastAsia="仿宋_GB2312"/>
          <w:sz w:val="32"/>
          <w:szCs w:val="32"/>
        </w:rPr>
        <w:t>及时进行公开，通过全面宣传和深入解读，及时回应社会关切，民众关心，扩大政策宣传面，提升民众知晓率，将党和政府的声音传递到基层群众，人民对政府的满意度不断提升。</w:t>
      </w:r>
    </w:p>
    <w:p>
      <w:pPr>
        <w:spacing w:line="560" w:lineRule="exact"/>
        <w:ind w:firstLine="640" w:firstLineChars="200"/>
        <w:rPr>
          <w:rFonts w:eastAsia="方正仿宋_GBK"/>
          <w:sz w:val="32"/>
          <w:szCs w:val="32"/>
        </w:rPr>
      </w:pPr>
      <w:r>
        <w:rPr>
          <w:rFonts w:hAnsi="仿宋_GB2312" w:eastAsia="仿宋_GB2312"/>
          <w:sz w:val="32"/>
          <w:szCs w:val="32"/>
        </w:rPr>
        <w:t>（</w:t>
      </w:r>
      <w:r>
        <w:rPr>
          <w:rFonts w:eastAsia="仿宋_GB2312"/>
          <w:sz w:val="32"/>
          <w:szCs w:val="32"/>
        </w:rPr>
        <w:t>3</w:t>
      </w:r>
      <w:r>
        <w:rPr>
          <w:rFonts w:hAnsi="仿宋_GB2312" w:eastAsia="仿宋_GB2312"/>
          <w:sz w:val="32"/>
          <w:szCs w:val="32"/>
        </w:rPr>
        <w:t>）调研项目绩效目标完成情况综述。项目全年预算数</w:t>
      </w:r>
      <w:r>
        <w:rPr>
          <w:rFonts w:eastAsia="仿宋_GB2312"/>
          <w:sz w:val="32"/>
          <w:szCs w:val="32"/>
        </w:rPr>
        <w:t>11.7</w:t>
      </w:r>
      <w:r>
        <w:rPr>
          <w:rFonts w:hAnsi="仿宋_GB2312" w:eastAsia="仿宋_GB2312"/>
          <w:sz w:val="32"/>
          <w:szCs w:val="32"/>
        </w:rPr>
        <w:t>万元，执行数为</w:t>
      </w:r>
      <w:r>
        <w:rPr>
          <w:rFonts w:eastAsia="仿宋_GB2312"/>
          <w:sz w:val="32"/>
          <w:szCs w:val="32"/>
        </w:rPr>
        <w:t>11.7</w:t>
      </w:r>
      <w:r>
        <w:rPr>
          <w:rFonts w:hAnsi="仿宋_GB2312" w:eastAsia="仿宋_GB2312"/>
          <w:sz w:val="32"/>
          <w:szCs w:val="32"/>
        </w:rPr>
        <w:t>万元，完成预算的</w:t>
      </w:r>
      <w:r>
        <w:rPr>
          <w:rFonts w:eastAsia="仿宋_GB2312"/>
          <w:sz w:val="32"/>
          <w:szCs w:val="32"/>
        </w:rPr>
        <w:t>100%</w:t>
      </w:r>
      <w:r>
        <w:rPr>
          <w:rFonts w:hAnsi="仿宋_GB2312" w:eastAsia="仿宋_GB2312"/>
          <w:sz w:val="32"/>
          <w:szCs w:val="32"/>
        </w:rPr>
        <w:t>。</w:t>
      </w:r>
      <w:r>
        <w:rPr>
          <w:rFonts w:eastAsia="方正仿宋_GBK"/>
          <w:sz w:val="32"/>
          <w:szCs w:val="32"/>
        </w:rPr>
        <w:t>强化参谋辅政职能，</w:t>
      </w:r>
      <w:r>
        <w:rPr>
          <w:rFonts w:eastAsia="仿宋_GB2312"/>
          <w:sz w:val="32"/>
          <w:szCs w:val="32"/>
        </w:rPr>
        <w:t>紧紧围绕经济社会发展重点、热点和难点问题，加强针对性调查研究，为领导决策提供参谋辅政作用，全年的</w:t>
      </w:r>
      <w:r>
        <w:rPr>
          <w:rFonts w:eastAsia="方正仿宋_GBK"/>
          <w:sz w:val="32"/>
          <w:szCs w:val="32"/>
        </w:rPr>
        <w:t>调研任务圆满完成。</w:t>
      </w:r>
    </w:p>
    <w:p>
      <w:pPr>
        <w:spacing w:line="560" w:lineRule="exact"/>
        <w:ind w:firstLine="640" w:firstLineChars="200"/>
        <w:rPr>
          <w:rFonts w:eastAsia="方正仿宋_GBK"/>
          <w:sz w:val="32"/>
          <w:szCs w:val="32"/>
        </w:rPr>
      </w:pPr>
      <w:r>
        <w:rPr>
          <w:rFonts w:eastAsia="方正仿宋_GBK"/>
          <w:sz w:val="32"/>
          <w:szCs w:val="32"/>
        </w:rPr>
        <w:t>（4）总值班室值班项目绩效目标完成情况综述。项目全年预算数18万元，执行数为18万元，完成预算的100%。通过全天24小时值班值守，全面、准确、及时掌握全市突发事件相关情况，按程序报送和有效处置，人民群众的生命财产得到安全保障。非工作时间，确保紧急文件的有效运转。同时，为人民群众合理诉求开辟了通道，对于群众的来电来访问题，积极协调相关单位和部门及时处理，群众满意度得到进一步提升。</w:t>
      </w:r>
    </w:p>
    <w:p>
      <w:pPr>
        <w:adjustRightInd w:val="0"/>
        <w:snapToGrid w:val="0"/>
        <w:spacing w:line="560" w:lineRule="atLeast"/>
        <w:ind w:firstLine="632" w:firstLineChars="200"/>
        <w:rPr>
          <w:rFonts w:eastAsia="仿宋_GB2312"/>
          <w:spacing w:val="-2"/>
          <w:kern w:val="0"/>
          <w:sz w:val="32"/>
          <w:szCs w:val="32"/>
        </w:rPr>
      </w:pPr>
      <w:r>
        <w:rPr>
          <w:rFonts w:eastAsia="仿宋_GB2312"/>
          <w:spacing w:val="-2"/>
          <w:kern w:val="0"/>
          <w:sz w:val="32"/>
          <w:szCs w:val="32"/>
        </w:rPr>
        <w:t>（5）</w:t>
      </w:r>
      <w:r>
        <w:rPr>
          <w:rFonts w:eastAsia="仿宋_GB2312"/>
          <w:sz w:val="32"/>
          <w:szCs w:val="32"/>
        </w:rPr>
        <w:t>脱贫攻坚工作项目绩效目标完成情况综述。项目全年预算数8万元，执行数为8万元，完成预算的100%。通过开展系列帮扶活动，采取务实有效的帮扶措施，帮扶成效明显。2020年底，帮扶的平昌县板庙镇大石村、龙王村、凉水村顺利通过脱贫攻坚国家普查抽查验收。</w:t>
      </w:r>
    </w:p>
    <w:p>
      <w:pPr>
        <w:spacing w:before="100" w:beforeAutospacing="1" w:after="100" w:afterAutospacing="1" w:line="180" w:lineRule="atLeast"/>
        <w:rPr>
          <w:rFonts w:eastAsia="仿宋_GB2312"/>
          <w:sz w:val="32"/>
          <w:szCs w:val="32"/>
        </w:rPr>
      </w:pPr>
    </w:p>
    <w:tbl>
      <w:tblPr>
        <w:tblStyle w:val="15"/>
        <w:tblpPr w:leftFromText="180" w:rightFromText="180" w:vertAnchor="text" w:horzAnchor="margin" w:tblpY="-125"/>
        <w:tblOverlap w:val="never"/>
        <w:tblW w:w="8898" w:type="dxa"/>
        <w:tblInd w:w="0" w:type="dxa"/>
        <w:tblLayout w:type="fixed"/>
        <w:tblCellMar>
          <w:top w:w="0" w:type="dxa"/>
          <w:left w:w="0" w:type="dxa"/>
          <w:bottom w:w="0" w:type="dxa"/>
          <w:right w:w="0" w:type="dxa"/>
        </w:tblCellMar>
      </w:tblPr>
      <w:tblGrid>
        <w:gridCol w:w="936"/>
        <w:gridCol w:w="1581"/>
        <w:gridCol w:w="542"/>
        <w:gridCol w:w="1776"/>
        <w:gridCol w:w="24"/>
        <w:gridCol w:w="1119"/>
        <w:gridCol w:w="2920"/>
      </w:tblGrid>
      <w:tr>
        <w:tblPrEx>
          <w:tblCellMar>
            <w:top w:w="0" w:type="dxa"/>
            <w:left w:w="0" w:type="dxa"/>
            <w:bottom w:w="0" w:type="dxa"/>
            <w:right w:w="0" w:type="dxa"/>
          </w:tblCellMar>
        </w:tblPrEx>
        <w:trPr>
          <w:trHeight w:val="1039" w:hRule="atLeast"/>
        </w:trPr>
        <w:tc>
          <w:tcPr>
            <w:tcW w:w="8898" w:type="dxa"/>
            <w:gridSpan w:val="7"/>
            <w:tcBorders>
              <w:top w:val="nil"/>
              <w:left w:val="nil"/>
              <w:bottom w:val="nil"/>
              <w:right w:val="nil"/>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36"/>
                <w:szCs w:val="36"/>
              </w:rPr>
            </w:pPr>
            <w:r>
              <w:rPr>
                <w:rFonts w:hint="eastAsia" w:ascii="仿宋_GB2312" w:hAnsi="宋体" w:eastAsia="仿宋_GB2312"/>
                <w:b/>
                <w:bCs/>
                <w:color w:val="000000"/>
                <w:kern w:val="0"/>
                <w:sz w:val="36"/>
                <w:szCs w:val="36"/>
              </w:rPr>
              <w:t>项目绩效目标完成情况表</w:t>
            </w:r>
            <w:r>
              <w:rPr>
                <w:rFonts w:hint="eastAsia" w:ascii="仿宋_GB2312" w:eastAsia="仿宋_GB2312"/>
                <w:b/>
                <w:bCs/>
                <w:color w:val="000000"/>
                <w:kern w:val="0"/>
                <w:sz w:val="36"/>
                <w:szCs w:val="36"/>
              </w:rPr>
              <w:br w:type="textWrapping"/>
            </w:r>
            <w:r>
              <w:rPr>
                <w:rFonts w:hint="eastAsia" w:ascii="仿宋_GB2312" w:eastAsia="仿宋_GB2312"/>
                <w:color w:val="000000"/>
                <w:kern w:val="0"/>
                <w:sz w:val="36"/>
                <w:szCs w:val="36"/>
              </w:rPr>
              <w:t>(2020</w:t>
            </w:r>
            <w:r>
              <w:rPr>
                <w:rFonts w:hint="eastAsia" w:ascii="仿宋_GB2312" w:hAnsi="宋体" w:eastAsia="仿宋_GB2312"/>
                <w:color w:val="000000"/>
                <w:kern w:val="0"/>
                <w:sz w:val="36"/>
                <w:szCs w:val="36"/>
              </w:rPr>
              <w:t>年度</w:t>
            </w:r>
            <w:r>
              <w:rPr>
                <w:rFonts w:hint="eastAsia" w:ascii="仿宋_GB2312" w:eastAsia="仿宋_GB2312"/>
                <w:color w:val="000000"/>
                <w:kern w:val="0"/>
                <w:sz w:val="36"/>
                <w:szCs w:val="36"/>
              </w:rPr>
              <w:t>)</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项目名称</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sz w:val="24"/>
              </w:rPr>
              <w:t>“政务访谈、市长访谈”专项经费</w:t>
            </w:r>
          </w:p>
        </w:tc>
      </w:tr>
      <w:tr>
        <w:tblPrEx>
          <w:tblCellMar>
            <w:top w:w="0" w:type="dxa"/>
            <w:left w:w="0" w:type="dxa"/>
            <w:bottom w:w="0" w:type="dxa"/>
            <w:right w:w="0" w:type="dxa"/>
          </w:tblCellMar>
        </w:tblPrEx>
        <w:trPr>
          <w:trHeight w:val="389"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预算单位</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市政府信息公开办</w:t>
            </w: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预算执行情况</w:t>
            </w:r>
            <w:r>
              <w:rPr>
                <w:rFonts w:hint="eastAsia" w:ascii="仿宋_GB2312" w:eastAsia="仿宋_GB2312"/>
                <w:color w:val="000000"/>
                <w:kern w:val="0"/>
                <w:sz w:val="24"/>
              </w:rPr>
              <w:t>(</w:t>
            </w:r>
            <w:r>
              <w:rPr>
                <w:rFonts w:hint="eastAsia" w:ascii="仿宋_GB2312" w:hAnsi="宋体" w:eastAsia="仿宋_GB2312"/>
                <w:color w:val="000000"/>
                <w:kern w:val="0"/>
                <w:sz w:val="24"/>
              </w:rPr>
              <w:t>万元</w:t>
            </w:r>
            <w:r>
              <w:rPr>
                <w:rFonts w:hint="eastAsia" w:ascii="仿宋_GB2312" w:eastAsia="仿宋_GB2312"/>
                <w:color w:val="000000"/>
                <w:kern w:val="0"/>
                <w:sz w:val="24"/>
              </w:rPr>
              <w:t>)</w:t>
            </w: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预算数</w:t>
            </w:r>
            <w:r>
              <w:rPr>
                <w:rFonts w:hint="eastAsia" w:ascii="仿宋_GB2312" w:eastAsia="仿宋_GB2312"/>
                <w:color w:val="000000"/>
                <w:kern w:val="0"/>
                <w:sz w:val="24"/>
              </w:rPr>
              <w:t>:</w:t>
            </w:r>
          </w:p>
        </w:tc>
        <w:tc>
          <w:tcPr>
            <w:tcW w:w="1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20</w:t>
            </w:r>
            <w:r>
              <w:rPr>
                <w:rFonts w:hint="eastAsia" w:ascii="仿宋_GB2312" w:hAnsi="宋体" w:eastAsia="仿宋_GB2312"/>
                <w:color w:val="000000"/>
                <w:sz w:val="24"/>
              </w:rPr>
              <w:t>万元</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执行数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20</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277"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1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20</w:t>
            </w:r>
            <w:r>
              <w:rPr>
                <w:rFonts w:hint="eastAsia" w:ascii="仿宋_GB2312" w:hAnsi="宋体" w:eastAsia="仿宋_GB2312"/>
                <w:color w:val="000000"/>
                <w:sz w:val="24"/>
              </w:rPr>
              <w:t>万元</w:t>
            </w: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20</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1652"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17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4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240" w:lineRule="exact"/>
              <w:jc w:val="center"/>
              <w:textAlignment w:val="center"/>
              <w:rPr>
                <w:rFonts w:ascii="仿宋_GB2312" w:eastAsia="仿宋_GB2312"/>
                <w:color w:val="000000"/>
                <w:sz w:val="24"/>
              </w:rPr>
            </w:pPr>
            <w:r>
              <w:rPr>
                <w:rFonts w:hint="eastAsia" w:ascii="仿宋_GB2312" w:hAnsi="宋体" w:eastAsia="仿宋_GB2312"/>
                <w:color w:val="000000"/>
                <w:kern w:val="0"/>
                <w:sz w:val="24"/>
              </w:rPr>
              <w:t>年度目标完成情况</w:t>
            </w:r>
          </w:p>
        </w:tc>
        <w:tc>
          <w:tcPr>
            <w:tcW w:w="389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预期目标</w:t>
            </w:r>
          </w:p>
        </w:tc>
        <w:tc>
          <w:tcPr>
            <w:tcW w:w="40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实际完成目标</w:t>
            </w:r>
          </w:p>
        </w:tc>
      </w:tr>
      <w:tr>
        <w:tblPrEx>
          <w:tblCellMar>
            <w:top w:w="0" w:type="dxa"/>
            <w:left w:w="0" w:type="dxa"/>
            <w:bottom w:w="0" w:type="dxa"/>
            <w:right w:w="0" w:type="dxa"/>
          </w:tblCellMar>
        </w:tblPrEx>
        <w:trPr>
          <w:trHeight w:val="1165" w:hRule="atLeast"/>
        </w:trPr>
        <w:tc>
          <w:tcPr>
            <w:tcW w:w="936"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3899"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每个月开展一次《政务访谈》；每季度开展一次《市长访谈》。</w:t>
            </w:r>
          </w:p>
        </w:tc>
        <w:tc>
          <w:tcPr>
            <w:tcW w:w="4063" w:type="dxa"/>
            <w:gridSpan w:val="3"/>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举办《政务访谈》12期、《市长访谈》4期。</w:t>
            </w:r>
          </w:p>
        </w:tc>
      </w:tr>
      <w:tr>
        <w:tblPrEx>
          <w:tblCellMar>
            <w:top w:w="0" w:type="dxa"/>
            <w:left w:w="0" w:type="dxa"/>
            <w:bottom w:w="0" w:type="dxa"/>
            <w:right w:w="0" w:type="dxa"/>
          </w:tblCellMar>
        </w:tblPrEx>
        <w:trPr>
          <w:trHeight w:val="719" w:hRule="atLeast"/>
        </w:trPr>
        <w:tc>
          <w:tcPr>
            <w:tcW w:w="936"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sz w:val="24"/>
              </w:rPr>
              <w:t>绩效指标完成情况</w:t>
            </w:r>
          </w:p>
        </w:tc>
        <w:tc>
          <w:tcPr>
            <w:tcW w:w="15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一级指标</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二级指标</w:t>
            </w:r>
          </w:p>
        </w:tc>
        <w:tc>
          <w:tcPr>
            <w:tcW w:w="1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三级指标</w:t>
            </w: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c>
          <w:tcPr>
            <w:tcW w:w="29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r>
      <w:tr>
        <w:tblPrEx>
          <w:tblCellMar>
            <w:top w:w="0" w:type="dxa"/>
            <w:left w:w="0" w:type="dxa"/>
            <w:bottom w:w="0" w:type="dxa"/>
            <w:right w:w="0" w:type="dxa"/>
          </w:tblCellMar>
        </w:tblPrEx>
        <w:trPr>
          <w:trHeight w:val="1067" w:hRule="atLeast"/>
        </w:trPr>
        <w:tc>
          <w:tcPr>
            <w:tcW w:w="9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项目完成指标</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每个月开展一次《政务访谈》；每季度开展一次《市长访谈》。</w:t>
            </w:r>
          </w:p>
        </w:tc>
        <w:tc>
          <w:tcPr>
            <w:tcW w:w="29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240" w:lineRule="exac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2020年共开展《政务访谈》12期，《市长访谈》4期，每期观看、收听、上线人数约3.5万人次。</w:t>
            </w:r>
          </w:p>
        </w:tc>
      </w:tr>
      <w:tr>
        <w:tblPrEx>
          <w:tblCellMar>
            <w:top w:w="0" w:type="dxa"/>
            <w:left w:w="0" w:type="dxa"/>
            <w:bottom w:w="0" w:type="dxa"/>
            <w:right w:w="0" w:type="dxa"/>
          </w:tblCellMar>
        </w:tblPrEx>
        <w:trPr>
          <w:trHeight w:val="482" w:hRule="atLeast"/>
        </w:trPr>
        <w:tc>
          <w:tcPr>
            <w:tcW w:w="9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项目完成指标</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280" w:lineRule="exac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2496" w:hRule="atLeast"/>
        </w:trPr>
        <w:tc>
          <w:tcPr>
            <w:tcW w:w="9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效益指标</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280" w:lineRule="exac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通过开展《政务访谈》和《市长访谈》，及时公开、宣讲相关政策，传达重要文件精神，就相关政策进行深入详细的解读、及时回应民众关心的热点难点问题，访谈内容不断丰富，宣传手段不断创新，政策宣传面不断扩大，公众知晓率不断提升。党和政府的声音传到了基层，传到了群众。</w:t>
            </w:r>
          </w:p>
        </w:tc>
      </w:tr>
      <w:tr>
        <w:tblPrEx>
          <w:tblCellMar>
            <w:top w:w="0" w:type="dxa"/>
            <w:left w:w="0" w:type="dxa"/>
            <w:bottom w:w="0" w:type="dxa"/>
            <w:right w:w="0" w:type="dxa"/>
          </w:tblCellMar>
        </w:tblPrEx>
        <w:trPr>
          <w:trHeight w:val="545" w:hRule="atLeast"/>
        </w:trPr>
        <w:tc>
          <w:tcPr>
            <w:tcW w:w="936"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满意度指标</w:t>
            </w:r>
          </w:p>
        </w:tc>
        <w:tc>
          <w:tcPr>
            <w:tcW w:w="54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77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群众满意度得到全面提升</w:t>
            </w:r>
          </w:p>
        </w:tc>
        <w:tc>
          <w:tcPr>
            <w:tcW w:w="1143"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p>
        </w:tc>
      </w:tr>
      <w:tr>
        <w:tblPrEx>
          <w:tblCellMar>
            <w:top w:w="0" w:type="dxa"/>
            <w:left w:w="0" w:type="dxa"/>
            <w:bottom w:w="0" w:type="dxa"/>
            <w:right w:w="0" w:type="dxa"/>
          </w:tblCellMar>
        </w:tblPrEx>
        <w:trPr>
          <w:trHeight w:val="1039" w:hRule="atLeast"/>
        </w:trPr>
        <w:tc>
          <w:tcPr>
            <w:tcW w:w="8898" w:type="dxa"/>
            <w:gridSpan w:val="7"/>
            <w:tcBorders>
              <w:bottom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hAnsi="宋体" w:eastAsia="仿宋_GB2312"/>
                <w:b/>
                <w:bCs/>
                <w:color w:val="000000"/>
                <w:kern w:val="0"/>
                <w:sz w:val="36"/>
                <w:szCs w:val="36"/>
              </w:rPr>
              <w:t>项目绩效目标完成情况表</w:t>
            </w:r>
            <w:r>
              <w:rPr>
                <w:rFonts w:hint="eastAsia" w:ascii="仿宋_GB2312" w:eastAsia="仿宋_GB2312"/>
                <w:b/>
                <w:bCs/>
                <w:color w:val="000000"/>
                <w:kern w:val="0"/>
                <w:sz w:val="36"/>
                <w:szCs w:val="36"/>
              </w:rPr>
              <w:br w:type="textWrapping"/>
            </w:r>
            <w:r>
              <w:rPr>
                <w:rFonts w:hint="eastAsia" w:ascii="仿宋_GB2312" w:eastAsia="仿宋_GB2312"/>
                <w:b/>
                <w:bCs/>
                <w:color w:val="000000"/>
                <w:kern w:val="0"/>
                <w:sz w:val="36"/>
                <w:szCs w:val="36"/>
              </w:rPr>
              <w:t>(2020</w:t>
            </w:r>
            <w:r>
              <w:rPr>
                <w:rFonts w:hint="eastAsia" w:ascii="仿宋_GB2312" w:hAnsi="宋体" w:eastAsia="仿宋_GB2312"/>
                <w:b/>
                <w:bCs/>
                <w:color w:val="000000"/>
                <w:kern w:val="0"/>
                <w:sz w:val="36"/>
                <w:szCs w:val="36"/>
              </w:rPr>
              <w:t>年度</w:t>
            </w:r>
            <w:r>
              <w:rPr>
                <w:rFonts w:hint="eastAsia" w:ascii="仿宋_GB2312" w:eastAsia="仿宋_GB2312"/>
                <w:b/>
                <w:bCs/>
                <w:color w:val="000000"/>
                <w:kern w:val="0"/>
                <w:sz w:val="36"/>
                <w:szCs w:val="36"/>
              </w:rPr>
              <w:t>)</w:t>
            </w:r>
          </w:p>
        </w:tc>
      </w:tr>
      <w:tr>
        <w:tblPrEx>
          <w:tblCellMar>
            <w:top w:w="0" w:type="dxa"/>
            <w:left w:w="0" w:type="dxa"/>
            <w:bottom w:w="0" w:type="dxa"/>
            <w:right w:w="0" w:type="dxa"/>
          </w:tblCellMar>
        </w:tblPrEx>
        <w:trPr>
          <w:trHeight w:val="277" w:hRule="atLeast"/>
        </w:trPr>
        <w:tc>
          <w:tcPr>
            <w:tcW w:w="305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项目名称</w:t>
            </w:r>
          </w:p>
        </w:tc>
        <w:tc>
          <w:tcPr>
            <w:tcW w:w="583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sz w:val="24"/>
              </w:rPr>
            </w:pPr>
            <w:r>
              <w:rPr>
                <w:rFonts w:hint="eastAsia" w:ascii="仿宋_GB2312" w:eastAsia="仿宋_GB2312"/>
                <w:sz w:val="24"/>
              </w:rPr>
              <w:t>政府公报印刷邮寄经费</w:t>
            </w:r>
          </w:p>
        </w:tc>
      </w:tr>
      <w:tr>
        <w:tblPrEx>
          <w:tblCellMar>
            <w:top w:w="0" w:type="dxa"/>
            <w:left w:w="0" w:type="dxa"/>
            <w:bottom w:w="0" w:type="dxa"/>
            <w:right w:w="0" w:type="dxa"/>
          </w:tblCellMar>
        </w:tblPrEx>
        <w:trPr>
          <w:trHeight w:val="277" w:hRule="atLeast"/>
        </w:trPr>
        <w:tc>
          <w:tcPr>
            <w:tcW w:w="3059" w:type="dxa"/>
            <w:gridSpan w:val="3"/>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预算单位</w:t>
            </w:r>
          </w:p>
        </w:tc>
        <w:tc>
          <w:tcPr>
            <w:tcW w:w="5839" w:type="dxa"/>
            <w:gridSpan w:val="4"/>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sz w:val="24"/>
              </w:rPr>
            </w:pPr>
            <w:r>
              <w:rPr>
                <w:rFonts w:hint="eastAsia" w:ascii="仿宋_GB2312" w:eastAsia="仿宋_GB2312"/>
                <w:sz w:val="24"/>
              </w:rPr>
              <w:t>市政府信息公开办</w:t>
            </w:r>
          </w:p>
        </w:tc>
      </w:tr>
      <w:tr>
        <w:tblPrEx>
          <w:tblCellMar>
            <w:top w:w="0" w:type="dxa"/>
            <w:left w:w="0" w:type="dxa"/>
            <w:bottom w:w="0" w:type="dxa"/>
            <w:right w:w="0" w:type="dxa"/>
          </w:tblCellMar>
        </w:tblPrEx>
        <w:trPr>
          <w:trHeight w:val="277" w:hRule="atLeast"/>
        </w:trPr>
        <w:tc>
          <w:tcPr>
            <w:tcW w:w="936" w:type="dxa"/>
            <w:vMerge w:val="restar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预算执行情况</w:t>
            </w:r>
            <w:r>
              <w:rPr>
                <w:rFonts w:hint="eastAsia" w:ascii="仿宋_GB2312" w:eastAsia="仿宋_GB2312"/>
                <w:color w:val="000000"/>
                <w:kern w:val="0"/>
                <w:sz w:val="24"/>
              </w:rPr>
              <w:t>(</w:t>
            </w:r>
            <w:r>
              <w:rPr>
                <w:rFonts w:hint="eastAsia" w:ascii="仿宋_GB2312" w:hAnsi="宋体" w:eastAsia="仿宋_GB2312"/>
                <w:color w:val="000000"/>
                <w:kern w:val="0"/>
                <w:sz w:val="24"/>
              </w:rPr>
              <w:t>万元</w:t>
            </w:r>
            <w:r>
              <w:rPr>
                <w:rFonts w:hint="eastAsia" w:ascii="仿宋_GB2312" w:eastAsia="仿宋_GB2312"/>
                <w:color w:val="000000"/>
                <w:kern w:val="0"/>
                <w:sz w:val="24"/>
              </w:rPr>
              <w:t>)</w:t>
            </w:r>
          </w:p>
        </w:tc>
        <w:tc>
          <w:tcPr>
            <w:tcW w:w="2123"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预算数</w:t>
            </w:r>
            <w:r>
              <w:rPr>
                <w:rFonts w:hint="eastAsia" w:ascii="仿宋_GB2312" w:eastAsia="仿宋_GB2312"/>
                <w:color w:val="000000"/>
                <w:kern w:val="0"/>
                <w:sz w:val="24"/>
              </w:rPr>
              <w:t>:</w:t>
            </w:r>
          </w:p>
        </w:tc>
        <w:tc>
          <w:tcPr>
            <w:tcW w:w="1800" w:type="dxa"/>
            <w:gridSpan w:val="2"/>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c>
          <w:tcPr>
            <w:tcW w:w="111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执行数</w:t>
            </w:r>
            <w:r>
              <w:rPr>
                <w:rFonts w:hint="eastAsia" w:ascii="仿宋_GB2312" w:eastAsia="仿宋_GB2312"/>
                <w:color w:val="000000"/>
                <w:kern w:val="0"/>
                <w:sz w:val="24"/>
              </w:rPr>
              <w:t>:</w:t>
            </w:r>
          </w:p>
        </w:tc>
        <w:tc>
          <w:tcPr>
            <w:tcW w:w="292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sz w:val="24"/>
              </w:rPr>
              <w:t>18</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277"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sz w:val="24"/>
              </w:rPr>
              <w:t>18</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1154"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240" w:lineRule="exact"/>
              <w:jc w:val="center"/>
              <w:textAlignment w:val="center"/>
              <w:rPr>
                <w:rFonts w:ascii="仿宋_GB2312" w:eastAsia="仿宋_GB2312"/>
                <w:color w:val="000000"/>
                <w:sz w:val="24"/>
              </w:rPr>
            </w:pPr>
            <w:r>
              <w:rPr>
                <w:rFonts w:hint="eastAsia" w:ascii="仿宋_GB2312" w:hAnsi="宋体" w:eastAsia="仿宋_GB2312"/>
                <w:color w:val="000000"/>
                <w:kern w:val="0"/>
                <w:sz w:val="24"/>
              </w:rPr>
              <w:t>年度目标完成情况</w:t>
            </w: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预期目标</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实际完成目标</w:t>
            </w:r>
          </w:p>
        </w:tc>
      </w:tr>
      <w:tr>
        <w:tblPrEx>
          <w:tblCellMar>
            <w:top w:w="0" w:type="dxa"/>
            <w:left w:w="0" w:type="dxa"/>
            <w:bottom w:w="0" w:type="dxa"/>
            <w:right w:w="0" w:type="dxa"/>
          </w:tblCellMar>
        </w:tblPrEx>
        <w:trPr>
          <w:trHeight w:val="1165"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印刷邮寄政府公报12期</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印刷邮寄政府公报12期，48000余册</w:t>
            </w:r>
          </w:p>
        </w:tc>
      </w:tr>
      <w:tr>
        <w:tblPrEx>
          <w:tblCellMar>
            <w:top w:w="0" w:type="dxa"/>
            <w:left w:w="0" w:type="dxa"/>
            <w:bottom w:w="0" w:type="dxa"/>
            <w:right w:w="0" w:type="dxa"/>
          </w:tblCellMar>
        </w:tblPrEx>
        <w:trPr>
          <w:trHeight w:val="1047" w:hRule="atLeast"/>
        </w:trPr>
        <w:tc>
          <w:tcPr>
            <w:tcW w:w="93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sz w:val="24"/>
              </w:rPr>
              <w:t>绩效指标完成情况</w:t>
            </w: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一级指标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二级指标</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三级指标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实际完成指标值(包含数字及文字描述)</w:t>
            </w:r>
          </w:p>
        </w:tc>
      </w:tr>
      <w:tr>
        <w:tblPrEx>
          <w:tblCellMar>
            <w:top w:w="0" w:type="dxa"/>
            <w:left w:w="0" w:type="dxa"/>
            <w:bottom w:w="0" w:type="dxa"/>
            <w:right w:w="0" w:type="dxa"/>
          </w:tblCellMar>
        </w:tblPrEx>
        <w:trPr>
          <w:trHeight w:val="688"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2020年印刷邮寄政府公报12期，48000余册。</w:t>
            </w:r>
          </w:p>
        </w:tc>
      </w:tr>
      <w:tr>
        <w:tblPrEx>
          <w:tblCellMar>
            <w:top w:w="0" w:type="dxa"/>
            <w:left w:w="0" w:type="dxa"/>
            <w:bottom w:w="0" w:type="dxa"/>
            <w:right w:w="0" w:type="dxa"/>
          </w:tblCellMar>
        </w:tblPrEx>
        <w:trPr>
          <w:trHeight w:val="691"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00" w:lineRule="exact"/>
              <w:jc w:val="center"/>
              <w:textAlignment w:val="center"/>
              <w:rPr>
                <w:rFonts w:ascii="仿宋_GB2312" w:eastAsia="仿宋_GB2312"/>
                <w:color w:val="000000"/>
                <w:kern w:val="0"/>
                <w:sz w:val="15"/>
                <w:szCs w:val="15"/>
              </w:rPr>
            </w:pPr>
          </w:p>
        </w:tc>
      </w:tr>
      <w:tr>
        <w:tblPrEx>
          <w:tblCellMar>
            <w:top w:w="0" w:type="dxa"/>
            <w:left w:w="0" w:type="dxa"/>
            <w:bottom w:w="0" w:type="dxa"/>
            <w:right w:w="0" w:type="dxa"/>
          </w:tblCellMar>
        </w:tblPrEx>
        <w:trPr>
          <w:trHeight w:val="668"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效益指标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560" w:lineRule="exact"/>
              <w:ind w:firstLine="300" w:firstLineChars="200"/>
              <w:rPr>
                <w:rFonts w:ascii="仿宋_GB2312" w:eastAsia="仿宋_GB2312"/>
                <w:color w:val="000000"/>
                <w:kern w:val="0"/>
                <w:sz w:val="15"/>
                <w:szCs w:val="15"/>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60" w:lineRule="exact"/>
              <w:ind w:firstLine="300" w:firstLineChars="200"/>
              <w:rPr>
                <w:rFonts w:ascii="仿宋_GB2312" w:eastAsia="仿宋_GB2312"/>
                <w:color w:val="000000"/>
                <w:kern w:val="0"/>
                <w:sz w:val="15"/>
                <w:szCs w:val="15"/>
              </w:rPr>
            </w:pPr>
            <w:r>
              <w:rPr>
                <w:rFonts w:hint="eastAsia" w:ascii="仿宋_GB2312" w:eastAsia="仿宋_GB2312"/>
                <w:color w:val="000000"/>
                <w:kern w:val="0"/>
                <w:sz w:val="15"/>
                <w:szCs w:val="15"/>
              </w:rPr>
              <w:t>将政府相关政策和文件以政府公报的形式及时进行公开，通过全面宣传和深入解读，及时回应社会关切，民众关心，扩大政策宣传面，提升民众知晓率，将党和政府的声音传递到基层群众，人民对政府的满意度不断提升。</w:t>
            </w:r>
          </w:p>
        </w:tc>
      </w:tr>
      <w:tr>
        <w:tblPrEx>
          <w:tblCellMar>
            <w:top w:w="0" w:type="dxa"/>
            <w:left w:w="0" w:type="dxa"/>
            <w:bottom w:w="0" w:type="dxa"/>
            <w:right w:w="0" w:type="dxa"/>
          </w:tblCellMar>
        </w:tblPrEx>
        <w:trPr>
          <w:trHeight w:val="830"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效益指标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545" w:hRule="atLeast"/>
        </w:trPr>
        <w:tc>
          <w:tcPr>
            <w:tcW w:w="9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满意度指标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群众满意度得到全面提升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1039" w:hRule="atLeast"/>
        </w:trPr>
        <w:tc>
          <w:tcPr>
            <w:tcW w:w="8898" w:type="dxa"/>
            <w:gridSpan w:val="7"/>
            <w:tcBorders>
              <w:top w:val="nil"/>
              <w:left w:val="nil"/>
              <w:bottom w:val="nil"/>
              <w:right w:val="nil"/>
            </w:tcBorders>
            <w:tcMar>
              <w:top w:w="15" w:type="dxa"/>
              <w:left w:w="15" w:type="dxa"/>
              <w:right w:w="15" w:type="dxa"/>
            </w:tcMar>
            <w:vAlign w:val="center"/>
          </w:tcPr>
          <w:p>
            <w:pPr>
              <w:spacing w:before="100" w:beforeAutospacing="1" w:after="100" w:afterAutospacing="1" w:line="180" w:lineRule="atLeast"/>
              <w:textAlignment w:val="center"/>
              <w:rPr>
                <w:rFonts w:ascii="仿宋_GB2312" w:hAnsi="宋体" w:eastAsia="仿宋_GB2312"/>
                <w:b/>
                <w:bCs/>
                <w:color w:val="000000"/>
                <w:kern w:val="0"/>
                <w:sz w:val="36"/>
                <w:szCs w:val="36"/>
              </w:rPr>
            </w:pPr>
          </w:p>
          <w:p>
            <w:pPr>
              <w:spacing w:line="180" w:lineRule="atLeast"/>
              <w:jc w:val="center"/>
              <w:textAlignment w:val="center"/>
              <w:rPr>
                <w:rFonts w:ascii="仿宋_GB2312" w:hAnsi="宋体" w:eastAsia="仿宋_GB2312"/>
                <w:b/>
                <w:bCs/>
                <w:color w:val="000000"/>
                <w:kern w:val="0"/>
                <w:sz w:val="36"/>
                <w:szCs w:val="36"/>
              </w:rPr>
            </w:pPr>
          </w:p>
          <w:p>
            <w:pPr>
              <w:spacing w:before="100" w:beforeAutospacing="1" w:after="100" w:afterAutospacing="1" w:line="180" w:lineRule="atLeast"/>
              <w:jc w:val="center"/>
              <w:textAlignment w:val="center"/>
              <w:rPr>
                <w:rFonts w:ascii="仿宋_GB2312" w:eastAsia="仿宋_GB2312"/>
                <w:color w:val="000000"/>
                <w:sz w:val="36"/>
                <w:szCs w:val="36"/>
              </w:rPr>
            </w:pPr>
            <w:r>
              <w:rPr>
                <w:rFonts w:hint="eastAsia" w:ascii="仿宋_GB2312" w:hAnsi="宋体" w:eastAsia="仿宋_GB2312"/>
                <w:b/>
                <w:bCs/>
                <w:color w:val="000000"/>
                <w:kern w:val="0"/>
                <w:sz w:val="36"/>
                <w:szCs w:val="36"/>
              </w:rPr>
              <w:t>项目绩效目标完成情况表</w:t>
            </w:r>
            <w:r>
              <w:rPr>
                <w:rFonts w:hint="eastAsia" w:ascii="仿宋_GB2312" w:eastAsia="仿宋_GB2312"/>
                <w:b/>
                <w:bCs/>
                <w:color w:val="000000"/>
                <w:kern w:val="0"/>
                <w:sz w:val="36"/>
                <w:szCs w:val="36"/>
              </w:rPr>
              <w:br w:type="textWrapping"/>
            </w:r>
            <w:r>
              <w:rPr>
                <w:rFonts w:hint="eastAsia" w:ascii="仿宋_GB2312" w:eastAsia="仿宋_GB2312"/>
                <w:color w:val="000000"/>
                <w:kern w:val="0"/>
                <w:sz w:val="36"/>
                <w:szCs w:val="36"/>
              </w:rPr>
              <w:t>(2020</w:t>
            </w:r>
            <w:r>
              <w:rPr>
                <w:rFonts w:hint="eastAsia" w:ascii="仿宋_GB2312" w:hAnsi="宋体" w:eastAsia="仿宋_GB2312"/>
                <w:color w:val="000000"/>
                <w:kern w:val="0"/>
                <w:sz w:val="36"/>
                <w:szCs w:val="36"/>
              </w:rPr>
              <w:t>年度</w:t>
            </w:r>
            <w:r>
              <w:rPr>
                <w:rFonts w:hint="eastAsia" w:ascii="仿宋_GB2312" w:eastAsia="仿宋_GB2312"/>
                <w:color w:val="000000"/>
                <w:kern w:val="0"/>
                <w:sz w:val="36"/>
                <w:szCs w:val="36"/>
              </w:rPr>
              <w:t>)</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项目名称</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sz w:val="24"/>
              </w:rPr>
              <w:t>调研经费</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预算单位</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市政府研究室</w:t>
            </w: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预算执行情况</w:t>
            </w:r>
            <w:r>
              <w:rPr>
                <w:rFonts w:hint="eastAsia" w:ascii="仿宋_GB2312" w:eastAsia="仿宋_GB2312"/>
                <w:color w:val="000000"/>
                <w:kern w:val="0"/>
                <w:sz w:val="24"/>
              </w:rPr>
              <w:t>(</w:t>
            </w:r>
            <w:r>
              <w:rPr>
                <w:rFonts w:hint="eastAsia" w:ascii="仿宋_GB2312" w:hAnsi="宋体" w:eastAsia="仿宋_GB2312"/>
                <w:color w:val="000000"/>
                <w:kern w:val="0"/>
                <w:sz w:val="24"/>
              </w:rPr>
              <w:t>万元</w:t>
            </w:r>
            <w:r>
              <w:rPr>
                <w:rFonts w:hint="eastAsia" w:ascii="仿宋_GB2312" w:eastAsia="仿宋_GB2312"/>
                <w:color w:val="000000"/>
                <w:kern w:val="0"/>
                <w:sz w:val="24"/>
              </w:rPr>
              <w:t>)</w:t>
            </w: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预算数</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11.7</w:t>
            </w:r>
            <w:r>
              <w:rPr>
                <w:rFonts w:hint="eastAsia" w:ascii="仿宋_GB2312" w:hAnsi="宋体" w:eastAsia="仿宋_GB2312"/>
                <w:color w:val="000000"/>
                <w:sz w:val="24"/>
              </w:rPr>
              <w:t>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执行数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11.7</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277"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11.7</w:t>
            </w:r>
            <w:r>
              <w:rPr>
                <w:rFonts w:hint="eastAsia" w:ascii="仿宋_GB2312" w:hAnsi="宋体" w:eastAsia="仿宋_GB2312"/>
                <w:color w:val="000000"/>
                <w:sz w:val="24"/>
              </w:rPr>
              <w:t>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11.7</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1519"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年度目标完成情况</w:t>
            </w: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预期目标</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实际完成目标</w:t>
            </w:r>
          </w:p>
        </w:tc>
      </w:tr>
      <w:tr>
        <w:tblPrEx>
          <w:tblCellMar>
            <w:top w:w="0" w:type="dxa"/>
            <w:left w:w="0" w:type="dxa"/>
            <w:bottom w:w="0" w:type="dxa"/>
            <w:right w:w="0" w:type="dxa"/>
          </w:tblCellMar>
        </w:tblPrEx>
        <w:trPr>
          <w:trHeight w:val="2114"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24"/>
              </w:rPr>
            </w:pPr>
            <w:r>
              <w:rPr>
                <w:rFonts w:hint="eastAsia" w:ascii="仿宋_GB2312" w:eastAsia="仿宋_GB2312"/>
                <w:color w:val="000000"/>
                <w:sz w:val="24"/>
              </w:rPr>
              <w:t>围绕中央、省、市重大部署和经济社会发展热点难点问题进行深入调查研究，为市政府领导决策提供参考。做好各类公文起草、文件办理等相关文稿服务工作，确保各项工作有序运转。</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24"/>
              </w:rPr>
            </w:pPr>
            <w:r>
              <w:rPr>
                <w:rFonts w:hint="eastAsia" w:ascii="仿宋_GB2312" w:eastAsia="仿宋_GB2312"/>
                <w:color w:val="000000"/>
                <w:sz w:val="24"/>
              </w:rPr>
              <w:t>强化参谋辅政职能，紧紧围绕经济社会发展重点、热点和难点问题，加强针对性调查研究，为领导决策提供参谋辅政作用,年度调研任务圆满完成。</w:t>
            </w:r>
          </w:p>
        </w:tc>
      </w:tr>
      <w:tr>
        <w:tblPrEx>
          <w:tblCellMar>
            <w:top w:w="0" w:type="dxa"/>
            <w:left w:w="0" w:type="dxa"/>
            <w:bottom w:w="0" w:type="dxa"/>
            <w:right w:w="0" w:type="dxa"/>
          </w:tblCellMar>
        </w:tblPrEx>
        <w:trPr>
          <w:trHeight w:val="1033" w:hRule="atLeast"/>
        </w:trPr>
        <w:tc>
          <w:tcPr>
            <w:tcW w:w="93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sz w:val="24"/>
              </w:rPr>
              <w:t>绩效指标完成情况</w:t>
            </w: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一级指标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二级指标</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三级指标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r>
      <w:tr>
        <w:tblPrEx>
          <w:tblCellMar>
            <w:top w:w="0" w:type="dxa"/>
            <w:left w:w="0" w:type="dxa"/>
            <w:bottom w:w="0" w:type="dxa"/>
            <w:right w:w="0" w:type="dxa"/>
          </w:tblCellMar>
        </w:tblPrEx>
        <w:trPr>
          <w:trHeight w:val="694"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24"/>
              </w:rPr>
            </w:pPr>
            <w:r>
              <w:rPr>
                <w:rFonts w:hint="eastAsia" w:ascii="仿宋_GB2312" w:hAnsi="宋体"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15"/>
                <w:szCs w:val="15"/>
              </w:rPr>
              <w:t>紧紧围绕经济社会发展重点、热点和难点问题，加强针对性调查研究，为领导决策提供参谋服务。</w:t>
            </w:r>
          </w:p>
        </w:tc>
      </w:tr>
      <w:tr>
        <w:tblPrEx>
          <w:tblCellMar>
            <w:top w:w="0" w:type="dxa"/>
            <w:left w:w="0" w:type="dxa"/>
            <w:bottom w:w="0" w:type="dxa"/>
            <w:right w:w="0" w:type="dxa"/>
          </w:tblCellMar>
        </w:tblPrEx>
        <w:trPr>
          <w:trHeight w:val="668"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效益指标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15"/>
                <w:szCs w:val="15"/>
              </w:rPr>
              <w:t>强化参谋辅政职能，紧紧围绕经济社会发展重点、热点和难点问题，加强针对性调查研究，为领导决策提供参谋辅政作用。累计报送政务信息360多条、专报150余篇，国办采用52条，得到领导综合性批示14条。</w:t>
            </w:r>
          </w:p>
        </w:tc>
      </w:tr>
      <w:tr>
        <w:tblPrEx>
          <w:tblCellMar>
            <w:top w:w="0" w:type="dxa"/>
            <w:left w:w="0" w:type="dxa"/>
            <w:bottom w:w="0" w:type="dxa"/>
            <w:right w:w="0" w:type="dxa"/>
          </w:tblCellMar>
        </w:tblPrEx>
        <w:trPr>
          <w:trHeight w:val="90"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效益指标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545" w:hRule="atLeast"/>
        </w:trPr>
        <w:tc>
          <w:tcPr>
            <w:tcW w:w="9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满意度指标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群众满意度得到全面提升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1039" w:hRule="atLeast"/>
        </w:trPr>
        <w:tc>
          <w:tcPr>
            <w:tcW w:w="8898" w:type="dxa"/>
            <w:gridSpan w:val="7"/>
            <w:tcBorders>
              <w:top w:val="nil"/>
              <w:left w:val="nil"/>
              <w:bottom w:val="nil"/>
              <w:right w:val="nil"/>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36"/>
                <w:szCs w:val="36"/>
              </w:rPr>
            </w:pPr>
            <w:r>
              <w:rPr>
                <w:rFonts w:hint="eastAsia" w:ascii="仿宋_GB2312" w:hAnsi="宋体" w:eastAsia="仿宋_GB2312"/>
                <w:b/>
                <w:bCs/>
                <w:color w:val="000000"/>
                <w:kern w:val="0"/>
                <w:sz w:val="36"/>
                <w:szCs w:val="36"/>
              </w:rPr>
              <w:t>项目绩效目标完成情况表</w:t>
            </w:r>
            <w:r>
              <w:rPr>
                <w:rFonts w:hint="eastAsia" w:ascii="仿宋_GB2312" w:eastAsia="仿宋_GB2312"/>
                <w:b/>
                <w:bCs/>
                <w:color w:val="000000"/>
                <w:kern w:val="0"/>
                <w:sz w:val="36"/>
                <w:szCs w:val="36"/>
              </w:rPr>
              <w:br w:type="textWrapping"/>
            </w:r>
            <w:r>
              <w:rPr>
                <w:rFonts w:hint="eastAsia" w:ascii="仿宋_GB2312" w:eastAsia="仿宋_GB2312"/>
                <w:color w:val="000000"/>
                <w:kern w:val="0"/>
                <w:sz w:val="36"/>
                <w:szCs w:val="36"/>
              </w:rPr>
              <w:t xml:space="preserve">(2020 </w:t>
            </w:r>
            <w:r>
              <w:rPr>
                <w:rFonts w:hint="eastAsia" w:ascii="仿宋_GB2312" w:hAnsi="宋体" w:eastAsia="仿宋_GB2312"/>
                <w:color w:val="000000"/>
                <w:kern w:val="0"/>
                <w:sz w:val="36"/>
                <w:szCs w:val="36"/>
              </w:rPr>
              <w:t>年度</w:t>
            </w:r>
            <w:r>
              <w:rPr>
                <w:rFonts w:hint="eastAsia" w:ascii="仿宋_GB2312" w:eastAsia="仿宋_GB2312"/>
                <w:color w:val="000000"/>
                <w:kern w:val="0"/>
                <w:sz w:val="36"/>
                <w:szCs w:val="36"/>
              </w:rPr>
              <w:t>)</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项目名称</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总值班室值班经费</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预算单位</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市政府办公室</w:t>
            </w: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预算执行情况</w:t>
            </w:r>
            <w:r>
              <w:rPr>
                <w:rFonts w:hint="eastAsia" w:ascii="仿宋_GB2312" w:eastAsia="仿宋_GB2312"/>
                <w:color w:val="000000"/>
                <w:kern w:val="0"/>
                <w:sz w:val="24"/>
              </w:rPr>
              <w:t>(</w:t>
            </w:r>
            <w:r>
              <w:rPr>
                <w:rFonts w:hint="eastAsia" w:ascii="仿宋_GB2312" w:hAnsi="宋体" w:eastAsia="仿宋_GB2312"/>
                <w:color w:val="000000"/>
                <w:kern w:val="0"/>
                <w:sz w:val="24"/>
              </w:rPr>
              <w:t>万元</w:t>
            </w:r>
            <w:r>
              <w:rPr>
                <w:rFonts w:hint="eastAsia" w:ascii="仿宋_GB2312" w:eastAsia="仿宋_GB2312"/>
                <w:color w:val="000000"/>
                <w:kern w:val="0"/>
                <w:sz w:val="24"/>
              </w:rPr>
              <w:t>)</w:t>
            </w: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预算数</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执行数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502"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其中</w:t>
            </w:r>
            <w:r>
              <w:rPr>
                <w:rFonts w:hint="eastAsia" w:ascii="仿宋_GB2312" w:eastAsia="仿宋_GB2312"/>
                <w:color w:val="000000"/>
                <w:kern w:val="0"/>
                <w:sz w:val="24"/>
              </w:rPr>
              <w:t>-</w:t>
            </w:r>
            <w:r>
              <w:rPr>
                <w:rFonts w:hint="eastAsia" w:ascii="仿宋_GB2312" w:hAnsi="宋体" w:eastAsia="仿宋_GB2312"/>
                <w:color w:val="000000"/>
                <w:kern w:val="0"/>
                <w:sz w:val="24"/>
              </w:rPr>
              <w:t>财政拨款</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18</w:t>
            </w:r>
            <w:r>
              <w:rPr>
                <w:rFonts w:hint="eastAsia" w:ascii="仿宋_GB2312" w:hAnsi="宋体" w:eastAsia="仿宋_GB2312"/>
                <w:color w:val="000000"/>
                <w:sz w:val="24"/>
              </w:rPr>
              <w:t>万元</w:t>
            </w:r>
          </w:p>
        </w:tc>
      </w:tr>
      <w:tr>
        <w:tblPrEx>
          <w:tblCellMar>
            <w:top w:w="0" w:type="dxa"/>
            <w:left w:w="0" w:type="dxa"/>
            <w:bottom w:w="0" w:type="dxa"/>
            <w:right w:w="0" w:type="dxa"/>
          </w:tblCellMar>
        </w:tblPrEx>
        <w:trPr>
          <w:trHeight w:val="382"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其它资金</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年度目标完成情况</w:t>
            </w: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预期目标</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实际完成目标</w:t>
            </w:r>
          </w:p>
        </w:tc>
      </w:tr>
      <w:tr>
        <w:tblPrEx>
          <w:tblCellMar>
            <w:top w:w="0" w:type="dxa"/>
            <w:left w:w="0" w:type="dxa"/>
            <w:bottom w:w="0" w:type="dxa"/>
            <w:right w:w="0" w:type="dxa"/>
          </w:tblCellMar>
        </w:tblPrEx>
        <w:trPr>
          <w:trHeight w:val="1785"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before="100" w:beforeAutospacing="1" w:after="100" w:afterAutospacing="1" w:line="180" w:lineRule="atLeast"/>
              <w:ind w:firstLine="480" w:firstLineChars="200"/>
              <w:rPr>
                <w:rFonts w:ascii="仿宋_GB2312" w:eastAsia="仿宋_GB2312"/>
                <w:color w:val="000000"/>
                <w:sz w:val="24"/>
              </w:rPr>
            </w:pPr>
            <w:r>
              <w:rPr>
                <w:rFonts w:hint="eastAsia" w:ascii="仿宋_GB2312" w:eastAsia="仿宋_GB2312"/>
                <w:color w:val="000000"/>
                <w:sz w:val="24"/>
              </w:rPr>
              <w:t>1.全天24小时值守；2.处置突发事件信息的上传下达；3.非工作时间紧急文件的运转。</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kern w:val="0"/>
                <w:sz w:val="15"/>
                <w:szCs w:val="15"/>
              </w:rPr>
            </w:pPr>
            <w:r>
              <w:rPr>
                <w:rFonts w:hint="eastAsia" w:ascii="仿宋_GB2312" w:eastAsia="仿宋_GB2312"/>
                <w:color w:val="000000"/>
                <w:kern w:val="0"/>
                <w:sz w:val="15"/>
                <w:szCs w:val="15"/>
              </w:rPr>
              <w:t>通过全天24小时值班值守，全面、准确、及时掌握全市突发事件相关情况，按程序报送和有效处置，人民群众的生命财产得到安全保障。非工作时间，确保紧急文件的有效运转。同时，为人民群众合理诉求开辟了通道，对于群众的来电来访问题，积极协调相关单位和部门及时处理，群众满意度得到全面提升。</w:t>
            </w:r>
          </w:p>
        </w:tc>
      </w:tr>
      <w:tr>
        <w:tblPrEx>
          <w:tblCellMar>
            <w:top w:w="0" w:type="dxa"/>
            <w:left w:w="0" w:type="dxa"/>
            <w:bottom w:w="0" w:type="dxa"/>
            <w:right w:w="0" w:type="dxa"/>
          </w:tblCellMar>
        </w:tblPrEx>
        <w:trPr>
          <w:trHeight w:val="1047" w:hRule="atLeast"/>
        </w:trPr>
        <w:tc>
          <w:tcPr>
            <w:tcW w:w="93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sz w:val="24"/>
              </w:rPr>
              <w:t>绩效指标完成情况</w:t>
            </w: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一级指标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二级指标</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三级指标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预期指标值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hAnsi="宋体" w:eastAsia="仿宋_GB2312"/>
                <w:color w:val="000000"/>
                <w:kern w:val="0"/>
                <w:sz w:val="24"/>
              </w:rPr>
              <w:t>实际完成指标值</w:t>
            </w:r>
            <w:r>
              <w:rPr>
                <w:rFonts w:hint="eastAsia" w:ascii="仿宋_GB2312" w:eastAsia="仿宋_GB2312"/>
                <w:color w:val="000000"/>
                <w:kern w:val="0"/>
                <w:sz w:val="24"/>
              </w:rPr>
              <w:t>(</w:t>
            </w:r>
            <w:r>
              <w:rPr>
                <w:rFonts w:hint="eastAsia" w:ascii="仿宋_GB2312" w:hAnsi="宋体" w:eastAsia="仿宋_GB2312"/>
                <w:color w:val="000000"/>
                <w:kern w:val="0"/>
                <w:sz w:val="24"/>
              </w:rPr>
              <w:t>包含数字及文字描述</w:t>
            </w:r>
            <w:r>
              <w:rPr>
                <w:rFonts w:hint="eastAsia" w:ascii="仿宋_GB2312" w:eastAsia="仿宋_GB2312"/>
                <w:color w:val="000000"/>
                <w:kern w:val="0"/>
                <w:sz w:val="24"/>
              </w:rPr>
              <w:t>)</w:t>
            </w:r>
          </w:p>
        </w:tc>
      </w:tr>
      <w:tr>
        <w:tblPrEx>
          <w:tblCellMar>
            <w:top w:w="0" w:type="dxa"/>
            <w:left w:w="0" w:type="dxa"/>
            <w:bottom w:w="0" w:type="dxa"/>
            <w:right w:w="0" w:type="dxa"/>
          </w:tblCellMar>
        </w:tblPrEx>
        <w:trPr>
          <w:trHeight w:val="1880"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13"/>
                <w:szCs w:val="13"/>
              </w:rPr>
            </w:pPr>
            <w:r>
              <w:rPr>
                <w:rFonts w:hint="eastAsia" w:ascii="仿宋_GB2312" w:eastAsia="仿宋_GB2312"/>
                <w:color w:val="000000"/>
                <w:kern w:val="0"/>
                <w:sz w:val="13"/>
                <w:szCs w:val="13"/>
              </w:rPr>
              <w:t>通过全天24小时值班值守，全面、准确、及时掌握全市突发事件相关情况，按程序报送和有效处置，人民群众的生命财产得到安全保障。非工作时间，确保紧急文件的有效运转。同时，为人民群众合理诉求开辟了通道，对于群众的来电来访问题，积极协调相关单位和部门及时处理，群众满意度得到全面提升。</w:t>
            </w:r>
          </w:p>
        </w:tc>
      </w:tr>
      <w:tr>
        <w:tblPrEx>
          <w:tblCellMar>
            <w:top w:w="0" w:type="dxa"/>
            <w:left w:w="0" w:type="dxa"/>
            <w:bottom w:w="0" w:type="dxa"/>
            <w:right w:w="0" w:type="dxa"/>
          </w:tblCellMar>
        </w:tblPrEx>
        <w:trPr>
          <w:trHeight w:val="407"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259"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效益指标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13"/>
                <w:szCs w:val="13"/>
              </w:rPr>
            </w:pPr>
            <w:r>
              <w:rPr>
                <w:rFonts w:hint="eastAsia" w:ascii="仿宋_GB2312" w:eastAsia="仿宋_GB2312"/>
                <w:color w:val="000000"/>
                <w:kern w:val="0"/>
                <w:sz w:val="13"/>
                <w:szCs w:val="13"/>
              </w:rPr>
              <w:t>通过全天24小时值班值守，全面、准确、及时掌握全市突发事件相关情况，按程序报送和有效处置，人民群众的生命财产得到安全保障。非工作时间，确保紧急文件的有效运转。同时，为人民群众合理诉求开辟了通道，对于群众的来电来访问题，积极协调相关单位和部门及时处理，群众满意度得到全面提升。</w:t>
            </w:r>
          </w:p>
        </w:tc>
      </w:tr>
      <w:tr>
        <w:tblPrEx>
          <w:tblCellMar>
            <w:top w:w="0" w:type="dxa"/>
            <w:left w:w="0" w:type="dxa"/>
            <w:bottom w:w="0" w:type="dxa"/>
            <w:right w:w="0" w:type="dxa"/>
          </w:tblCellMar>
        </w:tblPrEx>
        <w:trPr>
          <w:trHeight w:val="335" w:hRule="atLeast"/>
        </w:trPr>
        <w:tc>
          <w:tcPr>
            <w:tcW w:w="9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满意度指标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3"/>
                <w:szCs w:val="13"/>
              </w:rPr>
            </w:pPr>
            <w:r>
              <w:rPr>
                <w:rFonts w:hint="eastAsia" w:ascii="仿宋_GB2312" w:eastAsia="仿宋_GB2312"/>
                <w:color w:val="000000"/>
                <w:kern w:val="0"/>
                <w:sz w:val="13"/>
                <w:szCs w:val="13"/>
              </w:rPr>
              <w:t>群众满意度得到全面提升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13"/>
                <w:szCs w:val="13"/>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1039" w:hRule="atLeast"/>
        </w:trPr>
        <w:tc>
          <w:tcPr>
            <w:tcW w:w="8898" w:type="dxa"/>
            <w:gridSpan w:val="7"/>
            <w:tcBorders>
              <w:top w:val="nil"/>
              <w:left w:val="nil"/>
              <w:bottom w:val="nil"/>
              <w:right w:val="nil"/>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36"/>
                <w:szCs w:val="36"/>
              </w:rPr>
            </w:pPr>
            <w:r>
              <w:rPr>
                <w:rFonts w:hint="eastAsia" w:ascii="仿宋_GB2312" w:eastAsia="仿宋_GB2312"/>
                <w:b/>
                <w:bCs/>
                <w:color w:val="000000"/>
                <w:kern w:val="0"/>
                <w:sz w:val="36"/>
                <w:szCs w:val="36"/>
              </w:rPr>
              <w:t>项目绩效目标完成情况表</w:t>
            </w:r>
            <w:r>
              <w:rPr>
                <w:rFonts w:hint="eastAsia" w:ascii="仿宋_GB2312" w:eastAsia="仿宋_GB2312"/>
                <w:b/>
                <w:bCs/>
                <w:color w:val="000000"/>
                <w:kern w:val="0"/>
                <w:sz w:val="36"/>
                <w:szCs w:val="36"/>
              </w:rPr>
              <w:br w:type="textWrapping"/>
            </w:r>
            <w:r>
              <w:rPr>
                <w:rFonts w:hint="eastAsia" w:ascii="仿宋_GB2312" w:eastAsia="仿宋_GB2312"/>
                <w:color w:val="000000"/>
                <w:kern w:val="0"/>
                <w:sz w:val="36"/>
                <w:szCs w:val="36"/>
              </w:rPr>
              <w:t>(2020年度)</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项目名称</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脱贫攻坚工作经费</w:t>
            </w:r>
          </w:p>
        </w:tc>
      </w:tr>
      <w:tr>
        <w:tblPrEx>
          <w:tblCellMar>
            <w:top w:w="0" w:type="dxa"/>
            <w:left w:w="0" w:type="dxa"/>
            <w:bottom w:w="0" w:type="dxa"/>
            <w:right w:w="0" w:type="dxa"/>
          </w:tblCellMar>
        </w:tblPrEx>
        <w:trPr>
          <w:trHeight w:val="277" w:hRule="atLeast"/>
        </w:trPr>
        <w:tc>
          <w:tcPr>
            <w:tcW w:w="305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预算单位</w:t>
            </w:r>
          </w:p>
        </w:tc>
        <w:tc>
          <w:tcPr>
            <w:tcW w:w="5839"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市政府办公室</w:t>
            </w: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预算执行情况(万元)</w:t>
            </w: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预算数:</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8万元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执行数:</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8万元</w:t>
            </w:r>
          </w:p>
        </w:tc>
      </w:tr>
      <w:tr>
        <w:tblPrEx>
          <w:tblCellMar>
            <w:top w:w="0" w:type="dxa"/>
            <w:left w:w="0" w:type="dxa"/>
            <w:bottom w:w="0" w:type="dxa"/>
            <w:right w:w="0" w:type="dxa"/>
          </w:tblCellMar>
        </w:tblPrEx>
        <w:trPr>
          <w:trHeight w:val="277"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其中-财政拨款:</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8万元</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其中-财政拨款:</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8万元</w:t>
            </w:r>
          </w:p>
        </w:tc>
      </w:tr>
      <w:tr>
        <w:tblPrEx>
          <w:tblCellMar>
            <w:top w:w="0" w:type="dxa"/>
            <w:left w:w="0" w:type="dxa"/>
            <w:bottom w:w="0" w:type="dxa"/>
            <w:right w:w="0" w:type="dxa"/>
          </w:tblCellMar>
        </w:tblPrEx>
        <w:trPr>
          <w:trHeight w:val="473"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212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其它资金:</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其它资金:</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r>
      <w:tr>
        <w:tblPrEx>
          <w:tblCellMar>
            <w:top w:w="0" w:type="dxa"/>
            <w:left w:w="0" w:type="dxa"/>
            <w:bottom w:w="0" w:type="dxa"/>
            <w:right w:w="0" w:type="dxa"/>
          </w:tblCellMar>
        </w:tblPrEx>
        <w:trPr>
          <w:trHeight w:val="277" w:hRule="atLeast"/>
        </w:trPr>
        <w:tc>
          <w:tcPr>
            <w:tcW w:w="936"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年度目标完成情况</w:t>
            </w: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预期目标</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实际完成目标</w:t>
            </w:r>
          </w:p>
        </w:tc>
      </w:tr>
      <w:tr>
        <w:tblPrEx>
          <w:tblCellMar>
            <w:top w:w="0" w:type="dxa"/>
            <w:left w:w="0" w:type="dxa"/>
            <w:bottom w:w="0" w:type="dxa"/>
            <w:right w:w="0" w:type="dxa"/>
          </w:tblCellMar>
        </w:tblPrEx>
        <w:trPr>
          <w:trHeight w:val="1734" w:hRule="atLeast"/>
        </w:trPr>
        <w:tc>
          <w:tcPr>
            <w:tcW w:w="936"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rPr>
                <w:rFonts w:ascii="仿宋_GB2312" w:eastAsia="仿宋_GB2312"/>
                <w:color w:val="000000"/>
                <w:sz w:val="24"/>
              </w:rPr>
            </w:pPr>
          </w:p>
        </w:tc>
        <w:tc>
          <w:tcPr>
            <w:tcW w:w="3923"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24"/>
              </w:rPr>
            </w:pPr>
            <w:r>
              <w:rPr>
                <w:rFonts w:hint="eastAsia" w:ascii="仿宋_GB2312" w:eastAsia="仿宋_GB2312"/>
                <w:color w:val="000000"/>
                <w:sz w:val="18"/>
                <w:szCs w:val="18"/>
              </w:rPr>
              <w:t>对结对帮扶的平昌县板庙镇大石村、龙王村、凉水村，全面落实深化“挂包帮”精准扶贫政策，通过结对帮扶工作，确保帮扶村实现“一超七有”和贫困户实现“两不愁、三保障”。</w:t>
            </w:r>
          </w:p>
        </w:tc>
        <w:tc>
          <w:tcPr>
            <w:tcW w:w="4039"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18"/>
                <w:szCs w:val="18"/>
              </w:rPr>
            </w:pPr>
            <w:r>
              <w:rPr>
                <w:rFonts w:hint="eastAsia" w:ascii="仿宋_GB2312" w:eastAsia="仿宋_GB2312"/>
                <w:color w:val="000000"/>
                <w:sz w:val="18"/>
                <w:szCs w:val="18"/>
              </w:rPr>
              <w:t>把决胜脱贫攻坚作为压倒一切的任务，根据机构改革和人事变动，及时调整帮扶对象和驻村队员，坚持每月至少到户帮扶1次。</w:t>
            </w:r>
          </w:p>
        </w:tc>
      </w:tr>
      <w:tr>
        <w:tblPrEx>
          <w:tblCellMar>
            <w:top w:w="0" w:type="dxa"/>
            <w:left w:w="0" w:type="dxa"/>
            <w:bottom w:w="0" w:type="dxa"/>
            <w:right w:w="0" w:type="dxa"/>
          </w:tblCellMar>
        </w:tblPrEx>
        <w:trPr>
          <w:trHeight w:val="1047" w:hRule="atLeast"/>
        </w:trPr>
        <w:tc>
          <w:tcPr>
            <w:tcW w:w="93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绩效指标完成情况</w:t>
            </w: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一级指标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left"/>
              <w:textAlignment w:val="center"/>
              <w:rPr>
                <w:rFonts w:ascii="仿宋_GB2312" w:eastAsia="仿宋_GB2312"/>
                <w:color w:val="000000"/>
                <w:sz w:val="24"/>
              </w:rPr>
            </w:pPr>
            <w:r>
              <w:rPr>
                <w:rFonts w:hint="eastAsia" w:ascii="仿宋_GB2312" w:eastAsia="仿宋_GB2312"/>
                <w:color w:val="000000"/>
                <w:kern w:val="0"/>
                <w:sz w:val="24"/>
              </w:rPr>
              <w:t>二级指标</w:t>
            </w: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三级指标</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预期指标值(包含数字及文字描述)</w:t>
            </w: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实际完成指标值(包含数字及文字描述)</w:t>
            </w:r>
          </w:p>
        </w:tc>
      </w:tr>
      <w:tr>
        <w:tblPrEx>
          <w:tblCellMar>
            <w:top w:w="0" w:type="dxa"/>
            <w:left w:w="0" w:type="dxa"/>
            <w:bottom w:w="0" w:type="dxa"/>
            <w:right w:w="0" w:type="dxa"/>
          </w:tblCellMar>
        </w:tblPrEx>
        <w:trPr>
          <w:trHeight w:val="2852"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18"/>
                <w:szCs w:val="18"/>
              </w:rPr>
              <w:t>对帮扶村落实“两不愁三保障”回头看大排查突出问题进行梳理、研判，准确掌握帮扶户的详细情况，做细做实群众思想工作和感恩教育；非洲猪瘟疫情发生后，配合镇、村力量积极谋划贫困户增收补短项目，大力发展持续增收产业，用心用情用力做好帮扶工作，全力以赴冲刺高质量脱贫。</w:t>
            </w:r>
          </w:p>
        </w:tc>
      </w:tr>
      <w:tr>
        <w:tblPrEx>
          <w:tblCellMar>
            <w:top w:w="0" w:type="dxa"/>
            <w:left w:w="0" w:type="dxa"/>
            <w:bottom w:w="0" w:type="dxa"/>
            <w:right w:w="0" w:type="dxa"/>
          </w:tblCellMar>
        </w:tblPrEx>
        <w:trPr>
          <w:trHeight w:val="557" w:hRule="atLeast"/>
        </w:trPr>
        <w:tc>
          <w:tcPr>
            <w:tcW w:w="936" w:type="dxa"/>
            <w:vMerge w:val="continue"/>
            <w:tcBorders>
              <w:left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项目完成指标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545" w:hRule="atLeast"/>
        </w:trPr>
        <w:tc>
          <w:tcPr>
            <w:tcW w:w="9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kern w:val="0"/>
                <w:sz w:val="24"/>
              </w:rPr>
            </w:pP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textAlignment w:val="center"/>
              <w:rPr>
                <w:rFonts w:ascii="仿宋_GB2312" w:eastAsia="仿宋_GB2312"/>
                <w:color w:val="000000"/>
                <w:sz w:val="24"/>
              </w:rPr>
            </w:pP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r>
      <w:tr>
        <w:tblPrEx>
          <w:tblCellMar>
            <w:top w:w="0" w:type="dxa"/>
            <w:left w:w="0" w:type="dxa"/>
            <w:bottom w:w="0" w:type="dxa"/>
            <w:right w:w="0" w:type="dxa"/>
          </w:tblCellMar>
        </w:tblPrEx>
        <w:trPr>
          <w:trHeight w:val="927" w:hRule="atLeast"/>
        </w:trPr>
        <w:tc>
          <w:tcPr>
            <w:tcW w:w="93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kern w:val="0"/>
                <w:sz w:val="24"/>
              </w:rPr>
              <w:t>满意度指标</w:t>
            </w:r>
          </w:p>
        </w:tc>
        <w:tc>
          <w:tcPr>
            <w:tcW w:w="54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1800"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textAlignment w:val="center"/>
              <w:rPr>
                <w:rFonts w:ascii="仿宋_GB2312" w:eastAsia="仿宋_GB2312"/>
                <w:color w:val="000000"/>
                <w:sz w:val="24"/>
              </w:rPr>
            </w:pPr>
            <w:r>
              <w:rPr>
                <w:rFonts w:hint="eastAsia" w:ascii="仿宋_GB2312" w:eastAsia="仿宋_GB2312"/>
                <w:color w:val="000000"/>
                <w:sz w:val="24"/>
              </w:rPr>
              <w:t>贫困户对帮扶工作满意度高</w:t>
            </w:r>
          </w:p>
        </w:tc>
        <w:tc>
          <w:tcPr>
            <w:tcW w:w="111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p>
        </w:tc>
        <w:tc>
          <w:tcPr>
            <w:tcW w:w="2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100" w:beforeAutospacing="1" w:after="100" w:afterAutospacing="1" w:line="180" w:lineRule="atLeast"/>
              <w:jc w:val="center"/>
              <w:textAlignment w:val="center"/>
              <w:rPr>
                <w:rFonts w:ascii="仿宋_GB2312" w:eastAsia="仿宋_GB2312"/>
                <w:color w:val="000000"/>
                <w:sz w:val="24"/>
              </w:rPr>
            </w:pPr>
            <w:r>
              <w:rPr>
                <w:rFonts w:hint="eastAsia" w:ascii="仿宋_GB2312" w:eastAsia="仿宋_GB2312"/>
                <w:color w:val="000000"/>
                <w:sz w:val="24"/>
              </w:rPr>
              <w:t>贫困户对帮扶工作满意度高</w:t>
            </w:r>
          </w:p>
        </w:tc>
      </w:tr>
    </w:tbl>
    <w:p>
      <w:pPr>
        <w:spacing w:before="100" w:beforeAutospacing="1" w:after="100" w:afterAutospacing="1" w:line="180" w:lineRule="atLeast"/>
        <w:rPr>
          <w:rFonts w:eastAsia="楷体_GB2312"/>
          <w:sz w:val="32"/>
          <w:szCs w:val="32"/>
        </w:rPr>
      </w:pPr>
    </w:p>
    <w:p>
      <w:pPr>
        <w:tabs>
          <w:tab w:val="left" w:pos="312"/>
        </w:tabs>
        <w:spacing w:line="560" w:lineRule="exact"/>
        <w:ind w:left="630"/>
        <w:rPr>
          <w:rFonts w:eastAsia="楷体_GB2312"/>
          <w:sz w:val="32"/>
          <w:szCs w:val="32"/>
        </w:rPr>
      </w:pPr>
      <w:r>
        <w:rPr>
          <w:rFonts w:hint="eastAsia" w:eastAsia="楷体_GB2312"/>
          <w:sz w:val="32"/>
          <w:szCs w:val="32"/>
        </w:rPr>
        <w:t>2.</w:t>
      </w:r>
      <w:r>
        <w:rPr>
          <w:rFonts w:eastAsia="楷体_GB2312"/>
          <w:sz w:val="32"/>
          <w:szCs w:val="32"/>
        </w:rPr>
        <w:t>部门绩效评价结果。</w:t>
      </w:r>
    </w:p>
    <w:p>
      <w:pPr>
        <w:spacing w:line="560" w:lineRule="exact"/>
        <w:ind w:firstLine="640" w:firstLineChars="200"/>
        <w:rPr>
          <w:rFonts w:eastAsia="仿宋_GB2312"/>
          <w:color w:val="000000" w:themeColor="text1"/>
          <w:sz w:val="32"/>
          <w:szCs w:val="32"/>
        </w:rPr>
      </w:pPr>
      <w:r>
        <w:rPr>
          <w:rFonts w:eastAsia="仿宋_GB2312"/>
          <w:color w:val="000000" w:themeColor="text1"/>
          <w:sz w:val="32"/>
          <w:szCs w:val="32"/>
        </w:rPr>
        <w:t>本部门按要求对2020年部门整体支出绩效情况开展了自评，《巴中市人民政府办公室2020年部门整体支出绩效评价报告》见附件（附件1）。</w:t>
      </w:r>
    </w:p>
    <w:p>
      <w:pPr>
        <w:spacing w:line="560" w:lineRule="exact"/>
        <w:ind w:firstLine="640" w:firstLineChars="200"/>
        <w:rPr>
          <w:rFonts w:eastAsia="仿宋_GB2312"/>
          <w:b/>
          <w:color w:val="000000" w:themeColor="text1"/>
          <w:sz w:val="32"/>
          <w:szCs w:val="32"/>
        </w:rPr>
      </w:pPr>
      <w:r>
        <w:rPr>
          <w:rFonts w:eastAsia="仿宋_GB2312"/>
          <w:color w:val="000000" w:themeColor="text1"/>
          <w:sz w:val="32"/>
          <w:szCs w:val="32"/>
        </w:rPr>
        <w:t>本部门自行组织对市政府网站集约化平台建设项目开展了绩效评价，《</w:t>
      </w:r>
      <w:r>
        <w:rPr>
          <w:rFonts w:hint="eastAsia" w:eastAsia="仿宋_GB2312"/>
          <w:color w:val="000000" w:themeColor="text1"/>
          <w:sz w:val="32"/>
          <w:szCs w:val="32"/>
          <w:lang w:eastAsia="zh-CN"/>
        </w:rPr>
        <w:t>巴中</w:t>
      </w:r>
      <w:r>
        <w:rPr>
          <w:rFonts w:eastAsia="仿宋_GB2312"/>
          <w:color w:val="000000" w:themeColor="text1"/>
          <w:sz w:val="32"/>
          <w:szCs w:val="32"/>
        </w:rPr>
        <w:t>市政</w:t>
      </w:r>
      <w:r>
        <w:rPr>
          <w:rFonts w:hint="eastAsia" w:eastAsia="仿宋_GB2312"/>
          <w:color w:val="000000" w:themeColor="text1"/>
          <w:sz w:val="32"/>
          <w:szCs w:val="32"/>
        </w:rPr>
        <w:t>府</w:t>
      </w:r>
      <w:r>
        <w:rPr>
          <w:rFonts w:eastAsia="仿宋_GB2312"/>
          <w:color w:val="000000" w:themeColor="text1"/>
          <w:sz w:val="32"/>
          <w:szCs w:val="32"/>
        </w:rPr>
        <w:t>网站集约化平台建设项目2020年绩效评价报告》见附件（附件2）。</w:t>
      </w:r>
    </w:p>
    <w:p>
      <w:pPr>
        <w:spacing w:line="560" w:lineRule="exact"/>
        <w:jc w:val="left"/>
        <w:rPr>
          <w:rFonts w:eastAsia="仿宋_GB2312"/>
          <w:b/>
          <w:color w:val="000000"/>
          <w:sz w:val="32"/>
          <w:szCs w:val="32"/>
        </w:rPr>
      </w:pPr>
      <w:r>
        <w:rPr>
          <w:rFonts w:eastAsia="仿宋_GB2312"/>
          <w:b/>
          <w:color w:val="000000"/>
          <w:sz w:val="32"/>
          <w:szCs w:val="32"/>
        </w:rPr>
        <w:br w:type="page"/>
      </w:r>
    </w:p>
    <w:p>
      <w:pPr>
        <w:spacing w:line="560" w:lineRule="exact"/>
        <w:jc w:val="center"/>
        <w:outlineLvl w:val="0"/>
        <w:rPr>
          <w:rStyle w:val="27"/>
          <w:rFonts w:ascii="方正小标宋简体" w:eastAsia="方正小标宋简体"/>
          <w:b w:val="0"/>
        </w:rPr>
      </w:pPr>
      <w:bookmarkStart w:id="62" w:name="_Toc15790_WPSOffice_Level1"/>
      <w:r>
        <w:rPr>
          <w:rFonts w:hint="eastAsia" w:ascii="方正小标宋简体" w:eastAsia="方正小标宋简体"/>
          <w:b/>
          <w:color w:val="000000"/>
          <w:sz w:val="44"/>
          <w:szCs w:val="44"/>
        </w:rPr>
        <w:t>第三部分  名</w:t>
      </w:r>
      <w:r>
        <w:rPr>
          <w:rStyle w:val="27"/>
          <w:rFonts w:hint="eastAsia" w:ascii="方正小标宋简体" w:eastAsia="方正小标宋简体"/>
          <w:b w:val="0"/>
        </w:rPr>
        <w:t>词解释</w:t>
      </w:r>
      <w:bookmarkEnd w:id="62"/>
    </w:p>
    <w:p>
      <w:pPr>
        <w:spacing w:line="560" w:lineRule="exact"/>
        <w:jc w:val="left"/>
        <w:rPr>
          <w:b/>
          <w:color w:val="000000"/>
          <w:sz w:val="44"/>
          <w:szCs w:val="44"/>
        </w:rPr>
      </w:pP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2.事业收入：指事业单位开展专业业务活动及辅助活动取得的收入。</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3.经营收入：指事业单位在专业业务活动及其辅助活动之外开展非独立核算经营活动取得的收入。</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4.其他收入：指单位取得的除上述收入以外的各项收入。</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5.使用非财政拨款结余：指事业单位使用以前年度积累的非财政拨款结余弥补当年收支差额的金额。</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6.年初结转和结余：指以前年度尚未完成、结转到本年按有关规定继续使用的资金。</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7.结余分配：指事业单位按照事业单位会计制度的规定从非财政补助结余中分配的事业基金和职工福利基金等。</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8、年末结转和结余：指单位按有关规定结转到下年或以后年度继续使用的资金。</w:t>
      </w:r>
    </w:p>
    <w:p>
      <w:pPr>
        <w:spacing w:line="560" w:lineRule="exact"/>
        <w:ind w:firstLine="640" w:firstLineChars="200"/>
        <w:rPr>
          <w:rFonts w:eastAsia="仿宋_GB2312"/>
          <w:color w:val="000000"/>
          <w:sz w:val="32"/>
          <w:szCs w:val="32"/>
        </w:rPr>
      </w:pPr>
      <w:r>
        <w:rPr>
          <w:rFonts w:eastAsia="仿宋_GB2312"/>
          <w:color w:val="000000"/>
          <w:sz w:val="32"/>
          <w:szCs w:val="32"/>
        </w:rPr>
        <w:t>9</w:t>
      </w:r>
      <w:r>
        <w:rPr>
          <w:rFonts w:eastAsia="仿宋_GB2312"/>
          <w:sz w:val="32"/>
          <w:szCs w:val="32"/>
        </w:rPr>
        <w:t>.</w:t>
      </w:r>
      <w:r>
        <w:rPr>
          <w:rStyle w:val="17"/>
          <w:rFonts w:eastAsia="仿宋_GB2312"/>
          <w:b w:val="0"/>
          <w:color w:val="000000"/>
          <w:sz w:val="32"/>
          <w:szCs w:val="32"/>
        </w:rPr>
        <w:t>一般公共服务（类）政府办公厅（室）及相关机构事务（款）行政运行（项）</w:t>
      </w:r>
      <w:r>
        <w:rPr>
          <w:rFonts w:eastAsia="仿宋_GB2312"/>
          <w:color w:val="000000"/>
          <w:sz w:val="32"/>
          <w:szCs w:val="32"/>
        </w:rPr>
        <w:t>：指行政单位（包括实行公务员管理的事业单位）的基本支出。</w:t>
      </w:r>
    </w:p>
    <w:p>
      <w:pPr>
        <w:spacing w:line="560" w:lineRule="exact"/>
        <w:ind w:firstLine="640" w:firstLineChars="200"/>
        <w:rPr>
          <w:rFonts w:eastAsia="仿宋_GB2312"/>
          <w:color w:val="000000"/>
          <w:sz w:val="32"/>
          <w:szCs w:val="32"/>
        </w:rPr>
      </w:pPr>
      <w:r>
        <w:rPr>
          <w:rFonts w:eastAsia="仿宋_GB2312"/>
          <w:color w:val="000000"/>
          <w:sz w:val="32"/>
          <w:szCs w:val="32"/>
        </w:rPr>
        <w:t>10.</w:t>
      </w:r>
      <w:r>
        <w:rPr>
          <w:rStyle w:val="17"/>
          <w:rFonts w:eastAsia="仿宋_GB2312"/>
          <w:b w:val="0"/>
          <w:color w:val="000000"/>
          <w:sz w:val="32"/>
          <w:szCs w:val="32"/>
        </w:rPr>
        <w:t>一般公共服务（类）政府办公厅（室）及相关机构事务（款）一般行政管理事务（项）：</w:t>
      </w:r>
      <w:r>
        <w:rPr>
          <w:rFonts w:eastAsia="仿宋_GB2312"/>
          <w:color w:val="000000"/>
          <w:sz w:val="32"/>
          <w:szCs w:val="32"/>
        </w:rPr>
        <w:t>指行政单位（包括实行公务员管理的事业单位）未单独设置项级科目的其他项目支出。</w:t>
      </w:r>
    </w:p>
    <w:p>
      <w:pPr>
        <w:spacing w:line="560" w:lineRule="exact"/>
        <w:ind w:firstLine="640" w:firstLineChars="200"/>
        <w:rPr>
          <w:rFonts w:eastAsia="仿宋_GB2312"/>
          <w:color w:val="000000"/>
          <w:sz w:val="32"/>
          <w:szCs w:val="32"/>
        </w:rPr>
      </w:pPr>
      <w:r>
        <w:rPr>
          <w:rFonts w:eastAsia="仿宋_GB2312"/>
          <w:color w:val="000000"/>
          <w:sz w:val="32"/>
          <w:szCs w:val="32"/>
        </w:rPr>
        <w:t>11.</w:t>
      </w:r>
      <w:r>
        <w:rPr>
          <w:rStyle w:val="17"/>
          <w:rFonts w:eastAsia="仿宋_GB2312"/>
          <w:b w:val="0"/>
          <w:color w:val="000000"/>
          <w:sz w:val="32"/>
          <w:szCs w:val="32"/>
        </w:rPr>
        <w:t xml:space="preserve"> 一般公共服务（类）政府办公厅（室）及相关机构事务（款）其他政府办公厅（室）及相关机构事务（项）：指除上述项目以外的其他政府办公厅（室）及相关机构事务支出。</w:t>
      </w:r>
    </w:p>
    <w:p>
      <w:pPr>
        <w:spacing w:line="560" w:lineRule="exact"/>
        <w:ind w:firstLine="640" w:firstLineChars="200"/>
        <w:rPr>
          <w:rFonts w:eastAsia="仿宋_GB2312"/>
          <w:color w:val="000000"/>
          <w:sz w:val="32"/>
          <w:szCs w:val="32"/>
        </w:rPr>
      </w:pPr>
      <w:r>
        <w:rPr>
          <w:rFonts w:eastAsia="仿宋_GB2312"/>
          <w:color w:val="000000"/>
          <w:sz w:val="32"/>
          <w:szCs w:val="32"/>
        </w:rPr>
        <w:t>12.</w:t>
      </w:r>
      <w:r>
        <w:rPr>
          <w:rStyle w:val="17"/>
          <w:rFonts w:eastAsia="仿宋_GB2312"/>
          <w:b w:val="0"/>
          <w:color w:val="000000"/>
          <w:sz w:val="32"/>
          <w:szCs w:val="32"/>
        </w:rPr>
        <w:t>一般公共服务（类）政府办公厅（室）及相关机构事务（款）事业运行（项）：</w:t>
      </w:r>
      <w:r>
        <w:rPr>
          <w:rFonts w:eastAsia="仿宋_GB2312"/>
          <w:color w:val="000000"/>
          <w:sz w:val="32"/>
          <w:szCs w:val="32"/>
        </w:rPr>
        <w:t>指事业单位的基本支出，不包括行政单位（包括实行公务员管理的事业单位）后勤服务中心、医务室等附属事业单位。</w:t>
      </w:r>
    </w:p>
    <w:p>
      <w:pPr>
        <w:spacing w:line="560" w:lineRule="exact"/>
        <w:ind w:firstLine="640" w:firstLineChars="200"/>
        <w:rPr>
          <w:color w:val="000000"/>
          <w:sz w:val="32"/>
          <w:szCs w:val="32"/>
        </w:rPr>
      </w:pPr>
      <w:r>
        <w:rPr>
          <w:rFonts w:eastAsia="仿宋_GB2312"/>
          <w:color w:val="000000"/>
          <w:sz w:val="32"/>
          <w:szCs w:val="32"/>
        </w:rPr>
        <w:t>13.</w:t>
      </w:r>
      <w:r>
        <w:rPr>
          <w:rStyle w:val="17"/>
          <w:rFonts w:eastAsia="仿宋_GB2312"/>
          <w:b w:val="0"/>
          <w:color w:val="000000"/>
          <w:sz w:val="32"/>
          <w:szCs w:val="32"/>
        </w:rPr>
        <w:t>教育支出（类）进修及培训（款）干部教育（项）：指各级党校、行政学院、社会主义学院、国家会计学院的支出。包括机构运转、招聘师资、举办各类培训班的支出等。</w:t>
      </w:r>
    </w:p>
    <w:p>
      <w:pPr>
        <w:spacing w:line="560" w:lineRule="exact"/>
        <w:ind w:firstLine="640" w:firstLineChars="200"/>
        <w:rPr>
          <w:rStyle w:val="17"/>
          <w:rFonts w:eastAsia="仿宋_GB2312"/>
          <w:b w:val="0"/>
          <w:color w:val="000000"/>
          <w:sz w:val="32"/>
          <w:szCs w:val="32"/>
        </w:rPr>
      </w:pPr>
      <w:r>
        <w:rPr>
          <w:rFonts w:eastAsia="仿宋_GB2312"/>
          <w:color w:val="000000"/>
          <w:sz w:val="32"/>
          <w:szCs w:val="32"/>
        </w:rPr>
        <w:t>14.</w:t>
      </w:r>
      <w:r>
        <w:rPr>
          <w:rStyle w:val="17"/>
          <w:rFonts w:eastAsia="仿宋_GB2312"/>
          <w:b w:val="0"/>
          <w:color w:val="000000"/>
          <w:sz w:val="32"/>
          <w:szCs w:val="32"/>
        </w:rPr>
        <w:t>教育支出（类）进修及培训（款）培训支出（项）：指各部门安排的用于培训的支出。教育部门的师资培训，党校、行政学院等专业干部教育机构的支出，以及退役士兵、转业士官的培训支出，不在本科目反映。</w:t>
      </w:r>
    </w:p>
    <w:p>
      <w:pPr>
        <w:spacing w:line="560" w:lineRule="exact"/>
        <w:ind w:firstLine="640" w:firstLineChars="200"/>
        <w:rPr>
          <w:rStyle w:val="17"/>
          <w:rFonts w:eastAsia="仿宋_GB2312"/>
          <w:b w:val="0"/>
          <w:color w:val="000000"/>
          <w:sz w:val="32"/>
          <w:szCs w:val="32"/>
        </w:rPr>
      </w:pPr>
      <w:r>
        <w:rPr>
          <w:rFonts w:eastAsia="仿宋_GB2312"/>
          <w:color w:val="000000"/>
          <w:sz w:val="32"/>
          <w:szCs w:val="32"/>
        </w:rPr>
        <w:t>15.</w:t>
      </w:r>
      <w:r>
        <w:rPr>
          <w:rStyle w:val="17"/>
          <w:rFonts w:eastAsia="仿宋_GB2312"/>
          <w:b w:val="0"/>
          <w:color w:val="000000"/>
          <w:sz w:val="32"/>
          <w:szCs w:val="32"/>
        </w:rPr>
        <w:t>社会保障和就业（类）行政事业单位养老支出（款）行政单位离退休（项）：指行政单位（包括实行公务员管理的事业单位）开支的离退休经费。</w:t>
      </w:r>
    </w:p>
    <w:p>
      <w:pPr>
        <w:spacing w:line="560" w:lineRule="exact"/>
        <w:ind w:firstLine="640" w:firstLineChars="200"/>
        <w:rPr>
          <w:rStyle w:val="17"/>
          <w:rFonts w:eastAsia="仿宋_GB2312"/>
          <w:b w:val="0"/>
          <w:color w:val="000000"/>
          <w:sz w:val="32"/>
          <w:szCs w:val="32"/>
        </w:rPr>
      </w:pPr>
      <w:r>
        <w:rPr>
          <w:rFonts w:eastAsia="仿宋_GB2312"/>
          <w:color w:val="000000"/>
          <w:sz w:val="32"/>
          <w:szCs w:val="32"/>
        </w:rPr>
        <w:t>16.</w:t>
      </w:r>
      <w:r>
        <w:rPr>
          <w:rStyle w:val="17"/>
          <w:rFonts w:eastAsia="仿宋_GB2312"/>
          <w:b w:val="0"/>
          <w:color w:val="000000"/>
          <w:sz w:val="32"/>
          <w:szCs w:val="32"/>
        </w:rPr>
        <w:t>社会保障和就业（类）行政事业单位养老支出（款）机关事业单位基本养老保险缴费（项）：指机关事业单位实施养老保险制度由单位缴纳的基本养老保险费支出。</w:t>
      </w:r>
    </w:p>
    <w:p>
      <w:pPr>
        <w:spacing w:line="560" w:lineRule="exact"/>
        <w:ind w:firstLine="640" w:firstLineChars="200"/>
        <w:rPr>
          <w:rStyle w:val="17"/>
          <w:rFonts w:eastAsia="仿宋_GB2312"/>
          <w:b w:val="0"/>
          <w:color w:val="000000"/>
          <w:sz w:val="32"/>
          <w:szCs w:val="32"/>
        </w:rPr>
      </w:pPr>
      <w:r>
        <w:rPr>
          <w:rStyle w:val="17"/>
          <w:rFonts w:eastAsia="仿宋_GB2312"/>
          <w:b w:val="0"/>
          <w:color w:val="000000"/>
          <w:sz w:val="32"/>
          <w:szCs w:val="32"/>
        </w:rPr>
        <w:t>17.社会保障和就业（类）行政事业养老支出（款）其他行政事业单位养老支出（项）：指除上述项目以外其他用于行政事业单位养老方面的支出。</w:t>
      </w:r>
    </w:p>
    <w:p>
      <w:pPr>
        <w:spacing w:line="560" w:lineRule="exact"/>
        <w:ind w:firstLine="640" w:firstLineChars="200"/>
        <w:rPr>
          <w:rFonts w:eastAsia="仿宋_GB2312"/>
          <w:color w:val="000000"/>
          <w:sz w:val="32"/>
          <w:szCs w:val="32"/>
        </w:rPr>
      </w:pPr>
      <w:r>
        <w:rPr>
          <w:rStyle w:val="17"/>
          <w:rFonts w:eastAsia="仿宋_GB2312"/>
          <w:b w:val="0"/>
          <w:color w:val="000000"/>
          <w:sz w:val="32"/>
          <w:szCs w:val="32"/>
        </w:rPr>
        <w:t>18.卫生健康支出（类）行政事业单位医疗（款）行政单位医疗（项）：指财政部门集中安排的行政单位基本医疗保险缴费经费，未参加医疗保险的行政单位的公费医疗经费，按国家规定享受离休人员、红军老战士待遇人员的医疗经费。</w:t>
      </w:r>
    </w:p>
    <w:p>
      <w:pPr>
        <w:spacing w:line="560" w:lineRule="exact"/>
        <w:ind w:firstLine="640" w:firstLineChars="200"/>
        <w:rPr>
          <w:rStyle w:val="17"/>
          <w:rFonts w:eastAsia="仿宋_GB2312"/>
          <w:b w:val="0"/>
          <w:sz w:val="32"/>
          <w:szCs w:val="32"/>
        </w:rPr>
      </w:pPr>
      <w:r>
        <w:rPr>
          <w:rStyle w:val="17"/>
          <w:rFonts w:eastAsia="仿宋_GB2312"/>
          <w:b w:val="0"/>
          <w:color w:val="000000"/>
          <w:sz w:val="32"/>
          <w:szCs w:val="32"/>
        </w:rPr>
        <w:t>19. 卫生健康支出（类）行政事业单位医疗（款）事业单位医疗（项</w:t>
      </w:r>
      <w:r>
        <w:rPr>
          <w:rStyle w:val="17"/>
          <w:rFonts w:eastAsia="仿宋_GB2312"/>
          <w:b w:val="0"/>
          <w:sz w:val="32"/>
          <w:szCs w:val="32"/>
        </w:rPr>
        <w:t>）：指财政部门集中安排的事业单位基本医疗保险缴费经费，未参加医疗保险的事业单位的公费医疗经费，按国家规定享受离休人员待遇的医疗经费。</w:t>
      </w:r>
    </w:p>
    <w:p>
      <w:pPr>
        <w:spacing w:line="560" w:lineRule="exact"/>
        <w:ind w:firstLine="640" w:firstLineChars="200"/>
        <w:rPr>
          <w:rStyle w:val="17"/>
          <w:rFonts w:eastAsia="仿宋_GB2312"/>
          <w:b w:val="0"/>
          <w:sz w:val="32"/>
          <w:szCs w:val="32"/>
        </w:rPr>
      </w:pPr>
      <w:r>
        <w:rPr>
          <w:rStyle w:val="17"/>
          <w:rFonts w:eastAsia="仿宋_GB2312"/>
          <w:b w:val="0"/>
          <w:sz w:val="32"/>
          <w:szCs w:val="32"/>
        </w:rPr>
        <w:t>20</w:t>
      </w:r>
      <w:r>
        <w:rPr>
          <w:rStyle w:val="17"/>
          <w:rFonts w:eastAsia="仿宋_GB2312"/>
          <w:b w:val="0"/>
          <w:color w:val="000000"/>
          <w:sz w:val="32"/>
          <w:szCs w:val="32"/>
        </w:rPr>
        <w:t>. 卫生健康支出（类）行政事业单位医疗（款）公务员医疗补助（项）：指财政部门集中安排的公务员医疗补助经费。</w:t>
      </w:r>
    </w:p>
    <w:p>
      <w:pPr>
        <w:spacing w:line="560" w:lineRule="exact"/>
        <w:ind w:firstLine="640" w:firstLineChars="200"/>
        <w:rPr>
          <w:rFonts w:eastAsia="仿宋_GB2312"/>
          <w:color w:val="000000"/>
          <w:sz w:val="32"/>
          <w:szCs w:val="32"/>
        </w:rPr>
      </w:pPr>
      <w:r>
        <w:rPr>
          <w:rStyle w:val="17"/>
          <w:rFonts w:eastAsia="仿宋_GB2312"/>
          <w:b w:val="0"/>
          <w:color w:val="000000"/>
          <w:sz w:val="32"/>
          <w:szCs w:val="32"/>
        </w:rPr>
        <w:t>21.住房保障（类）住房改革（款）住房公积金（项）：指行政事业单位按人力资源和社会保障部、财政部规定的基本工资和津贴补贴以及规定比例为职工缴纳的住房公积金。</w:t>
      </w:r>
    </w:p>
    <w:p>
      <w:pPr>
        <w:spacing w:line="560" w:lineRule="exact"/>
        <w:ind w:firstLine="640" w:firstLineChars="200"/>
        <w:rPr>
          <w:rFonts w:eastAsia="仿宋_GB2312"/>
          <w:color w:val="000000"/>
          <w:sz w:val="32"/>
          <w:szCs w:val="32"/>
        </w:rPr>
      </w:pPr>
      <w:r>
        <w:rPr>
          <w:rFonts w:eastAsia="仿宋_GB2312"/>
          <w:color w:val="000000"/>
          <w:sz w:val="32"/>
          <w:szCs w:val="32"/>
        </w:rPr>
        <w:t>22.基本支出：指为保障机构正常运转、完成日常工作任务而发生的人员支出和公用支出。</w:t>
      </w:r>
    </w:p>
    <w:p>
      <w:pPr>
        <w:spacing w:line="560" w:lineRule="exact"/>
        <w:ind w:firstLine="640" w:firstLineChars="200"/>
        <w:rPr>
          <w:rFonts w:eastAsia="仿宋_GB2312"/>
          <w:color w:val="000000"/>
          <w:sz w:val="32"/>
          <w:szCs w:val="32"/>
        </w:rPr>
      </w:pPr>
      <w:r>
        <w:rPr>
          <w:rFonts w:eastAsia="仿宋_GB2312"/>
          <w:color w:val="000000"/>
          <w:sz w:val="32"/>
          <w:szCs w:val="32"/>
        </w:rPr>
        <w:t>23项目支出：指在基本支出之外为完成特定行政任务和事业发展目标所发生的支出。</w:t>
      </w:r>
    </w:p>
    <w:p>
      <w:pPr>
        <w:spacing w:line="560" w:lineRule="exact"/>
        <w:ind w:firstLine="640" w:firstLineChars="200"/>
        <w:rPr>
          <w:rFonts w:eastAsia="仿宋_GB2312"/>
          <w:color w:val="000000"/>
          <w:sz w:val="32"/>
          <w:szCs w:val="32"/>
        </w:rPr>
      </w:pPr>
      <w:r>
        <w:rPr>
          <w:rFonts w:eastAsia="仿宋_GB2312"/>
          <w:color w:val="000000"/>
          <w:sz w:val="32"/>
          <w:szCs w:val="32"/>
        </w:rPr>
        <w:t>24.经营支出：指事业单位在专业业务活动及其辅助活动之外开展非独立核算经营活动发生的支出。</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25.“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26.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Fonts w:eastAsia="黑体"/>
          <w:color w:val="000000"/>
          <w:sz w:val="44"/>
          <w:szCs w:val="44"/>
        </w:rPr>
      </w:pPr>
    </w:p>
    <w:p>
      <w:pPr>
        <w:spacing w:line="560" w:lineRule="exact"/>
        <w:jc w:val="center"/>
        <w:outlineLvl w:val="0"/>
        <w:rPr>
          <w:rStyle w:val="27"/>
          <w:rFonts w:ascii="方正小标宋简体" w:eastAsia="方正小标宋简体"/>
        </w:rPr>
      </w:pPr>
      <w:bookmarkStart w:id="63" w:name="_Toc2553_WPSOffice_Level1"/>
      <w:r>
        <w:rPr>
          <w:rFonts w:hint="eastAsia" w:ascii="方正小标宋简体" w:eastAsia="方正小标宋简体"/>
          <w:b/>
          <w:color w:val="000000"/>
          <w:sz w:val="44"/>
          <w:szCs w:val="44"/>
        </w:rPr>
        <w:t>第</w:t>
      </w:r>
      <w:r>
        <w:rPr>
          <w:rStyle w:val="27"/>
          <w:rFonts w:hint="eastAsia" w:ascii="方正小标宋简体" w:eastAsia="方正小标宋简体"/>
        </w:rPr>
        <w:t>四部分  附件</w:t>
      </w:r>
      <w:bookmarkEnd w:id="63"/>
    </w:p>
    <w:p>
      <w:pPr>
        <w:spacing w:line="560" w:lineRule="exact"/>
        <w:jc w:val="left"/>
        <w:outlineLvl w:val="0"/>
        <w:rPr>
          <w:rFonts w:eastAsia="方正小标宋简体"/>
          <w:sz w:val="32"/>
          <w:szCs w:val="32"/>
        </w:rPr>
      </w:pPr>
      <w:r>
        <w:rPr>
          <w:rFonts w:eastAsia="黑体"/>
          <w:sz w:val="32"/>
          <w:szCs w:val="32"/>
        </w:rPr>
        <w:t>附件1</w:t>
      </w:r>
    </w:p>
    <w:p>
      <w:pPr>
        <w:spacing w:line="560" w:lineRule="exact"/>
        <w:jc w:val="center"/>
        <w:rPr>
          <w:rFonts w:eastAsia="方正小标宋简体"/>
          <w:sz w:val="44"/>
          <w:szCs w:val="44"/>
        </w:rPr>
      </w:pPr>
    </w:p>
    <w:p>
      <w:pPr>
        <w:spacing w:line="560" w:lineRule="exact"/>
        <w:jc w:val="center"/>
        <w:rPr>
          <w:rFonts w:eastAsia="方正小标宋简体"/>
          <w:b/>
          <w:color w:val="000000"/>
          <w:kern w:val="0"/>
          <w:sz w:val="40"/>
          <w:szCs w:val="44"/>
        </w:rPr>
      </w:pPr>
      <w:bookmarkStart w:id="64" w:name="_Toc6533_WPSOffice_Level2"/>
      <w:r>
        <w:rPr>
          <w:rFonts w:eastAsia="方正小标宋简体"/>
          <w:b/>
          <w:color w:val="000000"/>
          <w:kern w:val="0"/>
          <w:sz w:val="40"/>
          <w:szCs w:val="44"/>
        </w:rPr>
        <w:t>巴中市人民政府办公室</w:t>
      </w:r>
      <w:bookmarkEnd w:id="64"/>
    </w:p>
    <w:p>
      <w:pPr>
        <w:spacing w:line="560" w:lineRule="exact"/>
        <w:jc w:val="center"/>
        <w:rPr>
          <w:rFonts w:eastAsia="方正小标宋简体"/>
          <w:b/>
          <w:color w:val="000000"/>
          <w:kern w:val="0"/>
          <w:sz w:val="40"/>
          <w:szCs w:val="44"/>
          <w:lang w:val="zh-CN"/>
        </w:rPr>
      </w:pPr>
      <w:bookmarkStart w:id="65" w:name="_Toc1286_WPSOffice_Level2"/>
      <w:r>
        <w:rPr>
          <w:rFonts w:eastAsia="方正小标宋简体"/>
          <w:b/>
          <w:color w:val="000000"/>
          <w:kern w:val="0"/>
          <w:sz w:val="40"/>
          <w:szCs w:val="44"/>
        </w:rPr>
        <w:t>2020年部门</w:t>
      </w:r>
      <w:r>
        <w:rPr>
          <w:rFonts w:eastAsia="方正小标宋简体"/>
          <w:b/>
          <w:color w:val="000000"/>
          <w:kern w:val="0"/>
          <w:sz w:val="40"/>
          <w:szCs w:val="44"/>
          <w:lang w:val="zh-CN"/>
        </w:rPr>
        <w:t>整体支出绩效评价报告</w:t>
      </w:r>
      <w:bookmarkEnd w:id="65"/>
    </w:p>
    <w:p>
      <w:pPr>
        <w:adjustRightInd w:val="0"/>
        <w:snapToGrid w:val="0"/>
        <w:spacing w:line="560" w:lineRule="exact"/>
        <w:ind w:firstLine="480" w:firstLineChars="200"/>
        <w:contextualSpacing/>
        <w:jc w:val="left"/>
        <w:rPr>
          <w:rFonts w:eastAsia="黑体"/>
          <w:color w:val="000000"/>
          <w:kern w:val="0"/>
          <w:sz w:val="24"/>
          <w:szCs w:val="32"/>
          <w:shd w:val="clear" w:color="auto" w:fill="FFFFFF"/>
        </w:rPr>
      </w:pPr>
    </w:p>
    <w:p>
      <w:pPr>
        <w:adjustRightInd w:val="0"/>
        <w:snapToGrid w:val="0"/>
        <w:spacing w:line="560" w:lineRule="exact"/>
        <w:ind w:firstLine="640" w:firstLineChars="200"/>
        <w:contextualSpacing/>
        <w:jc w:val="left"/>
        <w:rPr>
          <w:rFonts w:eastAsia="黑体"/>
          <w:color w:val="000000"/>
          <w:kern w:val="0"/>
          <w:sz w:val="32"/>
          <w:szCs w:val="32"/>
          <w:shd w:val="clear" w:color="auto" w:fill="FFFFFF"/>
          <w:lang w:val="zh-CN"/>
        </w:rPr>
      </w:pPr>
      <w:bookmarkStart w:id="66" w:name="_Toc13332_WPSOffice_Level2"/>
      <w:r>
        <w:rPr>
          <w:rFonts w:eastAsia="黑体"/>
          <w:color w:val="000000"/>
          <w:kern w:val="0"/>
          <w:sz w:val="32"/>
          <w:szCs w:val="32"/>
          <w:shd w:val="clear" w:color="auto" w:fill="FFFFFF"/>
        </w:rPr>
        <w:t>一、</w:t>
      </w:r>
      <w:r>
        <w:rPr>
          <w:rFonts w:eastAsia="黑体"/>
          <w:color w:val="000000"/>
          <w:kern w:val="0"/>
          <w:sz w:val="32"/>
          <w:szCs w:val="32"/>
          <w:shd w:val="clear" w:color="auto" w:fill="FFFFFF"/>
          <w:lang w:val="zh-CN"/>
        </w:rPr>
        <w:t>部门概况</w:t>
      </w:r>
      <w:bookmarkEnd w:id="66"/>
    </w:p>
    <w:p>
      <w:pPr>
        <w:adjustRightInd w:val="0"/>
        <w:snapToGrid w:val="0"/>
        <w:spacing w:line="560" w:lineRule="exact"/>
        <w:ind w:firstLine="643" w:firstLineChars="200"/>
        <w:contextualSpacing/>
        <w:jc w:val="left"/>
        <w:rPr>
          <w:rFonts w:eastAsia="仿宋_GB2312"/>
          <w:sz w:val="32"/>
          <w:szCs w:val="32"/>
        </w:rPr>
      </w:pPr>
      <w:r>
        <w:rPr>
          <w:rFonts w:hint="eastAsia" w:ascii="楷体_GB2312" w:eastAsia="楷体_GB2312"/>
          <w:b/>
          <w:sz w:val="32"/>
          <w:szCs w:val="32"/>
        </w:rPr>
        <w:t>（一）机构组成。</w:t>
      </w:r>
      <w:r>
        <w:rPr>
          <w:rFonts w:eastAsia="仿宋_GB2312"/>
          <w:sz w:val="32"/>
          <w:szCs w:val="32"/>
        </w:rPr>
        <w:t>市政府办公室内设14个科室、2个行政机构（研究室、信息公开办）及机关党委，下设3个事业单位（电子政务中心、应急指挥中心、民生工作服务中心）。</w:t>
      </w:r>
    </w:p>
    <w:p>
      <w:pPr>
        <w:adjustRightInd w:val="0"/>
        <w:snapToGrid w:val="0"/>
        <w:spacing w:line="560" w:lineRule="exact"/>
        <w:ind w:firstLine="643" w:firstLineChars="200"/>
        <w:contextualSpacing/>
        <w:jc w:val="left"/>
        <w:rPr>
          <w:rFonts w:eastAsia="仿宋_GB2312"/>
          <w:sz w:val="32"/>
          <w:szCs w:val="32"/>
        </w:rPr>
      </w:pPr>
      <w:r>
        <w:rPr>
          <w:rFonts w:ascii="楷体_GB2312" w:eastAsia="楷体_GB2312"/>
          <w:b/>
          <w:sz w:val="32"/>
          <w:szCs w:val="32"/>
        </w:rPr>
        <w:t>（二）机构职能。</w:t>
      </w:r>
      <w:r>
        <w:rPr>
          <w:rFonts w:eastAsia="仿宋_GB2312"/>
          <w:sz w:val="32"/>
          <w:szCs w:val="32"/>
        </w:rPr>
        <w:t>市政府办公室主要承担拟制、审核以市政府、市政府办公室名义发布的公文；承办市政府全体会议、常务会议、专题会议及其他全市性会议；围绕市委、市政府决策部署开展调查研究、提出建议、抓好落实；监督指导全市政府信息公开、电子政务及政府系统网站建设工作；负责全市民生、值班值守和依法行政工作。完成市委、市政府交办的其他工作。</w:t>
      </w:r>
    </w:p>
    <w:p>
      <w:pPr>
        <w:pStyle w:val="5"/>
        <w:adjustRightInd w:val="0"/>
        <w:snapToGrid w:val="0"/>
        <w:spacing w:beforeLines="0" w:line="560" w:lineRule="exact"/>
        <w:ind w:firstLine="643" w:firstLineChars="200"/>
        <w:rPr>
          <w:rFonts w:ascii="Times New Roman"/>
          <w:kern w:val="2"/>
          <w:sz w:val="32"/>
          <w:szCs w:val="32"/>
        </w:rPr>
      </w:pPr>
      <w:r>
        <w:rPr>
          <w:rFonts w:ascii="楷体_GB2312" w:eastAsia="楷体_GB2312"/>
          <w:b/>
          <w:kern w:val="2"/>
          <w:sz w:val="32"/>
          <w:szCs w:val="32"/>
        </w:rPr>
        <w:t>（三）人员概况。</w:t>
      </w:r>
      <w:r>
        <w:rPr>
          <w:rFonts w:ascii="Times New Roman"/>
          <w:kern w:val="2"/>
          <w:sz w:val="32"/>
          <w:szCs w:val="32"/>
        </w:rPr>
        <w:t>市政府办公室实行综合预算制度，即全部收入和支出都纳入预算管理。2020年财政预算供给人员78人，供给车辆10辆。</w:t>
      </w:r>
    </w:p>
    <w:p>
      <w:pPr>
        <w:adjustRightInd w:val="0"/>
        <w:snapToGrid w:val="0"/>
        <w:spacing w:line="560" w:lineRule="exact"/>
        <w:ind w:firstLine="640" w:firstLineChars="200"/>
        <w:contextualSpacing/>
        <w:jc w:val="left"/>
        <w:rPr>
          <w:rFonts w:eastAsia="黑体"/>
          <w:color w:val="000000"/>
          <w:kern w:val="0"/>
          <w:sz w:val="32"/>
          <w:szCs w:val="32"/>
          <w:shd w:val="clear" w:color="auto" w:fill="FFFFFF"/>
        </w:rPr>
      </w:pPr>
      <w:bookmarkStart w:id="67" w:name="_Toc22758_WPSOffice_Level2"/>
      <w:r>
        <w:rPr>
          <w:rFonts w:eastAsia="黑体"/>
          <w:color w:val="000000"/>
          <w:kern w:val="0"/>
          <w:sz w:val="32"/>
          <w:szCs w:val="32"/>
          <w:shd w:val="clear" w:color="auto" w:fill="FFFFFF"/>
        </w:rPr>
        <w:t>二、部门财政资金收支情况</w:t>
      </w:r>
      <w:bookmarkEnd w:id="67"/>
    </w:p>
    <w:p>
      <w:pPr>
        <w:spacing w:line="560" w:lineRule="exact"/>
        <w:ind w:firstLine="643" w:firstLineChars="200"/>
        <w:rPr>
          <w:rFonts w:eastAsia="仿宋_GB2312"/>
          <w:sz w:val="32"/>
          <w:szCs w:val="32"/>
        </w:rPr>
      </w:pPr>
      <w:r>
        <w:rPr>
          <w:rFonts w:hint="eastAsia" w:ascii="楷体_GB2312" w:eastAsia="楷体_GB2312"/>
          <w:b/>
          <w:color w:val="000000"/>
          <w:kern w:val="0"/>
          <w:sz w:val="32"/>
          <w:szCs w:val="32"/>
          <w:shd w:val="clear" w:color="auto" w:fill="FFFFFF"/>
          <w:lang w:val="zh-CN"/>
        </w:rPr>
        <w:t>（一）部门财政资金收入情况</w:t>
      </w:r>
      <w:r>
        <w:rPr>
          <w:rFonts w:hint="eastAsia" w:ascii="楷体_GB2312" w:eastAsia="楷体_GB2312"/>
          <w:b/>
          <w:kern w:val="0"/>
          <w:sz w:val="32"/>
          <w:szCs w:val="32"/>
          <w:lang w:val="zh-CN"/>
        </w:rPr>
        <w:t>。</w:t>
      </w:r>
      <w:r>
        <w:rPr>
          <w:rFonts w:eastAsia="仿宋_GB2312"/>
          <w:sz w:val="32"/>
          <w:szCs w:val="32"/>
        </w:rPr>
        <w:t>2020年收入总计2447.25万元。其中：年初结转和结余306.61万元，一般公共预算财政拨款收入2140.64万元。</w:t>
      </w:r>
    </w:p>
    <w:p>
      <w:pPr>
        <w:spacing w:line="560" w:lineRule="exact"/>
        <w:ind w:firstLine="641"/>
        <w:rPr>
          <w:rFonts w:eastAsia="仿宋_GB2312"/>
          <w:color w:val="000000"/>
          <w:sz w:val="32"/>
          <w:szCs w:val="32"/>
        </w:rPr>
      </w:pPr>
      <w:r>
        <w:rPr>
          <w:rFonts w:hint="eastAsia" w:ascii="楷体_GB2312" w:eastAsia="楷体_GB2312"/>
          <w:b/>
          <w:color w:val="000000"/>
          <w:kern w:val="0"/>
          <w:sz w:val="32"/>
          <w:szCs w:val="32"/>
          <w:shd w:val="clear" w:color="auto" w:fill="FFFFFF"/>
          <w:lang w:val="zh-CN"/>
        </w:rPr>
        <w:t>（二）部门财政资金支出情况。</w:t>
      </w:r>
      <w:r>
        <w:rPr>
          <w:rFonts w:eastAsia="仿宋_GB2312"/>
          <w:color w:val="000000"/>
          <w:sz w:val="32"/>
          <w:szCs w:val="32"/>
        </w:rPr>
        <w:t>2020年支出合计2176.91万元。其中：基本支出1560.63万元，项目支出616.28万元。</w:t>
      </w:r>
    </w:p>
    <w:p>
      <w:pPr>
        <w:adjustRightInd w:val="0"/>
        <w:snapToGrid w:val="0"/>
        <w:spacing w:line="560" w:lineRule="exact"/>
        <w:ind w:firstLine="640" w:firstLineChars="200"/>
        <w:contextualSpacing/>
        <w:jc w:val="left"/>
        <w:rPr>
          <w:rFonts w:eastAsia="黑体"/>
          <w:color w:val="000000"/>
          <w:kern w:val="0"/>
          <w:sz w:val="32"/>
          <w:szCs w:val="32"/>
          <w:shd w:val="clear" w:color="auto" w:fill="FFFFFF"/>
        </w:rPr>
      </w:pPr>
      <w:bookmarkStart w:id="68" w:name="_Toc113_WPSOffice_Level2"/>
      <w:r>
        <w:rPr>
          <w:rFonts w:eastAsia="黑体"/>
          <w:color w:val="000000"/>
          <w:kern w:val="0"/>
          <w:sz w:val="32"/>
          <w:szCs w:val="32"/>
          <w:shd w:val="clear" w:color="auto" w:fill="FFFFFF"/>
        </w:rPr>
        <w:t>三、部门整体预算绩效管理情况</w:t>
      </w:r>
      <w:bookmarkEnd w:id="68"/>
    </w:p>
    <w:p>
      <w:pPr>
        <w:adjustRightInd w:val="0"/>
        <w:snapToGrid w:val="0"/>
        <w:spacing w:line="560" w:lineRule="exact"/>
        <w:ind w:firstLine="643" w:firstLineChars="200"/>
        <w:contextualSpacing/>
        <w:jc w:val="left"/>
        <w:rPr>
          <w:rFonts w:ascii="楷体_GB2312" w:eastAsia="楷体_GB2312"/>
          <w:b/>
          <w:color w:val="000000"/>
          <w:kern w:val="0"/>
          <w:sz w:val="32"/>
          <w:szCs w:val="32"/>
          <w:shd w:val="clear" w:color="auto" w:fill="FFFFFF"/>
          <w:lang w:val="zh-CN"/>
        </w:rPr>
      </w:pPr>
      <w:r>
        <w:rPr>
          <w:rFonts w:hint="eastAsia" w:ascii="楷体_GB2312" w:eastAsia="楷体_GB2312"/>
          <w:b/>
          <w:color w:val="000000"/>
          <w:kern w:val="0"/>
          <w:sz w:val="32"/>
          <w:szCs w:val="32"/>
          <w:shd w:val="clear" w:color="auto" w:fill="FFFFFF"/>
          <w:lang w:val="zh-CN"/>
        </w:rPr>
        <w:t>（一）部门预算管理。</w:t>
      </w:r>
    </w:p>
    <w:p>
      <w:pPr>
        <w:adjustRightInd w:val="0"/>
        <w:snapToGrid w:val="0"/>
        <w:spacing w:line="560" w:lineRule="exact"/>
        <w:ind w:firstLine="640" w:firstLineChars="200"/>
        <w:contextualSpacing/>
        <w:jc w:val="left"/>
        <w:rPr>
          <w:rFonts w:eastAsia="仿宋_GB2312"/>
          <w:color w:val="000000"/>
          <w:kern w:val="0"/>
          <w:sz w:val="32"/>
          <w:szCs w:val="32"/>
          <w:shd w:val="clear" w:color="auto" w:fill="FFFFFF"/>
          <w:lang w:val="zh-CN"/>
        </w:rPr>
      </w:pPr>
      <w:r>
        <w:rPr>
          <w:rFonts w:eastAsia="仿宋_GB2312"/>
          <w:color w:val="000000"/>
          <w:kern w:val="0"/>
          <w:sz w:val="32"/>
          <w:szCs w:val="32"/>
          <w:shd w:val="clear" w:color="auto" w:fill="FFFFFF"/>
          <w:lang w:val="zh-CN"/>
        </w:rPr>
        <w:t>包括部门绩效目标制定、目标实现、预算编制准确、支出控制、预算动态调整、执行进度、预算完成情况和违规记录等情况。</w:t>
      </w:r>
    </w:p>
    <w:p>
      <w:pPr>
        <w:spacing w:line="560" w:lineRule="exact"/>
        <w:ind w:firstLine="643" w:firstLineChars="200"/>
        <w:rPr>
          <w:rFonts w:eastAsia="仿宋_GB2312"/>
          <w:sz w:val="32"/>
          <w:szCs w:val="32"/>
        </w:rPr>
      </w:pPr>
      <w:r>
        <w:rPr>
          <w:rFonts w:eastAsia="仿宋_GB2312"/>
          <w:b/>
          <w:sz w:val="32"/>
          <w:szCs w:val="32"/>
        </w:rPr>
        <w:t>1.部门绩效目标制定情况。</w:t>
      </w:r>
      <w:r>
        <w:rPr>
          <w:rFonts w:eastAsia="仿宋_GB2312"/>
          <w:sz w:val="32"/>
          <w:szCs w:val="32"/>
        </w:rPr>
        <w:t>市政府办公室严格按照运转类项目和事业发展类项目分别制定部门绩效目标。运转类项目绩效目标按照规定格式制定。事业发展类项目在立项审批时同步编制绩效目标，制定的事业发展类项目绩效目标中详细反映了相应工作任务、经费的测算过程（含具体工作量、支出成本和采用的支出测算标准等）、达到的效果等。审批通过后制定完善绩效目标。</w:t>
      </w:r>
    </w:p>
    <w:p>
      <w:pPr>
        <w:adjustRightInd w:val="0"/>
        <w:snapToGrid w:val="0"/>
        <w:spacing w:line="560" w:lineRule="exact"/>
        <w:ind w:firstLine="643" w:firstLineChars="200"/>
        <w:contextualSpacing/>
        <w:jc w:val="left"/>
        <w:rPr>
          <w:rFonts w:eastAsia="仿宋_GB2312"/>
          <w:sz w:val="32"/>
          <w:szCs w:val="32"/>
        </w:rPr>
      </w:pPr>
      <w:r>
        <w:rPr>
          <w:rFonts w:eastAsia="仿宋_GB2312"/>
          <w:b/>
          <w:sz w:val="32"/>
          <w:szCs w:val="32"/>
        </w:rPr>
        <w:t>2.目标实现情况。</w:t>
      </w:r>
      <w:r>
        <w:rPr>
          <w:rFonts w:eastAsia="仿宋_GB2312"/>
          <w:sz w:val="32"/>
          <w:szCs w:val="32"/>
        </w:rPr>
        <w:t>在办公室党组的坚强领导下，在各科室（办）的共同努力下，紧紧围绕中心工作，坚持财务精细化管理，严格预算绩效管理，增收节支，严格支出，保障各项工作有力有序开展，年度绩效目标任务全面完成。</w:t>
      </w:r>
    </w:p>
    <w:p>
      <w:pPr>
        <w:spacing w:line="560" w:lineRule="exact"/>
        <w:ind w:firstLine="643" w:firstLineChars="200"/>
        <w:rPr>
          <w:rFonts w:eastAsia="仿宋_GB2312"/>
          <w:sz w:val="32"/>
          <w:szCs w:val="32"/>
        </w:rPr>
      </w:pPr>
      <w:r>
        <w:rPr>
          <w:rFonts w:eastAsia="仿宋_GB2312"/>
          <w:b/>
          <w:sz w:val="32"/>
          <w:szCs w:val="32"/>
        </w:rPr>
        <w:t>3.预算编制情况。</w:t>
      </w:r>
      <w:r>
        <w:rPr>
          <w:rFonts w:eastAsia="仿宋_GB2312"/>
          <w:sz w:val="32"/>
          <w:szCs w:val="32"/>
        </w:rPr>
        <w:t>一是根据年度经济社会发展目标、国家宏观调控总体要求和跨年度预算平衡的需要，结合上一年预算执行情况、有关支出绩效评价结果和本年度收支预测，按照《</w:t>
      </w:r>
      <w:r>
        <w:rPr>
          <w:rFonts w:hint="eastAsia" w:eastAsia="仿宋_GB2312"/>
          <w:sz w:val="32"/>
          <w:szCs w:val="32"/>
        </w:rPr>
        <w:t>中华人民共和国</w:t>
      </w:r>
      <w:r>
        <w:rPr>
          <w:rFonts w:eastAsia="仿宋_GB2312"/>
          <w:sz w:val="32"/>
          <w:szCs w:val="32"/>
        </w:rPr>
        <w:t>预算法》编制预算。二是按照财政部统一制定的政府收支分类科目及相关管理规定，以及绩效目标管理等预算编制规定，根据履职要求和事业发展计划以及存量资产情况编制预算。</w:t>
      </w:r>
    </w:p>
    <w:p>
      <w:pPr>
        <w:spacing w:line="560" w:lineRule="exact"/>
        <w:ind w:firstLine="560"/>
        <w:rPr>
          <w:rFonts w:eastAsia="仿宋_GB2312"/>
          <w:sz w:val="32"/>
          <w:szCs w:val="32"/>
        </w:rPr>
      </w:pPr>
      <w:r>
        <w:rPr>
          <w:rFonts w:eastAsia="仿宋_GB2312"/>
          <w:b/>
          <w:sz w:val="32"/>
          <w:szCs w:val="32"/>
        </w:rPr>
        <w:t>4.支出控制情况。</w:t>
      </w:r>
      <w:r>
        <w:rPr>
          <w:rFonts w:eastAsia="仿宋_GB2312"/>
          <w:sz w:val="32"/>
          <w:szCs w:val="32"/>
        </w:rPr>
        <w:t>结合单位实际，修改完善了市政府办公室《财务管理制度》，明确了预算支出责任、考核指标，对各科室（办）预算情况进行综合分析和考核。同一科室（办）通过不同预算分别安排的支出，都纳入执行进度考核范围。对当年预算执行进度低于平均进度且无正当理由的，核减下一年项目经费。</w:t>
      </w:r>
    </w:p>
    <w:p>
      <w:pPr>
        <w:spacing w:line="560" w:lineRule="exact"/>
        <w:ind w:firstLine="643" w:firstLineChars="200"/>
        <w:rPr>
          <w:rFonts w:eastAsia="仿宋_GB2312"/>
          <w:sz w:val="32"/>
          <w:szCs w:val="32"/>
        </w:rPr>
      </w:pPr>
      <w:r>
        <w:rPr>
          <w:rFonts w:eastAsia="仿宋_GB2312"/>
          <w:b/>
          <w:sz w:val="32"/>
          <w:szCs w:val="32"/>
        </w:rPr>
        <w:t>5.预算动态调整情况。</w:t>
      </w:r>
      <w:r>
        <w:rPr>
          <w:rFonts w:eastAsia="仿宋_GB2312"/>
          <w:sz w:val="32"/>
          <w:szCs w:val="32"/>
        </w:rPr>
        <w:t>严格按照财政批复预算执行，加强预算管理，强化约束。严格控制项目预算调整，无特殊情况，原则上对预算不进行调整，若执行中因客观原因发生变化确需调整的项目，均按规定程序报批。在预算执行中，对必须进行的预算调整，均编制了预算调整方案。</w:t>
      </w:r>
    </w:p>
    <w:p>
      <w:pPr>
        <w:spacing w:line="560" w:lineRule="exact"/>
        <w:ind w:firstLine="643" w:firstLineChars="200"/>
        <w:rPr>
          <w:rFonts w:eastAsia="仿宋_GB2312"/>
          <w:sz w:val="32"/>
          <w:szCs w:val="32"/>
        </w:rPr>
      </w:pPr>
      <w:r>
        <w:rPr>
          <w:rFonts w:eastAsia="仿宋_GB2312"/>
          <w:b/>
          <w:sz w:val="32"/>
          <w:szCs w:val="32"/>
        </w:rPr>
        <w:t>6.执行进度情况。</w:t>
      </w:r>
      <w:r>
        <w:rPr>
          <w:rFonts w:eastAsia="仿宋_GB2312"/>
          <w:sz w:val="32"/>
          <w:szCs w:val="32"/>
        </w:rPr>
        <w:t>在预算执行中对资金运行情况和绩效目标预期实现程度进行绩效监控，及时发现并纠正绩效运行中存在的问题，确保绩效目标如期实现。行政科根据工作和事业发展计划，做好预算执行的前期准备，特别是重大项目的准备工作。根据年度预算安排和项目实施进度等情况，严格申报用款计划，及时提出支付申请，确保了资金及时拨付。坚持“先预算后支出”的原则，强化预算的严肃性。</w:t>
      </w:r>
      <w:r>
        <w:rPr>
          <w:rFonts w:hint="eastAsia" w:eastAsia="仿宋_GB2312"/>
          <w:sz w:val="32"/>
          <w:szCs w:val="32"/>
        </w:rPr>
        <w:t>行政科</w:t>
      </w:r>
      <w:r>
        <w:rPr>
          <w:rFonts w:eastAsia="仿宋_GB2312"/>
          <w:sz w:val="32"/>
          <w:szCs w:val="32"/>
        </w:rPr>
        <w:t>合理安排各事项的相关准备工作，督促各科室按项目要求准备资料，及时履行报批程序，统筹协调，有效推进项目开展</w:t>
      </w:r>
      <w:r>
        <w:rPr>
          <w:rFonts w:hint="eastAsia" w:eastAsia="仿宋_GB2312"/>
          <w:sz w:val="32"/>
          <w:szCs w:val="32"/>
        </w:rPr>
        <w:t>，</w:t>
      </w:r>
      <w:r>
        <w:rPr>
          <w:rFonts w:eastAsia="仿宋_GB2312"/>
          <w:sz w:val="32"/>
          <w:szCs w:val="32"/>
        </w:rPr>
        <w:t>按照财务制度的规定对预算收支进行核算，并对各科室预算执行进度和计划完成情况进行汇总分析，</w:t>
      </w:r>
      <w:r>
        <w:rPr>
          <w:rFonts w:hint="eastAsia" w:eastAsia="仿宋_GB2312"/>
          <w:sz w:val="32"/>
          <w:szCs w:val="32"/>
        </w:rPr>
        <w:t>定期</w:t>
      </w:r>
      <w:r>
        <w:rPr>
          <w:rFonts w:eastAsia="仿宋_GB2312"/>
          <w:sz w:val="32"/>
          <w:szCs w:val="32"/>
        </w:rPr>
        <w:t>向党组会报告预算执行情况。</w:t>
      </w:r>
    </w:p>
    <w:p>
      <w:pPr>
        <w:spacing w:line="560" w:lineRule="exact"/>
        <w:ind w:firstLine="643" w:firstLineChars="200"/>
        <w:outlineLvl w:val="1"/>
        <w:rPr>
          <w:rFonts w:eastAsia="仿宋_GB2312"/>
          <w:sz w:val="32"/>
          <w:szCs w:val="32"/>
        </w:rPr>
      </w:pPr>
      <w:r>
        <w:rPr>
          <w:rFonts w:eastAsia="仿宋_GB2312"/>
          <w:b/>
          <w:sz w:val="32"/>
          <w:szCs w:val="32"/>
        </w:rPr>
        <w:t>7.预算完成情况。</w:t>
      </w:r>
      <w:r>
        <w:rPr>
          <w:rFonts w:eastAsia="仿宋_GB2312"/>
          <w:sz w:val="32"/>
          <w:szCs w:val="32"/>
        </w:rPr>
        <w:t>2020年财政拨款收入2447.25万元</w:t>
      </w:r>
      <w:r>
        <w:rPr>
          <w:rFonts w:eastAsia="仿宋_GB2312"/>
          <w:b/>
          <w:sz w:val="32"/>
          <w:szCs w:val="32"/>
        </w:rPr>
        <w:t>，</w:t>
      </w:r>
      <w:r>
        <w:rPr>
          <w:rFonts w:eastAsia="仿宋_GB2312"/>
          <w:sz w:val="32"/>
          <w:szCs w:val="32"/>
        </w:rPr>
        <w:t>财政拨款支出2176.91万元。完成预算</w:t>
      </w:r>
      <w:r>
        <w:rPr>
          <w:rFonts w:hint="eastAsia" w:eastAsia="仿宋_GB2312"/>
          <w:sz w:val="32"/>
          <w:szCs w:val="32"/>
          <w:lang w:eastAsia="zh-CN"/>
        </w:rPr>
        <w:t>的</w:t>
      </w:r>
      <w:r>
        <w:rPr>
          <w:rFonts w:hint="eastAsia" w:eastAsia="仿宋_GB2312"/>
          <w:sz w:val="32"/>
          <w:szCs w:val="32"/>
          <w:lang w:val="en-US" w:eastAsia="zh-CN"/>
        </w:rPr>
        <w:t xml:space="preserve"> </w:t>
      </w:r>
      <w:r>
        <w:rPr>
          <w:rFonts w:eastAsia="仿宋_GB2312"/>
          <w:sz w:val="32"/>
          <w:szCs w:val="32"/>
        </w:rPr>
        <w:t>88.95%。</w:t>
      </w:r>
    </w:p>
    <w:p>
      <w:pPr>
        <w:spacing w:line="560" w:lineRule="exact"/>
        <w:ind w:firstLine="643" w:firstLineChars="200"/>
        <w:outlineLvl w:val="1"/>
        <w:rPr>
          <w:rFonts w:eastAsia="仿宋_GB2312"/>
          <w:sz w:val="32"/>
          <w:szCs w:val="32"/>
        </w:rPr>
      </w:pPr>
      <w:r>
        <w:rPr>
          <w:rFonts w:eastAsia="仿宋_GB2312"/>
          <w:b/>
          <w:sz w:val="32"/>
          <w:szCs w:val="32"/>
        </w:rPr>
        <w:t>8.违规记录情况。</w:t>
      </w:r>
      <w:r>
        <w:rPr>
          <w:rFonts w:eastAsia="仿宋_GB2312"/>
          <w:sz w:val="32"/>
          <w:szCs w:val="32"/>
        </w:rPr>
        <w:t>市政府办公室从严执行财务管理制度， 加强经费管理，严肃财经纪律，严格控制支出。无违规记录。</w:t>
      </w:r>
    </w:p>
    <w:p>
      <w:pPr>
        <w:adjustRightInd w:val="0"/>
        <w:snapToGrid w:val="0"/>
        <w:spacing w:line="560" w:lineRule="exact"/>
        <w:ind w:firstLine="643" w:firstLineChars="200"/>
        <w:contextualSpacing/>
        <w:jc w:val="left"/>
        <w:rPr>
          <w:rFonts w:ascii="楷体_GB2312" w:eastAsia="楷体_GB2312"/>
          <w:b/>
          <w:color w:val="000000"/>
          <w:kern w:val="0"/>
          <w:sz w:val="32"/>
          <w:szCs w:val="32"/>
          <w:shd w:val="clear" w:color="auto" w:fill="FFFFFF"/>
          <w:lang w:val="zh-CN"/>
        </w:rPr>
      </w:pPr>
      <w:r>
        <w:rPr>
          <w:rFonts w:hint="eastAsia" w:ascii="楷体_GB2312" w:eastAsia="楷体_GB2312"/>
          <w:b/>
          <w:color w:val="000000"/>
          <w:kern w:val="0"/>
          <w:sz w:val="32"/>
          <w:szCs w:val="32"/>
          <w:shd w:val="clear" w:color="auto" w:fill="FFFFFF"/>
          <w:lang w:val="zh-CN"/>
        </w:rPr>
        <w:t>（二）结果应用情况。</w:t>
      </w:r>
    </w:p>
    <w:p>
      <w:pPr>
        <w:spacing w:line="560" w:lineRule="exact"/>
        <w:ind w:firstLine="640" w:firstLineChars="200"/>
        <w:rPr>
          <w:rFonts w:eastAsia="仿宋_GB2312"/>
          <w:sz w:val="32"/>
          <w:szCs w:val="32"/>
        </w:rPr>
      </w:pPr>
      <w:r>
        <w:rPr>
          <w:rFonts w:eastAsia="仿宋_GB2312"/>
          <w:sz w:val="32"/>
          <w:szCs w:val="32"/>
        </w:rPr>
        <w:t>通过绩效评价，2020年部门预算用途和目标明确，执行计划详细，资金到位及时、使用符合规定。预算决策、管理、执行等更加科学规范，能较好的满足工作需要，取得了良好经济效益和社会效益。</w:t>
      </w:r>
    </w:p>
    <w:p>
      <w:pPr>
        <w:adjustRightInd w:val="0"/>
        <w:snapToGrid w:val="0"/>
        <w:spacing w:line="560" w:lineRule="exact"/>
        <w:ind w:firstLine="640" w:firstLineChars="200"/>
        <w:contextualSpacing/>
        <w:jc w:val="left"/>
        <w:rPr>
          <w:rFonts w:eastAsia="黑体"/>
          <w:color w:val="000000"/>
          <w:kern w:val="0"/>
          <w:sz w:val="32"/>
          <w:szCs w:val="32"/>
          <w:shd w:val="clear" w:color="auto" w:fill="FFFFFF"/>
        </w:rPr>
      </w:pPr>
      <w:bookmarkStart w:id="69" w:name="_Toc1020_WPSOffice_Level2"/>
      <w:r>
        <w:rPr>
          <w:rFonts w:eastAsia="黑体"/>
          <w:color w:val="000000"/>
          <w:kern w:val="0"/>
          <w:sz w:val="32"/>
          <w:szCs w:val="32"/>
          <w:shd w:val="clear" w:color="auto" w:fill="FFFFFF"/>
        </w:rPr>
        <w:t>四、评价结论及建议</w:t>
      </w:r>
      <w:bookmarkEnd w:id="69"/>
    </w:p>
    <w:p>
      <w:pPr>
        <w:adjustRightInd w:val="0"/>
        <w:snapToGrid w:val="0"/>
        <w:spacing w:line="560" w:lineRule="exact"/>
        <w:ind w:firstLine="643" w:firstLineChars="200"/>
        <w:contextualSpacing/>
        <w:jc w:val="left"/>
        <w:rPr>
          <w:rFonts w:eastAsia="仿宋"/>
          <w:sz w:val="32"/>
          <w:szCs w:val="32"/>
        </w:rPr>
      </w:pPr>
      <w:r>
        <w:rPr>
          <w:rFonts w:hint="eastAsia" w:ascii="楷体_GB2312" w:eastAsia="楷体_GB2312"/>
          <w:b/>
          <w:color w:val="000000"/>
          <w:kern w:val="0"/>
          <w:sz w:val="32"/>
          <w:szCs w:val="32"/>
          <w:shd w:val="clear" w:color="auto" w:fill="FFFFFF"/>
          <w:lang w:val="zh-CN"/>
        </w:rPr>
        <w:t>（一）评价结论。</w:t>
      </w:r>
      <w:r>
        <w:rPr>
          <w:rFonts w:eastAsia="仿宋_GB2312"/>
          <w:sz w:val="32"/>
          <w:szCs w:val="32"/>
        </w:rPr>
        <w:t>按照预算绩效管理要求，市政府办公室对2020年度整体支出开展绩效自评，自评得分93分，自评结果为“优秀”。</w:t>
      </w:r>
    </w:p>
    <w:p>
      <w:pPr>
        <w:spacing w:line="560" w:lineRule="exact"/>
        <w:ind w:firstLine="643" w:firstLineChars="200"/>
        <w:rPr>
          <w:rFonts w:eastAsia="仿宋"/>
          <w:sz w:val="32"/>
          <w:szCs w:val="32"/>
        </w:rPr>
      </w:pPr>
      <w:r>
        <w:rPr>
          <w:rFonts w:ascii="楷体_GB2312" w:eastAsia="楷体_GB2312"/>
          <w:b/>
          <w:color w:val="000000"/>
          <w:kern w:val="0"/>
          <w:sz w:val="32"/>
          <w:szCs w:val="32"/>
          <w:shd w:val="clear" w:color="auto" w:fill="FFFFFF"/>
          <w:lang w:val="zh-CN"/>
        </w:rPr>
        <w:t>（二）存在问题。</w:t>
      </w:r>
      <w:r>
        <w:rPr>
          <w:rFonts w:eastAsia="仿宋_GB2312"/>
          <w:sz w:val="32"/>
          <w:szCs w:val="32"/>
        </w:rPr>
        <w:t>一是市政府办公室作为统筹协调机构，具体项目实施少，社会效益发挥还不够明显；二是调查研究不够深入，分析预判不够全面，导致项目预算编制不够精准。</w:t>
      </w:r>
    </w:p>
    <w:p>
      <w:pPr>
        <w:adjustRightInd w:val="0"/>
        <w:snapToGrid w:val="0"/>
        <w:spacing w:line="560" w:lineRule="exact"/>
        <w:ind w:firstLine="643" w:firstLineChars="200"/>
        <w:contextualSpacing/>
        <w:jc w:val="left"/>
        <w:rPr>
          <w:rFonts w:eastAsia="仿宋_GB2312"/>
          <w:sz w:val="32"/>
          <w:szCs w:val="32"/>
        </w:rPr>
      </w:pPr>
      <w:r>
        <w:rPr>
          <w:rFonts w:hint="eastAsia" w:ascii="楷体_GB2312" w:eastAsia="楷体_GB2312"/>
          <w:b/>
          <w:sz w:val="32"/>
          <w:szCs w:val="32"/>
        </w:rPr>
        <w:t>（三）改进建议。</w:t>
      </w:r>
      <w:r>
        <w:rPr>
          <w:rFonts w:eastAsia="仿宋_GB2312"/>
          <w:sz w:val="32"/>
          <w:szCs w:val="32"/>
        </w:rPr>
        <w:t>一是充分征求各科室意见，组织人员进行深入研究，增强预算的科学性、合理性；二是坚持问题导向，强化目标管理，在精、细、准上下功夫，使社会效益得以充分发挥。</w:t>
      </w:r>
    </w:p>
    <w:p>
      <w:pPr>
        <w:adjustRightInd w:val="0"/>
        <w:snapToGrid w:val="0"/>
        <w:spacing w:line="560" w:lineRule="exact"/>
        <w:ind w:firstLine="640" w:firstLineChars="200"/>
        <w:contextualSpacing/>
        <w:jc w:val="left"/>
        <w:rPr>
          <w:rFonts w:eastAsia="黑体"/>
          <w:sz w:val="32"/>
          <w:szCs w:val="32"/>
        </w:rPr>
      </w:pPr>
    </w:p>
    <w:p>
      <w:pPr>
        <w:adjustRightInd w:val="0"/>
        <w:snapToGrid w:val="0"/>
        <w:spacing w:line="560" w:lineRule="exact"/>
        <w:ind w:firstLine="640" w:firstLineChars="200"/>
        <w:contextualSpacing/>
        <w:jc w:val="left"/>
        <w:rPr>
          <w:rFonts w:eastAsia="黑体"/>
          <w:sz w:val="32"/>
          <w:szCs w:val="32"/>
        </w:rPr>
      </w:pPr>
    </w:p>
    <w:p>
      <w:pPr>
        <w:adjustRightInd w:val="0"/>
        <w:snapToGrid w:val="0"/>
        <w:spacing w:line="560" w:lineRule="exact"/>
        <w:ind w:firstLine="640" w:firstLineChars="200"/>
        <w:contextualSpacing/>
        <w:jc w:val="left"/>
        <w:rPr>
          <w:rFonts w:eastAsia="黑体"/>
          <w:sz w:val="32"/>
          <w:szCs w:val="32"/>
        </w:rPr>
      </w:pPr>
    </w:p>
    <w:p>
      <w:pPr>
        <w:widowControl/>
        <w:jc w:val="left"/>
        <w:rPr>
          <w:rFonts w:eastAsia="黑体"/>
          <w:sz w:val="32"/>
          <w:szCs w:val="32"/>
        </w:rPr>
      </w:pPr>
      <w:r>
        <w:rPr>
          <w:rFonts w:eastAsia="黑体"/>
          <w:sz w:val="32"/>
          <w:szCs w:val="32"/>
        </w:rPr>
        <w:br w:type="page"/>
      </w:r>
    </w:p>
    <w:p>
      <w:pPr>
        <w:adjustRightInd w:val="0"/>
        <w:snapToGrid w:val="0"/>
        <w:spacing w:line="560" w:lineRule="exact"/>
        <w:contextualSpacing/>
        <w:jc w:val="left"/>
        <w:rPr>
          <w:rFonts w:hint="eastAsia" w:eastAsia="黑体"/>
          <w:sz w:val="32"/>
          <w:szCs w:val="32"/>
        </w:rPr>
      </w:pPr>
      <w:r>
        <w:rPr>
          <w:rFonts w:eastAsia="黑体"/>
          <w:sz w:val="32"/>
          <w:szCs w:val="32"/>
        </w:rPr>
        <w:t>附件2</w:t>
      </w:r>
    </w:p>
    <w:p>
      <w:pPr>
        <w:adjustRightInd w:val="0"/>
        <w:snapToGrid w:val="0"/>
        <w:spacing w:line="560" w:lineRule="exact"/>
        <w:contextualSpacing/>
        <w:jc w:val="left"/>
        <w:rPr>
          <w:rFonts w:eastAsia="仿宋_GB2312"/>
          <w:sz w:val="32"/>
          <w:szCs w:val="32"/>
        </w:rPr>
      </w:pPr>
    </w:p>
    <w:p>
      <w:pPr>
        <w:pStyle w:val="33"/>
        <w:spacing w:line="560" w:lineRule="exact"/>
        <w:jc w:val="center"/>
        <w:rPr>
          <w:rFonts w:hint="eastAsia" w:ascii="Times New Roman" w:hAnsi="Times New Roman" w:eastAsia="方正小标宋_GBK" w:cs="Times New Roman"/>
          <w:b/>
          <w:sz w:val="44"/>
          <w:szCs w:val="44"/>
        </w:rPr>
      </w:pPr>
      <w:bookmarkStart w:id="70" w:name="_Toc5703_WPSOffice_Level2"/>
      <w:bookmarkStart w:id="71" w:name="OLE_LINK1"/>
      <w:r>
        <w:rPr>
          <w:rFonts w:ascii="Times New Roman" w:hAnsi="Times New Roman" w:eastAsia="方正小标宋_GBK" w:cs="Times New Roman"/>
          <w:b/>
          <w:sz w:val="44"/>
          <w:szCs w:val="44"/>
        </w:rPr>
        <w:t>巴中市</w:t>
      </w:r>
      <w:bookmarkEnd w:id="70"/>
      <w:bookmarkStart w:id="72" w:name="_Toc9812_WPSOffice_Level2"/>
      <w:r>
        <w:rPr>
          <w:rFonts w:ascii="Times New Roman" w:hAnsi="Times New Roman" w:eastAsia="方正小标宋_GBK" w:cs="Times New Roman"/>
          <w:b/>
          <w:sz w:val="44"/>
          <w:szCs w:val="44"/>
        </w:rPr>
        <w:t>政</w:t>
      </w:r>
      <w:r>
        <w:rPr>
          <w:rFonts w:hint="eastAsia" w:ascii="Times New Roman" w:hAnsi="Times New Roman" w:eastAsia="方正小标宋_GBK" w:cs="Times New Roman"/>
          <w:b/>
          <w:sz w:val="44"/>
          <w:szCs w:val="44"/>
        </w:rPr>
        <w:t>府</w:t>
      </w:r>
      <w:r>
        <w:rPr>
          <w:rFonts w:ascii="Times New Roman" w:hAnsi="Times New Roman" w:eastAsia="方正小标宋_GBK" w:cs="Times New Roman"/>
          <w:b/>
          <w:sz w:val="44"/>
          <w:szCs w:val="44"/>
        </w:rPr>
        <w:t>网站集约化平台建设项目</w:t>
      </w:r>
    </w:p>
    <w:p>
      <w:pPr>
        <w:pStyle w:val="33"/>
        <w:spacing w:line="560" w:lineRule="exact"/>
        <w:jc w:val="center"/>
        <w:rPr>
          <w:rFonts w:ascii="Times New Roman" w:hAnsi="Times New Roman" w:eastAsia="方正小标宋_GBK" w:cs="Times New Roman"/>
          <w:b/>
          <w:sz w:val="44"/>
          <w:szCs w:val="44"/>
        </w:rPr>
      </w:pPr>
      <w:r>
        <w:rPr>
          <w:rFonts w:ascii="Times New Roman" w:hAnsi="Times New Roman" w:eastAsia="方正小标宋_GBK" w:cs="Times New Roman"/>
          <w:b/>
          <w:sz w:val="44"/>
          <w:szCs w:val="44"/>
        </w:rPr>
        <w:t>2020年绩效评价报告</w:t>
      </w:r>
      <w:bookmarkEnd w:id="72"/>
    </w:p>
    <w:p>
      <w:pPr>
        <w:pStyle w:val="33"/>
        <w:spacing w:line="560" w:lineRule="exact"/>
        <w:ind w:firstLine="640" w:firstLineChars="200"/>
        <w:rPr>
          <w:rFonts w:ascii="Times New Roman" w:hAnsi="Times New Roman" w:eastAsia="黑体" w:cs="Times New Roman"/>
          <w:bCs/>
          <w:sz w:val="32"/>
          <w:szCs w:val="32"/>
        </w:rPr>
      </w:pPr>
    </w:p>
    <w:p>
      <w:pPr>
        <w:pStyle w:val="33"/>
        <w:spacing w:line="560" w:lineRule="exact"/>
        <w:ind w:firstLine="640" w:firstLineChars="200"/>
        <w:rPr>
          <w:rFonts w:ascii="Times New Roman" w:hAnsi="Times New Roman" w:eastAsia="黑体" w:cs="Times New Roman"/>
          <w:sz w:val="32"/>
          <w:szCs w:val="32"/>
          <w:lang w:val="zh-CN"/>
        </w:rPr>
      </w:pPr>
      <w:bookmarkStart w:id="73" w:name="_Toc2133_WPSOffice_Level2"/>
      <w:r>
        <w:rPr>
          <w:rFonts w:ascii="Times New Roman" w:hAnsi="Times New Roman" w:eastAsia="黑体" w:cs="Times New Roman"/>
          <w:bCs/>
          <w:sz w:val="32"/>
          <w:szCs w:val="32"/>
        </w:rPr>
        <w:t>一、</w:t>
      </w:r>
      <w:r>
        <w:rPr>
          <w:rFonts w:ascii="Times New Roman" w:hAnsi="Times New Roman" w:eastAsia="黑体" w:cs="Times New Roman"/>
          <w:sz w:val="32"/>
          <w:szCs w:val="32"/>
          <w:lang w:val="zh-CN"/>
        </w:rPr>
        <w:t>项目概况</w:t>
      </w:r>
      <w:bookmarkEnd w:id="73"/>
    </w:p>
    <w:p>
      <w:pPr>
        <w:pStyle w:val="33"/>
        <w:spacing w:line="560" w:lineRule="exact"/>
        <w:ind w:firstLine="632" w:firstLineChars="200"/>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pacing w:val="-2"/>
          <w:sz w:val="32"/>
          <w:szCs w:val="32"/>
        </w:rPr>
        <w:t>巴中市政府网站集约化平台建设项目分包采购，包括巴中市政府网站集约化系统项目和巴中市政府网站集约化等保测评采购项目。该项目设施设备预算投资额为295.1万元，其中巴中市政府网站集约化系统项目预算投资额为277.1万元，巴中市政府网站集约化等保测评预算投资额为18万元。2019年下达项目建设经费275万元。</w:t>
      </w:r>
      <w:r>
        <w:rPr>
          <w:rFonts w:ascii="Times New Roman" w:hAnsi="Times New Roman" w:eastAsia="仿宋_GB2312" w:cs="Times New Roman"/>
          <w:spacing w:val="-2"/>
          <w:sz w:val="32"/>
          <w:szCs w:val="32"/>
        </w:rPr>
        <w:t>2020年7月支付</w:t>
      </w:r>
      <w:r>
        <w:rPr>
          <w:rFonts w:ascii="Times New Roman" w:hAnsi="Times New Roman" w:eastAsia="仿宋_GB2312" w:cs="Times New Roman"/>
          <w:color w:val="auto"/>
          <w:spacing w:val="-2"/>
          <w:sz w:val="32"/>
          <w:szCs w:val="32"/>
        </w:rPr>
        <w:t>巴中市政府网站集约化系统</w:t>
      </w:r>
      <w:r>
        <w:rPr>
          <w:rFonts w:ascii="Times New Roman" w:hAnsi="Times New Roman" w:eastAsia="仿宋_GB2312" w:cs="Times New Roman"/>
          <w:spacing w:val="-2"/>
          <w:sz w:val="32"/>
          <w:szCs w:val="32"/>
        </w:rPr>
        <w:t>服务费54万元</w:t>
      </w:r>
      <w:r>
        <w:rPr>
          <w:rFonts w:ascii="Times New Roman" w:hAnsi="Times New Roman" w:eastAsia="仿宋_GB2312" w:cs="Times New Roman"/>
          <w:color w:val="auto"/>
          <w:spacing w:val="-2"/>
          <w:sz w:val="32"/>
          <w:szCs w:val="32"/>
        </w:rPr>
        <w:t>。</w:t>
      </w:r>
    </w:p>
    <w:p>
      <w:pPr>
        <w:pStyle w:val="33"/>
        <w:spacing w:line="560" w:lineRule="exact"/>
        <w:ind w:firstLine="640" w:firstLineChars="200"/>
        <w:rPr>
          <w:rFonts w:ascii="Times New Roman" w:hAnsi="Times New Roman" w:eastAsia="黑体" w:cs="Times New Roman"/>
          <w:sz w:val="32"/>
          <w:szCs w:val="32"/>
        </w:rPr>
      </w:pPr>
      <w:bookmarkStart w:id="74" w:name="_Toc14088_WPSOffice_Level2"/>
      <w:r>
        <w:rPr>
          <w:rFonts w:ascii="Times New Roman" w:hAnsi="Times New Roman" w:eastAsia="黑体" w:cs="Times New Roman"/>
          <w:sz w:val="32"/>
          <w:szCs w:val="32"/>
        </w:rPr>
        <w:t>二、项目资金申报及使用情况</w:t>
      </w:r>
      <w:bookmarkEnd w:id="74"/>
    </w:p>
    <w:p>
      <w:pPr>
        <w:pStyle w:val="33"/>
        <w:spacing w:line="560" w:lineRule="exact"/>
        <w:ind w:firstLine="643" w:firstLineChars="200"/>
        <w:rPr>
          <w:rFonts w:ascii="楷体_GB2312" w:hAnsi="Times New Roman" w:eastAsia="楷体_GB2312" w:cs="Times New Roman"/>
          <w:b/>
          <w:sz w:val="32"/>
          <w:szCs w:val="32"/>
          <w:lang w:val="zh-CN"/>
        </w:rPr>
      </w:pPr>
      <w:r>
        <w:rPr>
          <w:rFonts w:hint="eastAsia" w:ascii="楷体_GB2312" w:hAnsi="Times New Roman" w:eastAsia="楷体_GB2312" w:cs="Times New Roman"/>
          <w:b/>
          <w:sz w:val="32"/>
          <w:szCs w:val="32"/>
          <w:lang w:val="zh-CN"/>
        </w:rPr>
        <w:t>（一）资金计划、到位及使用情况</w:t>
      </w:r>
    </w:p>
    <w:p>
      <w:pPr>
        <w:pStyle w:val="33"/>
        <w:spacing w:line="560" w:lineRule="exact"/>
        <w:ind w:firstLine="632" w:firstLineChars="200"/>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pacing w:val="-2"/>
          <w:sz w:val="32"/>
          <w:szCs w:val="32"/>
        </w:rPr>
        <w:t>1.资金计划及到位。2019年市财政直接批复到位项目工作经费275万元。</w:t>
      </w:r>
    </w:p>
    <w:p>
      <w:pPr>
        <w:pStyle w:val="33"/>
        <w:spacing w:line="560" w:lineRule="exact"/>
        <w:ind w:firstLine="632" w:firstLineChars="200"/>
        <w:rPr>
          <w:rFonts w:ascii="Times New Roman" w:hAnsi="Times New Roman" w:eastAsia="仿宋_GB2312" w:cs="Times New Roman"/>
          <w:color w:val="auto"/>
          <w:spacing w:val="-2"/>
          <w:sz w:val="32"/>
          <w:szCs w:val="32"/>
        </w:rPr>
      </w:pPr>
      <w:r>
        <w:rPr>
          <w:rFonts w:ascii="Times New Roman" w:hAnsi="Times New Roman" w:eastAsia="仿宋_GB2312" w:cs="Times New Roman"/>
          <w:color w:val="auto"/>
          <w:spacing w:val="-2"/>
          <w:sz w:val="32"/>
          <w:szCs w:val="32"/>
        </w:rPr>
        <w:t>2.资金使用。2020年我办支付巴中市政府网站集约化系统经费54万元。该项目经费支出，我办严格遵照财务报销制度执行，开支合规合法，资金支付与年初预算相符。</w:t>
      </w:r>
    </w:p>
    <w:p>
      <w:pPr>
        <w:pStyle w:val="33"/>
        <w:spacing w:line="560" w:lineRule="exact"/>
        <w:ind w:firstLine="643" w:firstLineChars="200"/>
        <w:rPr>
          <w:rFonts w:ascii="楷体_GB2312" w:hAnsi="Times New Roman" w:eastAsia="楷体_GB2312" w:cs="Times New Roman"/>
          <w:b/>
          <w:sz w:val="32"/>
          <w:szCs w:val="32"/>
          <w:lang w:val="zh-CN"/>
        </w:rPr>
      </w:pPr>
      <w:r>
        <w:rPr>
          <w:rFonts w:hint="eastAsia" w:ascii="楷体_GB2312" w:hAnsi="Times New Roman" w:eastAsia="楷体_GB2312" w:cs="Times New Roman"/>
          <w:b/>
          <w:sz w:val="32"/>
          <w:szCs w:val="32"/>
          <w:lang w:val="zh-CN"/>
        </w:rPr>
        <w:t>（二）项目财务管理情况</w:t>
      </w:r>
    </w:p>
    <w:p>
      <w:pPr>
        <w:spacing w:line="560" w:lineRule="exact"/>
        <w:ind w:firstLine="632" w:firstLineChars="200"/>
        <w:rPr>
          <w:rFonts w:eastAsia="仿宋_GB2312"/>
          <w:spacing w:val="-2"/>
          <w:kern w:val="0"/>
          <w:sz w:val="32"/>
          <w:szCs w:val="32"/>
        </w:rPr>
      </w:pPr>
      <w:r>
        <w:rPr>
          <w:rFonts w:eastAsia="仿宋_GB2312"/>
          <w:spacing w:val="-2"/>
          <w:kern w:val="0"/>
          <w:sz w:val="32"/>
          <w:szCs w:val="32"/>
        </w:rPr>
        <w:t>我办高度重视巴中市政府网站集约化系统财务管理工作，组织召开会议，对此项工作进行专题研究部署，明确由分管领导主抓，专门科室主办。在项目财务管理中，严格按照国家有关法律、法规和财务管理制度使用项目资金，实行收支统一管理、统一审批、统一监管。严格执行财务管理各项规定，强化财务监督管理，定期向党组会、干部职工会报告和通报项目资金使用情况，确保资金使用安全，监督有效。</w:t>
      </w:r>
    </w:p>
    <w:p>
      <w:pPr>
        <w:pStyle w:val="33"/>
        <w:spacing w:line="560" w:lineRule="exact"/>
        <w:ind w:firstLine="643" w:firstLineChars="200"/>
        <w:rPr>
          <w:rFonts w:ascii="Times New Roman" w:hAnsi="Times New Roman" w:eastAsia="楷体" w:cs="Times New Roman"/>
          <w:b/>
          <w:sz w:val="32"/>
          <w:szCs w:val="32"/>
          <w:lang w:val="zh-CN"/>
        </w:rPr>
      </w:pPr>
      <w:r>
        <w:rPr>
          <w:rFonts w:ascii="Times New Roman" w:hAnsi="Times New Roman" w:eastAsia="楷体" w:cs="Times New Roman"/>
          <w:b/>
          <w:sz w:val="32"/>
          <w:szCs w:val="32"/>
          <w:lang w:val="zh-CN"/>
        </w:rPr>
        <w:t>（三）项目组织实施情况</w:t>
      </w:r>
    </w:p>
    <w:p>
      <w:pPr>
        <w:pStyle w:val="14"/>
        <w:spacing w:after="0" w:line="600" w:lineRule="exact"/>
        <w:ind w:left="0" w:leftChars="0" w:firstLine="640"/>
        <w:rPr>
          <w:rFonts w:eastAsia="仿宋_GB2312"/>
          <w:sz w:val="32"/>
          <w:szCs w:val="32"/>
        </w:rPr>
      </w:pPr>
      <w:r>
        <w:rPr>
          <w:rFonts w:eastAsia="仿宋_GB2312"/>
          <w:sz w:val="32"/>
          <w:szCs w:val="32"/>
        </w:rPr>
        <w:t>2018年11月，巴中市政府四届第87次常务会</w:t>
      </w:r>
      <w:r>
        <w:rPr>
          <w:rFonts w:hint="eastAsia" w:eastAsia="仿宋_GB2312"/>
          <w:sz w:val="32"/>
          <w:szCs w:val="32"/>
        </w:rPr>
        <w:t>议</w:t>
      </w:r>
      <w:r>
        <w:rPr>
          <w:rFonts w:eastAsia="仿宋_GB2312"/>
          <w:sz w:val="32"/>
          <w:szCs w:val="32"/>
        </w:rPr>
        <w:t>审定通过《巴中市政府网站集约化建设方案》。2018年12月，聘请合肥工业大学编制《巴中市政府网站集约化平台建设项目设计方案》，2019年3月通过专家评审验收。2019年8月，完成巴中市政府网站集约化项目公开招标。2019年11月至2020年6月，建成巴中市政府网站集约化平台，市、县两级6个政府门户网站和34个市级单位网站改版和IPv6改造全面完成。</w:t>
      </w:r>
      <w:r>
        <w:rPr>
          <w:rFonts w:eastAsia="仿宋_GB2312"/>
          <w:spacing w:val="-2"/>
          <w:kern w:val="0"/>
          <w:sz w:val="32"/>
          <w:szCs w:val="32"/>
        </w:rPr>
        <w:t>目前，该平台已具备网站信息采编系统、政府信息公开系统、问政互动系统、办事服务系统、解读回应系统、智能问答系统、智能检索系统、无障碍浏览系统、绩效考核系统、运营监管系统、平台管理系统、统一信息资源库、个人中心等功能。</w:t>
      </w:r>
    </w:p>
    <w:p>
      <w:pPr>
        <w:pStyle w:val="33"/>
        <w:spacing w:line="560" w:lineRule="exact"/>
        <w:ind w:firstLine="640" w:firstLineChars="200"/>
        <w:rPr>
          <w:rFonts w:ascii="Times New Roman" w:hAnsi="Times New Roman" w:eastAsia="黑体" w:cs="Times New Roman"/>
          <w:sz w:val="32"/>
          <w:szCs w:val="32"/>
        </w:rPr>
      </w:pPr>
      <w:bookmarkStart w:id="75" w:name="_Toc19264_WPSOffice_Level2"/>
      <w:r>
        <w:rPr>
          <w:rFonts w:ascii="Times New Roman" w:hAnsi="Times New Roman" w:eastAsia="黑体" w:cs="Times New Roman"/>
          <w:sz w:val="32"/>
          <w:szCs w:val="32"/>
        </w:rPr>
        <w:t>三、目标完成情况</w:t>
      </w:r>
      <w:bookmarkEnd w:id="75"/>
    </w:p>
    <w:p>
      <w:pPr>
        <w:spacing w:line="560" w:lineRule="exact"/>
        <w:ind w:firstLine="640" w:firstLineChars="200"/>
        <w:rPr>
          <w:rFonts w:eastAsia="仿宋_GB2312"/>
          <w:sz w:val="32"/>
          <w:szCs w:val="32"/>
        </w:rPr>
      </w:pPr>
      <w:r>
        <w:rPr>
          <w:rFonts w:eastAsia="仿宋_GB2312"/>
          <w:sz w:val="32"/>
          <w:szCs w:val="32"/>
        </w:rPr>
        <w:t>巴中市政府网站集约化项目按照“统一标准体系、统一技术平台、统一安全防护、统一运维监管”要求，采取“1+1+5+N”的方式建设，即1个网站集约化平台、1个市政府门户网站、5个区县政府门户网站和N个市级单位网站，实现了数据开放、智能搜索、智能问答、无障碍浏览、简体繁体切换等功能，打通了政府网站和政府信息公开专栏、四川政务服务网、“12345”政务服务热线、政府信息共享交换平台等应用系统的数据接口，全面改造信箱系统，实现多平台统一身份认证、统一用户登录，进一步畅通了网民咨询、留言、投诉渠道，优化了用户体验。</w:t>
      </w:r>
      <w:r>
        <w:rPr>
          <w:rFonts w:hint="eastAsia" w:eastAsia="仿宋_GB2312"/>
          <w:sz w:val="32"/>
          <w:szCs w:val="32"/>
        </w:rPr>
        <w:t>2020年</w:t>
      </w:r>
      <w:r>
        <w:rPr>
          <w:rFonts w:eastAsia="仿宋_GB2312"/>
          <w:sz w:val="32"/>
          <w:szCs w:val="32"/>
        </w:rPr>
        <w:t>，书记、市长信箱受理群众来信</w:t>
      </w:r>
      <w:r>
        <w:rPr>
          <w:rFonts w:hint="eastAsia" w:eastAsia="仿宋_GB2312"/>
          <w:sz w:val="32"/>
          <w:szCs w:val="32"/>
        </w:rPr>
        <w:t>1478</w:t>
      </w:r>
      <w:r>
        <w:rPr>
          <w:rFonts w:eastAsia="仿宋_GB2312"/>
          <w:sz w:val="32"/>
          <w:szCs w:val="32"/>
        </w:rPr>
        <w:t>件，办结</w:t>
      </w:r>
      <w:r>
        <w:rPr>
          <w:rFonts w:hint="eastAsia" w:eastAsia="仿宋_GB2312"/>
          <w:sz w:val="32"/>
          <w:szCs w:val="32"/>
        </w:rPr>
        <w:t>率100%</w:t>
      </w:r>
      <w:r>
        <w:rPr>
          <w:rFonts w:eastAsia="仿宋_GB2312"/>
          <w:sz w:val="32"/>
          <w:szCs w:val="32"/>
        </w:rPr>
        <w:t>；“12345”市民热线累计受理群众有效来电来信</w:t>
      </w:r>
      <w:r>
        <w:rPr>
          <w:rFonts w:hint="eastAsia" w:eastAsia="仿宋_GB2312"/>
          <w:sz w:val="32"/>
          <w:szCs w:val="32"/>
        </w:rPr>
        <w:t>361479</w:t>
      </w:r>
      <w:r>
        <w:rPr>
          <w:rFonts w:eastAsia="仿宋_GB2312"/>
          <w:sz w:val="32"/>
          <w:szCs w:val="32"/>
        </w:rPr>
        <w:t>件，按时办结率99.</w:t>
      </w:r>
      <w:r>
        <w:rPr>
          <w:rFonts w:hint="eastAsia" w:eastAsia="仿宋_GB2312"/>
          <w:sz w:val="32"/>
          <w:szCs w:val="32"/>
        </w:rPr>
        <w:t>77</w:t>
      </w:r>
      <w:r>
        <w:rPr>
          <w:rFonts w:eastAsia="仿宋_GB2312"/>
          <w:sz w:val="32"/>
          <w:szCs w:val="32"/>
        </w:rPr>
        <w:t>%，群众满意率</w:t>
      </w:r>
      <w:r>
        <w:rPr>
          <w:rFonts w:hint="eastAsia" w:eastAsia="仿宋_GB2312"/>
          <w:sz w:val="32"/>
          <w:szCs w:val="32"/>
        </w:rPr>
        <w:t>98.8</w:t>
      </w:r>
      <w:r>
        <w:rPr>
          <w:rFonts w:eastAsia="仿宋_GB2312"/>
          <w:sz w:val="32"/>
          <w:szCs w:val="32"/>
        </w:rPr>
        <w:t>%。累计开展政府信息公开目录系统专项检查14次，发现问题460余个。回复、办理网民找错留言41条，按期办结率100%。通过集约化建设，更好地满足技术发展升级、平滑扩充和灵活扩展，有效避免重复建设，致力于打造全省一流的政府网站。</w:t>
      </w:r>
    </w:p>
    <w:p>
      <w:pPr>
        <w:pStyle w:val="33"/>
        <w:spacing w:line="560" w:lineRule="exact"/>
        <w:ind w:firstLine="640" w:firstLineChars="200"/>
        <w:rPr>
          <w:rFonts w:ascii="Times New Roman" w:hAnsi="Times New Roman" w:eastAsia="黑体" w:cs="Times New Roman"/>
          <w:sz w:val="32"/>
          <w:szCs w:val="32"/>
        </w:rPr>
      </w:pPr>
      <w:bookmarkStart w:id="76" w:name="_Toc4692_WPSOffice_Level2"/>
      <w:r>
        <w:rPr>
          <w:rFonts w:ascii="Times New Roman" w:hAnsi="Times New Roman" w:eastAsia="黑体" w:cs="Times New Roman"/>
          <w:sz w:val="32"/>
          <w:szCs w:val="32"/>
        </w:rPr>
        <w:t>四、项目绩效情况</w:t>
      </w:r>
      <w:bookmarkEnd w:id="76"/>
    </w:p>
    <w:p>
      <w:pPr>
        <w:pStyle w:val="13"/>
        <w:widowControl w:val="0"/>
        <w:shd w:val="clear" w:color="auto" w:fill="FFFFFF"/>
        <w:spacing w:before="0" w:beforeAutospacing="0" w:after="0" w:afterAutospacing="0"/>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始终坚持把</w:t>
      </w:r>
      <w:r>
        <w:rPr>
          <w:rFonts w:hint="eastAsia" w:ascii="Times New Roman" w:hAnsi="Times New Roman" w:eastAsia="仿宋_GB2312" w:cs="Times New Roman"/>
          <w:sz w:val="32"/>
          <w:szCs w:val="32"/>
        </w:rPr>
        <w:t>巴中</w:t>
      </w:r>
      <w:r>
        <w:rPr>
          <w:rFonts w:ascii="Times New Roman" w:hAnsi="Times New Roman" w:eastAsia="仿宋_GB2312" w:cs="Times New Roman"/>
          <w:sz w:val="32"/>
          <w:szCs w:val="32"/>
        </w:rPr>
        <w:t>市政府网站作为全市政府网站的总门户，全面对标《政府网站发展指引》《政府网站与政务新媒体检查指标、监管工作年度考核指标》以及历年来的《政务公开工作要点》，学习借鉴北京、上海、广东、浙江、湖南等地优秀政府网站的先进做法，适度超前、量力而行，完善发布解读功能、优化互动交流功能、提升办事服务功能，科学设置栏目，合理布局页面，持续改善用户体验。巴中市政府网站在全省的排名从2015年的第12名上升至</w:t>
      </w:r>
      <w:r>
        <w:rPr>
          <w:rFonts w:hint="eastAsia" w:ascii="Times New Roman" w:hAnsi="Times New Roman" w:eastAsia="仿宋_GB2312" w:cs="Times New Roman"/>
          <w:sz w:val="32"/>
          <w:szCs w:val="32"/>
        </w:rPr>
        <w:t>2020</w:t>
      </w:r>
      <w:r>
        <w:rPr>
          <w:rFonts w:ascii="Times New Roman" w:hAnsi="Times New Roman" w:eastAsia="仿宋_GB2312" w:cs="Times New Roman"/>
          <w:sz w:val="32"/>
          <w:szCs w:val="32"/>
        </w:rPr>
        <w:t>年的第8名，网站日均访问量从2015年的0.6万次增加到2020年的3万次。</w:t>
      </w:r>
    </w:p>
    <w:bookmarkEnd w:id="45"/>
    <w:bookmarkEnd w:id="46"/>
    <w:bookmarkEnd w:id="71"/>
    <w:p>
      <w:pPr>
        <w:spacing w:line="560" w:lineRule="exact"/>
        <w:jc w:val="center"/>
        <w:outlineLvl w:val="0"/>
        <w:rPr>
          <w:rStyle w:val="27"/>
          <w:rFonts w:ascii="方正小标宋简体" w:eastAsia="方正小标宋简体"/>
        </w:rPr>
      </w:pPr>
      <w:bookmarkStart w:id="77" w:name="_Toc31714_WPSOffice_Level1"/>
      <w:bookmarkStart w:id="78" w:name="_Toc15377226"/>
      <w:bookmarkStart w:id="79" w:name="_Toc15396618"/>
      <w:r>
        <w:rPr>
          <w:rFonts w:hint="eastAsia" w:ascii="方正小标宋简体" w:eastAsia="方正小标宋简体"/>
          <w:b/>
          <w:color w:val="000000"/>
          <w:sz w:val="44"/>
          <w:szCs w:val="44"/>
        </w:rPr>
        <w:t>第</w:t>
      </w:r>
      <w:r>
        <w:rPr>
          <w:rStyle w:val="27"/>
          <w:rFonts w:hint="eastAsia" w:ascii="方正小标宋简体" w:eastAsia="方正小标宋简体"/>
        </w:rPr>
        <w:t>五部分 附表</w:t>
      </w:r>
      <w:bookmarkEnd w:id="77"/>
      <w:bookmarkEnd w:id="78"/>
      <w:bookmarkEnd w:id="79"/>
    </w:p>
    <w:p>
      <w:pPr>
        <w:spacing w:line="560" w:lineRule="exact"/>
        <w:jc w:val="center"/>
        <w:outlineLvl w:val="0"/>
        <w:rPr>
          <w:rFonts w:eastAsia="仿宋"/>
          <w:b/>
          <w:color w:val="000000"/>
          <w:sz w:val="44"/>
          <w:szCs w:val="44"/>
        </w:rPr>
      </w:pPr>
    </w:p>
    <w:p>
      <w:pPr>
        <w:pStyle w:val="3"/>
        <w:keepNext w:val="0"/>
        <w:keepLines w:val="0"/>
        <w:spacing w:before="0" w:after="0" w:line="560" w:lineRule="exact"/>
        <w:rPr>
          <w:rFonts w:ascii="Times New Roman" w:hAnsi="Times New Roman" w:eastAsia="仿宋" w:cs="Times New Roman"/>
          <w:color w:val="000000"/>
        </w:rPr>
      </w:pPr>
      <w:bookmarkStart w:id="80" w:name="_Toc15396619"/>
      <w:bookmarkStart w:id="81" w:name="_Toc17364_WPSOffice_Level2"/>
      <w:r>
        <w:rPr>
          <w:rFonts w:ascii="Times New Roman" w:hAnsi="Times New Roman" w:eastAsia="仿宋" w:cs="Times New Roman"/>
          <w:b w:val="0"/>
          <w:color w:val="000000"/>
        </w:rPr>
        <w:t>一、收</w:t>
      </w:r>
      <w:r>
        <w:rPr>
          <w:rStyle w:val="28"/>
          <w:rFonts w:ascii="Times New Roman" w:hAnsi="Times New Roman" w:eastAsia="仿宋" w:cs="Times New Roman"/>
          <w:b w:val="0"/>
          <w:bCs w:val="0"/>
        </w:rPr>
        <w:t>入支出决算总表</w:t>
      </w:r>
      <w:bookmarkEnd w:id="80"/>
      <w:bookmarkEnd w:id="81"/>
    </w:p>
    <w:p>
      <w:pPr>
        <w:pStyle w:val="3"/>
        <w:keepNext w:val="0"/>
        <w:keepLines w:val="0"/>
        <w:spacing w:before="0" w:after="0" w:line="560" w:lineRule="exact"/>
        <w:rPr>
          <w:rFonts w:ascii="Times New Roman" w:hAnsi="Times New Roman" w:eastAsia="仿宋" w:cs="Times New Roman"/>
          <w:color w:val="000000"/>
        </w:rPr>
      </w:pPr>
      <w:bookmarkStart w:id="82" w:name="_Toc9548_WPSOffice_Level2"/>
      <w:bookmarkStart w:id="83" w:name="_Toc15396620"/>
      <w:r>
        <w:rPr>
          <w:rFonts w:ascii="Times New Roman" w:hAnsi="Times New Roman" w:eastAsia="仿宋" w:cs="Times New Roman"/>
          <w:b w:val="0"/>
          <w:color w:val="000000"/>
        </w:rPr>
        <w:t>二、收</w:t>
      </w:r>
      <w:r>
        <w:rPr>
          <w:rStyle w:val="28"/>
          <w:rFonts w:ascii="Times New Roman" w:hAnsi="Times New Roman" w:eastAsia="仿宋" w:cs="Times New Roman"/>
          <w:b w:val="0"/>
          <w:bCs w:val="0"/>
        </w:rPr>
        <w:t>入决算表</w:t>
      </w:r>
      <w:bookmarkEnd w:id="82"/>
      <w:bookmarkEnd w:id="83"/>
    </w:p>
    <w:p>
      <w:pPr>
        <w:pStyle w:val="3"/>
        <w:keepNext w:val="0"/>
        <w:keepLines w:val="0"/>
        <w:spacing w:before="0" w:after="0" w:line="560" w:lineRule="exact"/>
        <w:rPr>
          <w:rFonts w:ascii="Times New Roman" w:hAnsi="Times New Roman" w:eastAsia="仿宋" w:cs="Times New Roman"/>
          <w:color w:val="000000"/>
        </w:rPr>
      </w:pPr>
      <w:bookmarkStart w:id="84" w:name="_Toc16488_WPSOffice_Level2"/>
      <w:bookmarkStart w:id="85" w:name="_Toc15396621"/>
      <w:r>
        <w:rPr>
          <w:rStyle w:val="28"/>
          <w:rFonts w:ascii="Times New Roman" w:hAnsi="Times New Roman" w:eastAsia="仿宋" w:cs="Times New Roman"/>
          <w:b w:val="0"/>
          <w:bCs w:val="0"/>
        </w:rPr>
        <w:t>三、</w:t>
      </w:r>
      <w:r>
        <w:rPr>
          <w:rFonts w:ascii="Times New Roman" w:hAnsi="Times New Roman" w:eastAsia="仿宋" w:cs="Times New Roman"/>
          <w:b w:val="0"/>
          <w:color w:val="000000"/>
        </w:rPr>
        <w:t>支</w:t>
      </w:r>
      <w:r>
        <w:rPr>
          <w:rStyle w:val="28"/>
          <w:rFonts w:ascii="Times New Roman" w:hAnsi="Times New Roman" w:eastAsia="仿宋" w:cs="Times New Roman"/>
          <w:b w:val="0"/>
          <w:bCs w:val="0"/>
        </w:rPr>
        <w:t>出决算表</w:t>
      </w:r>
      <w:bookmarkEnd w:id="84"/>
      <w:bookmarkEnd w:id="85"/>
    </w:p>
    <w:p>
      <w:pPr>
        <w:pStyle w:val="3"/>
        <w:keepNext w:val="0"/>
        <w:keepLines w:val="0"/>
        <w:spacing w:before="0" w:after="0" w:line="560" w:lineRule="exact"/>
        <w:rPr>
          <w:rFonts w:ascii="Times New Roman" w:hAnsi="Times New Roman" w:eastAsia="仿宋" w:cs="Times New Roman"/>
          <w:b w:val="0"/>
          <w:color w:val="000000"/>
        </w:rPr>
      </w:pPr>
      <w:bookmarkStart w:id="86" w:name="_Toc3131_WPSOffice_Level2"/>
      <w:bookmarkStart w:id="87" w:name="_Toc15396622"/>
      <w:r>
        <w:rPr>
          <w:rStyle w:val="28"/>
          <w:rFonts w:ascii="Times New Roman" w:hAnsi="Times New Roman" w:eastAsia="仿宋" w:cs="Times New Roman"/>
          <w:b w:val="0"/>
          <w:bCs w:val="0"/>
        </w:rPr>
        <w:t>四、</w:t>
      </w:r>
      <w:r>
        <w:rPr>
          <w:rFonts w:ascii="Times New Roman" w:hAnsi="Times New Roman" w:eastAsia="仿宋" w:cs="Times New Roman"/>
          <w:b w:val="0"/>
          <w:color w:val="000000"/>
        </w:rPr>
        <w:t>财</w:t>
      </w:r>
      <w:r>
        <w:rPr>
          <w:rStyle w:val="28"/>
          <w:rFonts w:ascii="Times New Roman" w:hAnsi="Times New Roman" w:eastAsia="仿宋" w:cs="Times New Roman"/>
          <w:b w:val="0"/>
          <w:bCs w:val="0"/>
        </w:rPr>
        <w:t>政拨款收入支出决算总表</w:t>
      </w:r>
      <w:bookmarkEnd w:id="86"/>
      <w:bookmarkEnd w:id="87"/>
    </w:p>
    <w:p>
      <w:pPr>
        <w:pStyle w:val="3"/>
        <w:keepNext w:val="0"/>
        <w:keepLines w:val="0"/>
        <w:spacing w:before="0" w:after="0" w:line="560" w:lineRule="exact"/>
        <w:rPr>
          <w:rStyle w:val="28"/>
          <w:rFonts w:ascii="Times New Roman" w:hAnsi="Times New Roman" w:eastAsia="仿宋" w:cs="Times New Roman"/>
          <w:b w:val="0"/>
          <w:bCs w:val="0"/>
        </w:rPr>
      </w:pPr>
      <w:bookmarkStart w:id="88" w:name="_Toc15396623"/>
      <w:bookmarkStart w:id="89" w:name="_Toc32318_WPSOffice_Level2"/>
      <w:r>
        <w:rPr>
          <w:rStyle w:val="28"/>
          <w:rFonts w:ascii="Times New Roman" w:hAnsi="Times New Roman" w:eastAsia="仿宋" w:cs="Times New Roman"/>
          <w:b w:val="0"/>
          <w:bCs w:val="0"/>
        </w:rPr>
        <w:t>五、</w:t>
      </w:r>
      <w:r>
        <w:rPr>
          <w:rFonts w:ascii="Times New Roman" w:hAnsi="Times New Roman" w:eastAsia="仿宋" w:cs="Times New Roman"/>
          <w:b w:val="0"/>
          <w:color w:val="000000"/>
        </w:rPr>
        <w:t>财</w:t>
      </w:r>
      <w:r>
        <w:rPr>
          <w:rStyle w:val="28"/>
          <w:rFonts w:ascii="Times New Roman" w:hAnsi="Times New Roman" w:eastAsia="仿宋" w:cs="Times New Roman"/>
          <w:b w:val="0"/>
          <w:bCs w:val="0"/>
        </w:rPr>
        <w:t>政拨款支出决算明细表</w:t>
      </w:r>
      <w:bookmarkEnd w:id="88"/>
      <w:bookmarkEnd w:id="89"/>
      <w:bookmarkStart w:id="90" w:name="_Toc15396624"/>
    </w:p>
    <w:p>
      <w:pPr>
        <w:pStyle w:val="3"/>
        <w:keepNext w:val="0"/>
        <w:keepLines w:val="0"/>
        <w:spacing w:before="0" w:after="0" w:line="560" w:lineRule="exact"/>
        <w:rPr>
          <w:rFonts w:ascii="Times New Roman" w:hAnsi="Times New Roman" w:eastAsia="仿宋" w:cs="Times New Roman"/>
          <w:color w:val="000000"/>
        </w:rPr>
      </w:pPr>
      <w:bookmarkStart w:id="91" w:name="_Toc24816_WPSOffice_Level2"/>
      <w:r>
        <w:rPr>
          <w:rStyle w:val="28"/>
          <w:rFonts w:ascii="Times New Roman" w:hAnsi="Times New Roman" w:eastAsia="仿宋" w:cs="Times New Roman"/>
          <w:b w:val="0"/>
          <w:bCs w:val="0"/>
        </w:rPr>
        <w:t>六、</w:t>
      </w:r>
      <w:r>
        <w:rPr>
          <w:rFonts w:ascii="Times New Roman" w:hAnsi="Times New Roman" w:eastAsia="仿宋" w:cs="Times New Roman"/>
          <w:b w:val="0"/>
          <w:color w:val="000000"/>
        </w:rPr>
        <w:t>一</w:t>
      </w:r>
      <w:r>
        <w:rPr>
          <w:rStyle w:val="28"/>
          <w:rFonts w:ascii="Times New Roman" w:hAnsi="Times New Roman" w:eastAsia="仿宋" w:cs="Times New Roman"/>
          <w:b w:val="0"/>
          <w:bCs w:val="0"/>
        </w:rPr>
        <w:t>般公共预算财政拨款支出决算表</w:t>
      </w:r>
      <w:bookmarkEnd w:id="90"/>
      <w:bookmarkEnd w:id="91"/>
    </w:p>
    <w:p>
      <w:pPr>
        <w:pStyle w:val="3"/>
        <w:keepNext w:val="0"/>
        <w:keepLines w:val="0"/>
        <w:spacing w:before="0" w:after="0" w:line="560" w:lineRule="exact"/>
        <w:rPr>
          <w:rFonts w:ascii="Times New Roman" w:hAnsi="Times New Roman" w:eastAsia="仿宋" w:cs="Times New Roman"/>
          <w:color w:val="000000"/>
        </w:rPr>
      </w:pPr>
      <w:bookmarkStart w:id="92" w:name="_Toc8987_WPSOffice_Level2"/>
      <w:bookmarkStart w:id="93" w:name="_Toc15396625"/>
      <w:r>
        <w:rPr>
          <w:rStyle w:val="28"/>
          <w:rFonts w:ascii="Times New Roman" w:hAnsi="Times New Roman" w:eastAsia="仿宋" w:cs="Times New Roman"/>
          <w:b w:val="0"/>
          <w:bCs w:val="0"/>
        </w:rPr>
        <w:t>七、</w:t>
      </w:r>
      <w:r>
        <w:rPr>
          <w:rFonts w:ascii="Times New Roman" w:hAnsi="Times New Roman" w:eastAsia="仿宋" w:cs="Times New Roman"/>
          <w:b w:val="0"/>
          <w:color w:val="000000"/>
        </w:rPr>
        <w:t>一</w:t>
      </w:r>
      <w:r>
        <w:rPr>
          <w:rStyle w:val="28"/>
          <w:rFonts w:ascii="Times New Roman" w:hAnsi="Times New Roman" w:eastAsia="仿宋" w:cs="Times New Roman"/>
          <w:b w:val="0"/>
          <w:bCs w:val="0"/>
        </w:rPr>
        <w:t>般公共预算财政拨款支出决算明细表</w:t>
      </w:r>
      <w:bookmarkEnd w:id="92"/>
      <w:bookmarkEnd w:id="93"/>
    </w:p>
    <w:p>
      <w:pPr>
        <w:pStyle w:val="3"/>
        <w:keepNext w:val="0"/>
        <w:keepLines w:val="0"/>
        <w:spacing w:before="0" w:after="0" w:line="560" w:lineRule="exact"/>
        <w:rPr>
          <w:rFonts w:ascii="Times New Roman" w:hAnsi="Times New Roman" w:eastAsia="仿宋" w:cs="Times New Roman"/>
          <w:color w:val="000000"/>
        </w:rPr>
      </w:pPr>
      <w:bookmarkStart w:id="94" w:name="_Toc8327_WPSOffice_Level2"/>
      <w:bookmarkStart w:id="95" w:name="_Toc15396626"/>
      <w:r>
        <w:rPr>
          <w:rStyle w:val="28"/>
          <w:rFonts w:ascii="Times New Roman" w:hAnsi="Times New Roman" w:eastAsia="仿宋" w:cs="Times New Roman"/>
          <w:b w:val="0"/>
          <w:bCs w:val="0"/>
        </w:rPr>
        <w:t>八、</w:t>
      </w:r>
      <w:r>
        <w:rPr>
          <w:rFonts w:ascii="Times New Roman" w:hAnsi="Times New Roman" w:eastAsia="仿宋" w:cs="Times New Roman"/>
          <w:b w:val="0"/>
          <w:color w:val="000000"/>
        </w:rPr>
        <w:t>一</w:t>
      </w:r>
      <w:r>
        <w:rPr>
          <w:rStyle w:val="28"/>
          <w:rFonts w:ascii="Times New Roman" w:hAnsi="Times New Roman" w:eastAsia="仿宋" w:cs="Times New Roman"/>
          <w:b w:val="0"/>
          <w:bCs w:val="0"/>
        </w:rPr>
        <w:t>般公共预算财政拨款基本支出决算表</w:t>
      </w:r>
      <w:bookmarkEnd w:id="94"/>
      <w:bookmarkEnd w:id="95"/>
    </w:p>
    <w:p>
      <w:pPr>
        <w:pStyle w:val="3"/>
        <w:keepNext w:val="0"/>
        <w:keepLines w:val="0"/>
        <w:spacing w:before="0" w:after="0" w:line="560" w:lineRule="exact"/>
        <w:rPr>
          <w:rFonts w:ascii="Times New Roman" w:hAnsi="Times New Roman" w:eastAsia="仿宋" w:cs="Times New Roman"/>
          <w:color w:val="000000"/>
        </w:rPr>
      </w:pPr>
      <w:bookmarkStart w:id="96" w:name="_Toc5228_WPSOffice_Level2"/>
      <w:bookmarkStart w:id="97" w:name="_Toc15396627"/>
      <w:r>
        <w:rPr>
          <w:rStyle w:val="28"/>
          <w:rFonts w:ascii="Times New Roman" w:hAnsi="Times New Roman" w:eastAsia="仿宋" w:cs="Times New Roman"/>
          <w:b w:val="0"/>
          <w:bCs w:val="0"/>
        </w:rPr>
        <w:t>九、</w:t>
      </w:r>
      <w:r>
        <w:rPr>
          <w:rFonts w:ascii="Times New Roman" w:hAnsi="Times New Roman" w:eastAsia="仿宋" w:cs="Times New Roman"/>
          <w:b w:val="0"/>
          <w:color w:val="000000"/>
        </w:rPr>
        <w:t>一</w:t>
      </w:r>
      <w:r>
        <w:rPr>
          <w:rStyle w:val="28"/>
          <w:rFonts w:ascii="Times New Roman" w:hAnsi="Times New Roman" w:eastAsia="仿宋" w:cs="Times New Roman"/>
          <w:b w:val="0"/>
          <w:bCs w:val="0"/>
        </w:rPr>
        <w:t>般公共预算财政拨款项目支出决算表</w:t>
      </w:r>
      <w:bookmarkEnd w:id="96"/>
      <w:bookmarkEnd w:id="97"/>
    </w:p>
    <w:p>
      <w:pPr>
        <w:pStyle w:val="3"/>
        <w:keepNext w:val="0"/>
        <w:keepLines w:val="0"/>
        <w:spacing w:before="0" w:after="0" w:line="560" w:lineRule="exact"/>
        <w:rPr>
          <w:rFonts w:ascii="Times New Roman" w:hAnsi="Times New Roman" w:eastAsia="仿宋" w:cs="Times New Roman"/>
          <w:color w:val="000000"/>
        </w:rPr>
      </w:pPr>
      <w:bookmarkStart w:id="98" w:name="_Toc3186_WPSOffice_Level2"/>
      <w:bookmarkStart w:id="99" w:name="_Toc15396628"/>
      <w:r>
        <w:rPr>
          <w:rStyle w:val="28"/>
          <w:rFonts w:ascii="Times New Roman" w:hAnsi="Times New Roman" w:eastAsia="仿宋" w:cs="Times New Roman"/>
          <w:b w:val="0"/>
          <w:bCs w:val="0"/>
        </w:rPr>
        <w:t>十、</w:t>
      </w:r>
      <w:r>
        <w:rPr>
          <w:rFonts w:ascii="Times New Roman" w:hAnsi="Times New Roman" w:eastAsia="仿宋" w:cs="Times New Roman"/>
          <w:b w:val="0"/>
          <w:color w:val="000000"/>
        </w:rPr>
        <w:t>一</w:t>
      </w:r>
      <w:r>
        <w:rPr>
          <w:rStyle w:val="28"/>
          <w:rFonts w:ascii="Times New Roman" w:hAnsi="Times New Roman" w:eastAsia="仿宋" w:cs="Times New Roman"/>
          <w:b w:val="0"/>
          <w:bCs w:val="0"/>
        </w:rPr>
        <w:t>般公共预算财政拨款“三公”经费支出决算表</w:t>
      </w:r>
      <w:bookmarkEnd w:id="98"/>
      <w:bookmarkEnd w:id="99"/>
    </w:p>
    <w:p>
      <w:pPr>
        <w:pStyle w:val="3"/>
        <w:keepNext w:val="0"/>
        <w:keepLines w:val="0"/>
        <w:spacing w:before="0" w:after="0" w:line="560" w:lineRule="exact"/>
        <w:rPr>
          <w:rFonts w:ascii="Times New Roman" w:hAnsi="Times New Roman" w:eastAsia="仿宋" w:cs="Times New Roman"/>
          <w:color w:val="000000"/>
        </w:rPr>
      </w:pPr>
      <w:bookmarkStart w:id="100" w:name="_Toc8364_WPSOffice_Level2"/>
      <w:bookmarkStart w:id="101" w:name="_Toc15396629"/>
      <w:r>
        <w:rPr>
          <w:rStyle w:val="28"/>
          <w:rFonts w:ascii="Times New Roman" w:hAnsi="Times New Roman" w:eastAsia="仿宋" w:cs="Times New Roman"/>
          <w:b w:val="0"/>
          <w:bCs w:val="0"/>
        </w:rPr>
        <w:t>十一、</w:t>
      </w:r>
      <w:r>
        <w:rPr>
          <w:rFonts w:ascii="Times New Roman" w:hAnsi="Times New Roman" w:eastAsia="仿宋" w:cs="Times New Roman"/>
          <w:b w:val="0"/>
          <w:color w:val="000000"/>
        </w:rPr>
        <w:t>政</w:t>
      </w:r>
      <w:r>
        <w:rPr>
          <w:rStyle w:val="28"/>
          <w:rFonts w:ascii="Times New Roman" w:hAnsi="Times New Roman" w:eastAsia="仿宋" w:cs="Times New Roman"/>
          <w:b w:val="0"/>
          <w:bCs w:val="0"/>
        </w:rPr>
        <w:t>府性基金预算财政拨款收入支出决算表</w:t>
      </w:r>
      <w:bookmarkEnd w:id="100"/>
      <w:bookmarkEnd w:id="101"/>
    </w:p>
    <w:p>
      <w:pPr>
        <w:pStyle w:val="3"/>
        <w:keepNext w:val="0"/>
        <w:keepLines w:val="0"/>
        <w:spacing w:before="0" w:after="0" w:line="560" w:lineRule="exact"/>
        <w:rPr>
          <w:rFonts w:ascii="Times New Roman" w:hAnsi="Times New Roman" w:eastAsia="仿宋" w:cs="Times New Roman"/>
          <w:color w:val="000000"/>
        </w:rPr>
      </w:pPr>
      <w:bookmarkStart w:id="102" w:name="_Toc15396630"/>
      <w:bookmarkStart w:id="103" w:name="_Toc18637_WPSOffice_Level2"/>
      <w:r>
        <w:rPr>
          <w:rStyle w:val="28"/>
          <w:rFonts w:ascii="Times New Roman" w:hAnsi="Times New Roman" w:eastAsia="仿宋" w:cs="Times New Roman"/>
          <w:b w:val="0"/>
          <w:bCs w:val="0"/>
        </w:rPr>
        <w:t>十二、</w:t>
      </w:r>
      <w:r>
        <w:rPr>
          <w:rFonts w:ascii="Times New Roman" w:hAnsi="Times New Roman" w:eastAsia="仿宋" w:cs="Times New Roman"/>
          <w:b w:val="0"/>
          <w:color w:val="000000"/>
        </w:rPr>
        <w:t>政</w:t>
      </w:r>
      <w:r>
        <w:rPr>
          <w:rStyle w:val="28"/>
          <w:rFonts w:ascii="Times New Roman" w:hAnsi="Times New Roman" w:eastAsia="仿宋" w:cs="Times New Roman"/>
          <w:b w:val="0"/>
          <w:bCs w:val="0"/>
        </w:rPr>
        <w:t>府性基金预算财政拨款“三公”经费支出决算表</w:t>
      </w:r>
      <w:bookmarkEnd w:id="102"/>
      <w:bookmarkEnd w:id="103"/>
    </w:p>
    <w:p>
      <w:pPr>
        <w:pStyle w:val="3"/>
        <w:keepNext w:val="0"/>
        <w:keepLines w:val="0"/>
        <w:spacing w:before="0" w:after="0" w:line="560" w:lineRule="exact"/>
        <w:rPr>
          <w:rFonts w:ascii="Times New Roman" w:hAnsi="Times New Roman" w:eastAsia="仿宋" w:cs="Times New Roman"/>
          <w:color w:val="000000" w:themeColor="text1"/>
        </w:rPr>
      </w:pPr>
      <w:bookmarkStart w:id="104" w:name="_Toc15396631"/>
      <w:bookmarkStart w:id="105" w:name="_Toc21740_WPSOffice_Level2"/>
      <w:r>
        <w:rPr>
          <w:rStyle w:val="28"/>
          <w:rFonts w:ascii="Times New Roman" w:hAnsi="Times New Roman" w:eastAsia="仿宋" w:cs="Times New Roman"/>
          <w:b w:val="0"/>
          <w:bCs w:val="0"/>
        </w:rPr>
        <w:t>十三、</w:t>
      </w:r>
      <w:r>
        <w:rPr>
          <w:rFonts w:ascii="Times New Roman" w:hAnsi="Times New Roman" w:eastAsia="仿宋" w:cs="Times New Roman"/>
          <w:b w:val="0"/>
          <w:color w:val="000000"/>
        </w:rPr>
        <w:t>国</w:t>
      </w:r>
      <w:r>
        <w:rPr>
          <w:rStyle w:val="28"/>
          <w:rFonts w:ascii="Times New Roman" w:hAnsi="Times New Roman" w:eastAsia="仿宋" w:cs="Times New Roman"/>
          <w:b w:val="0"/>
          <w:bCs w:val="0"/>
        </w:rPr>
        <w:t>有资本经营预算支出决算表</w:t>
      </w:r>
      <w:bookmarkEnd w:id="104"/>
      <w:bookmarkEnd w:id="105"/>
    </w:p>
    <w:sectPr>
      <w:footerReference r:id="rId7" w:type="first"/>
      <w:footerReference r:id="rId6" w:type="default"/>
      <w:pgSz w:w="11906" w:h="16838"/>
      <w:pgMar w:top="1985" w:right="1418" w:bottom="1814" w:left="1588" w:header="851" w:footer="992" w:gutter="0"/>
      <w:pgNumType w:start="4"/>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9"/>
                  <w:jc w:val="center"/>
                </w:pPr>
                <w:r>
                  <w:fldChar w:fldCharType="begin"/>
                </w:r>
                <w:r>
                  <w:instrText xml:space="preserve">PAGE   \* MERGEFORMAT</w:instrText>
                </w:r>
                <w:r>
                  <w:fldChar w:fldCharType="separate"/>
                </w:r>
                <w:r>
                  <w:rPr>
                    <w:lang w:val="zh-CN"/>
                  </w:rPr>
                  <w:t>3</w:t>
                </w:r>
                <w:r>
                  <w:rPr>
                    <w:lang w:val="zh-CN"/>
                  </w:rPr>
                  <w:fldChar w:fldCharType="end"/>
                </w:r>
              </w:p>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sz w:val="28"/>
        <w:szCs w:val="28"/>
      </w:rPr>
      <w:t xml:space="preserve">— </w:t>
    </w:r>
    <w:sdt>
      <w:sdtPr>
        <w:id w:val="1026964"/>
        <w:docPartObj>
          <w:docPartGallery w:val="autotext"/>
        </w:docPartObj>
      </w:sdtPr>
      <w:sdtContent>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34</w:t>
        </w:r>
        <w:r>
          <w:rPr>
            <w:rFonts w:ascii="宋体" w:hAnsi="宋体"/>
            <w:sz w:val="28"/>
            <w:szCs w:val="28"/>
          </w:rPr>
          <w:fldChar w:fldCharType="end"/>
        </w:r>
        <w:r>
          <w:rPr>
            <w:rFonts w:hint="eastAsia" w:ascii="宋体" w:hAnsi="宋体"/>
            <w:sz w:val="28"/>
            <w:szCs w:val="28"/>
          </w:rPr>
          <w:t xml:space="preserve"> —</w:t>
        </w:r>
      </w:sdtContent>
    </w:sdt>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955"/>
      <w:docPartObj>
        <w:docPartGallery w:val="autotext"/>
      </w:docPartObj>
    </w:sdtPr>
    <w:sdtContent>
      <w:p>
        <w:pPr>
          <w:pStyle w:val="9"/>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33</w:t>
        </w:r>
        <w:r>
          <w:rPr>
            <w:rFonts w:ascii="宋体" w:hAnsi="宋体"/>
            <w:sz w:val="28"/>
            <w:szCs w:val="28"/>
          </w:rPr>
          <w:fldChar w:fldCharType="end"/>
        </w:r>
        <w:r>
          <w:rPr>
            <w:rFonts w:hint="eastAsia" w:ascii="宋体" w:hAnsi="宋体"/>
            <w:sz w:val="28"/>
            <w:szCs w:val="28"/>
          </w:rPr>
          <w:t xml:space="preserve"> —</w:t>
        </w:r>
      </w:p>
    </w:sdtContent>
  </w:sdt>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2" o:spid="_x0000_s205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4</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06E0B"/>
    <w:rsid w:val="00012526"/>
    <w:rsid w:val="000164D7"/>
    <w:rsid w:val="000222C6"/>
    <w:rsid w:val="00022D57"/>
    <w:rsid w:val="00023379"/>
    <w:rsid w:val="0002549F"/>
    <w:rsid w:val="000328AD"/>
    <w:rsid w:val="000374B0"/>
    <w:rsid w:val="00037858"/>
    <w:rsid w:val="00044CD1"/>
    <w:rsid w:val="000468DB"/>
    <w:rsid w:val="00054B39"/>
    <w:rsid w:val="00057383"/>
    <w:rsid w:val="00062D6A"/>
    <w:rsid w:val="0006487A"/>
    <w:rsid w:val="00065F8F"/>
    <w:rsid w:val="00070A43"/>
    <w:rsid w:val="000768F2"/>
    <w:rsid w:val="0009184B"/>
    <w:rsid w:val="0009251A"/>
    <w:rsid w:val="00093C41"/>
    <w:rsid w:val="00094236"/>
    <w:rsid w:val="0009593C"/>
    <w:rsid w:val="00097322"/>
    <w:rsid w:val="00097FE4"/>
    <w:rsid w:val="000A6A92"/>
    <w:rsid w:val="000A7662"/>
    <w:rsid w:val="000B047F"/>
    <w:rsid w:val="000B25B1"/>
    <w:rsid w:val="000B2EF3"/>
    <w:rsid w:val="000B5923"/>
    <w:rsid w:val="000B5A48"/>
    <w:rsid w:val="000B6FF3"/>
    <w:rsid w:val="000C01D1"/>
    <w:rsid w:val="000C3467"/>
    <w:rsid w:val="000C3CA6"/>
    <w:rsid w:val="000D1267"/>
    <w:rsid w:val="000D1D50"/>
    <w:rsid w:val="000D1E4F"/>
    <w:rsid w:val="000D5782"/>
    <w:rsid w:val="000D73CD"/>
    <w:rsid w:val="000E55FB"/>
    <w:rsid w:val="000E6613"/>
    <w:rsid w:val="000E7119"/>
    <w:rsid w:val="000F058D"/>
    <w:rsid w:val="000F1235"/>
    <w:rsid w:val="000F396B"/>
    <w:rsid w:val="0011304C"/>
    <w:rsid w:val="00114E9B"/>
    <w:rsid w:val="00117E41"/>
    <w:rsid w:val="00122DEA"/>
    <w:rsid w:val="00133CD3"/>
    <w:rsid w:val="00136D74"/>
    <w:rsid w:val="00140AFD"/>
    <w:rsid w:val="00142216"/>
    <w:rsid w:val="00144D6A"/>
    <w:rsid w:val="001453BD"/>
    <w:rsid w:val="0014729F"/>
    <w:rsid w:val="00157BAB"/>
    <w:rsid w:val="00163771"/>
    <w:rsid w:val="001654D1"/>
    <w:rsid w:val="001732FF"/>
    <w:rsid w:val="00174518"/>
    <w:rsid w:val="0018106D"/>
    <w:rsid w:val="001877A7"/>
    <w:rsid w:val="00187BB0"/>
    <w:rsid w:val="00191536"/>
    <w:rsid w:val="0019547F"/>
    <w:rsid w:val="00196687"/>
    <w:rsid w:val="001A019A"/>
    <w:rsid w:val="001A3C31"/>
    <w:rsid w:val="001A4446"/>
    <w:rsid w:val="001A557A"/>
    <w:rsid w:val="001B747E"/>
    <w:rsid w:val="001B7C6E"/>
    <w:rsid w:val="001C0962"/>
    <w:rsid w:val="001C34B8"/>
    <w:rsid w:val="001C40A1"/>
    <w:rsid w:val="001C553F"/>
    <w:rsid w:val="001D2A03"/>
    <w:rsid w:val="001D3D61"/>
    <w:rsid w:val="001D7531"/>
    <w:rsid w:val="001E737D"/>
    <w:rsid w:val="001E7FFE"/>
    <w:rsid w:val="001F0592"/>
    <w:rsid w:val="001F128C"/>
    <w:rsid w:val="001F5C17"/>
    <w:rsid w:val="001F7506"/>
    <w:rsid w:val="002006CD"/>
    <w:rsid w:val="00201C9B"/>
    <w:rsid w:val="00202B36"/>
    <w:rsid w:val="00203F75"/>
    <w:rsid w:val="00204B7A"/>
    <w:rsid w:val="00204CDE"/>
    <w:rsid w:val="0021101A"/>
    <w:rsid w:val="00220536"/>
    <w:rsid w:val="00223256"/>
    <w:rsid w:val="00224CAD"/>
    <w:rsid w:val="00235629"/>
    <w:rsid w:val="0023682D"/>
    <w:rsid w:val="0023774F"/>
    <w:rsid w:val="00251853"/>
    <w:rsid w:val="00260C38"/>
    <w:rsid w:val="002616C0"/>
    <w:rsid w:val="00264AD2"/>
    <w:rsid w:val="00265372"/>
    <w:rsid w:val="002662AA"/>
    <w:rsid w:val="00267188"/>
    <w:rsid w:val="00267C52"/>
    <w:rsid w:val="00270996"/>
    <w:rsid w:val="002769BD"/>
    <w:rsid w:val="00276AFC"/>
    <w:rsid w:val="00280496"/>
    <w:rsid w:val="00280B21"/>
    <w:rsid w:val="00285237"/>
    <w:rsid w:val="00290115"/>
    <w:rsid w:val="002912CD"/>
    <w:rsid w:val="0029483F"/>
    <w:rsid w:val="00294DC9"/>
    <w:rsid w:val="00295495"/>
    <w:rsid w:val="002A175D"/>
    <w:rsid w:val="002A2BDE"/>
    <w:rsid w:val="002A31DE"/>
    <w:rsid w:val="002A7199"/>
    <w:rsid w:val="002B2613"/>
    <w:rsid w:val="002C2E22"/>
    <w:rsid w:val="002C64FA"/>
    <w:rsid w:val="002C7C84"/>
    <w:rsid w:val="002D19B0"/>
    <w:rsid w:val="002D324D"/>
    <w:rsid w:val="002D6D05"/>
    <w:rsid w:val="002E4AE7"/>
    <w:rsid w:val="002F1818"/>
    <w:rsid w:val="002F2E8C"/>
    <w:rsid w:val="002F567B"/>
    <w:rsid w:val="00301ED2"/>
    <w:rsid w:val="003060ED"/>
    <w:rsid w:val="003216A9"/>
    <w:rsid w:val="00331087"/>
    <w:rsid w:val="0033290D"/>
    <w:rsid w:val="00333CD0"/>
    <w:rsid w:val="00335A74"/>
    <w:rsid w:val="00347F50"/>
    <w:rsid w:val="00355CBC"/>
    <w:rsid w:val="00363767"/>
    <w:rsid w:val="0036561B"/>
    <w:rsid w:val="0037013F"/>
    <w:rsid w:val="00380C92"/>
    <w:rsid w:val="0038360F"/>
    <w:rsid w:val="00386DC0"/>
    <w:rsid w:val="003933BD"/>
    <w:rsid w:val="00394E5D"/>
    <w:rsid w:val="00396A82"/>
    <w:rsid w:val="003A08F9"/>
    <w:rsid w:val="003A2B78"/>
    <w:rsid w:val="003A42E7"/>
    <w:rsid w:val="003A484F"/>
    <w:rsid w:val="003A4883"/>
    <w:rsid w:val="003A6507"/>
    <w:rsid w:val="003B0BE0"/>
    <w:rsid w:val="003B0C1B"/>
    <w:rsid w:val="003B2689"/>
    <w:rsid w:val="003B688C"/>
    <w:rsid w:val="003C0291"/>
    <w:rsid w:val="003C39AE"/>
    <w:rsid w:val="003C54CA"/>
    <w:rsid w:val="003C7B60"/>
    <w:rsid w:val="003D0C0F"/>
    <w:rsid w:val="003D162B"/>
    <w:rsid w:val="003D1FB2"/>
    <w:rsid w:val="003D66DA"/>
    <w:rsid w:val="003E1310"/>
    <w:rsid w:val="003E4F59"/>
    <w:rsid w:val="003E50A9"/>
    <w:rsid w:val="003E5837"/>
    <w:rsid w:val="003E6F55"/>
    <w:rsid w:val="003E6FB6"/>
    <w:rsid w:val="003F1989"/>
    <w:rsid w:val="003F3ABC"/>
    <w:rsid w:val="003F5B0D"/>
    <w:rsid w:val="00406249"/>
    <w:rsid w:val="00406254"/>
    <w:rsid w:val="00406ADA"/>
    <w:rsid w:val="00406DDC"/>
    <w:rsid w:val="00406F08"/>
    <w:rsid w:val="00411027"/>
    <w:rsid w:val="004169FC"/>
    <w:rsid w:val="00416CD4"/>
    <w:rsid w:val="004223DE"/>
    <w:rsid w:val="004230E2"/>
    <w:rsid w:val="00434489"/>
    <w:rsid w:val="00437085"/>
    <w:rsid w:val="00443880"/>
    <w:rsid w:val="004464F4"/>
    <w:rsid w:val="004544BF"/>
    <w:rsid w:val="0046392D"/>
    <w:rsid w:val="004643E8"/>
    <w:rsid w:val="00471401"/>
    <w:rsid w:val="00473F31"/>
    <w:rsid w:val="0048263A"/>
    <w:rsid w:val="00486D37"/>
    <w:rsid w:val="00487E5D"/>
    <w:rsid w:val="00490779"/>
    <w:rsid w:val="00490876"/>
    <w:rsid w:val="004914B3"/>
    <w:rsid w:val="0049298E"/>
    <w:rsid w:val="00493383"/>
    <w:rsid w:val="004A711F"/>
    <w:rsid w:val="004B199D"/>
    <w:rsid w:val="004B4690"/>
    <w:rsid w:val="004C6D02"/>
    <w:rsid w:val="004C6DB1"/>
    <w:rsid w:val="004D0831"/>
    <w:rsid w:val="004D61EA"/>
    <w:rsid w:val="004E0A2D"/>
    <w:rsid w:val="004E206B"/>
    <w:rsid w:val="004E6DF7"/>
    <w:rsid w:val="004E7841"/>
    <w:rsid w:val="004F0FBD"/>
    <w:rsid w:val="004F403E"/>
    <w:rsid w:val="004F71E3"/>
    <w:rsid w:val="004F75C8"/>
    <w:rsid w:val="0050200F"/>
    <w:rsid w:val="005059B2"/>
    <w:rsid w:val="00505A47"/>
    <w:rsid w:val="00505CAE"/>
    <w:rsid w:val="00510853"/>
    <w:rsid w:val="005118B8"/>
    <w:rsid w:val="00512FDA"/>
    <w:rsid w:val="00517EBC"/>
    <w:rsid w:val="00520DA0"/>
    <w:rsid w:val="005230A6"/>
    <w:rsid w:val="0052353C"/>
    <w:rsid w:val="00531480"/>
    <w:rsid w:val="00532376"/>
    <w:rsid w:val="00536A20"/>
    <w:rsid w:val="005565F7"/>
    <w:rsid w:val="005664BB"/>
    <w:rsid w:val="00566E65"/>
    <w:rsid w:val="00566FFA"/>
    <w:rsid w:val="00567F47"/>
    <w:rsid w:val="00571A78"/>
    <w:rsid w:val="0057391E"/>
    <w:rsid w:val="0057481D"/>
    <w:rsid w:val="00574CF1"/>
    <w:rsid w:val="00575F0B"/>
    <w:rsid w:val="0058486E"/>
    <w:rsid w:val="00585B33"/>
    <w:rsid w:val="0058610B"/>
    <w:rsid w:val="0059014D"/>
    <w:rsid w:val="005A0401"/>
    <w:rsid w:val="005A4B53"/>
    <w:rsid w:val="005A7549"/>
    <w:rsid w:val="005B52CE"/>
    <w:rsid w:val="005B5C64"/>
    <w:rsid w:val="005C2ADB"/>
    <w:rsid w:val="005C6BD0"/>
    <w:rsid w:val="005C6C4C"/>
    <w:rsid w:val="005D1C8B"/>
    <w:rsid w:val="005D2B18"/>
    <w:rsid w:val="005D468D"/>
    <w:rsid w:val="005D5CED"/>
    <w:rsid w:val="005F1A4C"/>
    <w:rsid w:val="005F2847"/>
    <w:rsid w:val="00601C27"/>
    <w:rsid w:val="0060433F"/>
    <w:rsid w:val="00605688"/>
    <w:rsid w:val="006070AF"/>
    <w:rsid w:val="00607E6C"/>
    <w:rsid w:val="006101B1"/>
    <w:rsid w:val="006134EE"/>
    <w:rsid w:val="00614C3D"/>
    <w:rsid w:val="00614E44"/>
    <w:rsid w:val="0062270A"/>
    <w:rsid w:val="00622830"/>
    <w:rsid w:val="00623DA0"/>
    <w:rsid w:val="00624361"/>
    <w:rsid w:val="00630AEF"/>
    <w:rsid w:val="006325F8"/>
    <w:rsid w:val="00633463"/>
    <w:rsid w:val="00634C9A"/>
    <w:rsid w:val="006440E4"/>
    <w:rsid w:val="006600DD"/>
    <w:rsid w:val="0066343B"/>
    <w:rsid w:val="00664777"/>
    <w:rsid w:val="00665F1C"/>
    <w:rsid w:val="00667176"/>
    <w:rsid w:val="00671574"/>
    <w:rsid w:val="00671F9E"/>
    <w:rsid w:val="006748A4"/>
    <w:rsid w:val="00681A31"/>
    <w:rsid w:val="00682B57"/>
    <w:rsid w:val="00683E73"/>
    <w:rsid w:val="006A3141"/>
    <w:rsid w:val="006A330C"/>
    <w:rsid w:val="006A5E34"/>
    <w:rsid w:val="006B2422"/>
    <w:rsid w:val="006B2B9A"/>
    <w:rsid w:val="006B5356"/>
    <w:rsid w:val="006C1937"/>
    <w:rsid w:val="006D52A8"/>
    <w:rsid w:val="006D6418"/>
    <w:rsid w:val="006F020C"/>
    <w:rsid w:val="006F360F"/>
    <w:rsid w:val="00704B8F"/>
    <w:rsid w:val="007127B7"/>
    <w:rsid w:val="0071709B"/>
    <w:rsid w:val="0071798E"/>
    <w:rsid w:val="0072029F"/>
    <w:rsid w:val="00727533"/>
    <w:rsid w:val="007416B6"/>
    <w:rsid w:val="00746095"/>
    <w:rsid w:val="00746F48"/>
    <w:rsid w:val="0075054F"/>
    <w:rsid w:val="0075404D"/>
    <w:rsid w:val="007548BE"/>
    <w:rsid w:val="00756014"/>
    <w:rsid w:val="0076182A"/>
    <w:rsid w:val="00763393"/>
    <w:rsid w:val="007635D9"/>
    <w:rsid w:val="00767B7E"/>
    <w:rsid w:val="00770521"/>
    <w:rsid w:val="00772D39"/>
    <w:rsid w:val="00775BD5"/>
    <w:rsid w:val="007770C3"/>
    <w:rsid w:val="0078074F"/>
    <w:rsid w:val="007820EB"/>
    <w:rsid w:val="00784D24"/>
    <w:rsid w:val="00785344"/>
    <w:rsid w:val="00785FBA"/>
    <w:rsid w:val="00786E4A"/>
    <w:rsid w:val="007875EB"/>
    <w:rsid w:val="007937B0"/>
    <w:rsid w:val="0079426B"/>
    <w:rsid w:val="0079628B"/>
    <w:rsid w:val="007A6774"/>
    <w:rsid w:val="007B1BA0"/>
    <w:rsid w:val="007C33F2"/>
    <w:rsid w:val="007C77A8"/>
    <w:rsid w:val="007D1682"/>
    <w:rsid w:val="007D312A"/>
    <w:rsid w:val="007D3F19"/>
    <w:rsid w:val="007D5281"/>
    <w:rsid w:val="007D5AB7"/>
    <w:rsid w:val="007E23B0"/>
    <w:rsid w:val="007E2886"/>
    <w:rsid w:val="007E28A1"/>
    <w:rsid w:val="007E2987"/>
    <w:rsid w:val="007F0819"/>
    <w:rsid w:val="007F1991"/>
    <w:rsid w:val="007F2C2F"/>
    <w:rsid w:val="007F55FC"/>
    <w:rsid w:val="007F5665"/>
    <w:rsid w:val="007F6E37"/>
    <w:rsid w:val="00800112"/>
    <w:rsid w:val="00810528"/>
    <w:rsid w:val="00811FB1"/>
    <w:rsid w:val="00812A2C"/>
    <w:rsid w:val="00813348"/>
    <w:rsid w:val="00815CDF"/>
    <w:rsid w:val="00820150"/>
    <w:rsid w:val="00821B5B"/>
    <w:rsid w:val="008253BB"/>
    <w:rsid w:val="008300BC"/>
    <w:rsid w:val="00833962"/>
    <w:rsid w:val="0083706E"/>
    <w:rsid w:val="008408F6"/>
    <w:rsid w:val="008423A5"/>
    <w:rsid w:val="00843D3C"/>
    <w:rsid w:val="00846C33"/>
    <w:rsid w:val="00850625"/>
    <w:rsid w:val="00853718"/>
    <w:rsid w:val="00855221"/>
    <w:rsid w:val="00860645"/>
    <w:rsid w:val="0086319F"/>
    <w:rsid w:val="00871F71"/>
    <w:rsid w:val="00872FD8"/>
    <w:rsid w:val="00874FB0"/>
    <w:rsid w:val="00882471"/>
    <w:rsid w:val="00885AF4"/>
    <w:rsid w:val="00886E84"/>
    <w:rsid w:val="008939CD"/>
    <w:rsid w:val="00897682"/>
    <w:rsid w:val="008A6964"/>
    <w:rsid w:val="008B4724"/>
    <w:rsid w:val="008B768C"/>
    <w:rsid w:val="008C2BE4"/>
    <w:rsid w:val="008C4DB1"/>
    <w:rsid w:val="008C4EAF"/>
    <w:rsid w:val="008C5176"/>
    <w:rsid w:val="008C7FD0"/>
    <w:rsid w:val="008E0C07"/>
    <w:rsid w:val="008E1DE7"/>
    <w:rsid w:val="008E418B"/>
    <w:rsid w:val="008E68C6"/>
    <w:rsid w:val="008E707C"/>
    <w:rsid w:val="008F282E"/>
    <w:rsid w:val="008F74F1"/>
    <w:rsid w:val="00900B08"/>
    <w:rsid w:val="00902155"/>
    <w:rsid w:val="00902FA3"/>
    <w:rsid w:val="00906523"/>
    <w:rsid w:val="00917DDB"/>
    <w:rsid w:val="00917E0D"/>
    <w:rsid w:val="00923564"/>
    <w:rsid w:val="0092392E"/>
    <w:rsid w:val="009315F9"/>
    <w:rsid w:val="00933499"/>
    <w:rsid w:val="0093393F"/>
    <w:rsid w:val="00935C98"/>
    <w:rsid w:val="00940166"/>
    <w:rsid w:val="009429C4"/>
    <w:rsid w:val="00943A36"/>
    <w:rsid w:val="00946945"/>
    <w:rsid w:val="00951248"/>
    <w:rsid w:val="0095152F"/>
    <w:rsid w:val="00954C49"/>
    <w:rsid w:val="00955BD3"/>
    <w:rsid w:val="00955E37"/>
    <w:rsid w:val="0097099F"/>
    <w:rsid w:val="00971686"/>
    <w:rsid w:val="00971997"/>
    <w:rsid w:val="00971FFC"/>
    <w:rsid w:val="0098045D"/>
    <w:rsid w:val="0098660A"/>
    <w:rsid w:val="009931C3"/>
    <w:rsid w:val="009A7F1D"/>
    <w:rsid w:val="009B2ACD"/>
    <w:rsid w:val="009B2C43"/>
    <w:rsid w:val="009B4EAE"/>
    <w:rsid w:val="009B7573"/>
    <w:rsid w:val="009C097E"/>
    <w:rsid w:val="009C22F4"/>
    <w:rsid w:val="009C2E98"/>
    <w:rsid w:val="009C37FB"/>
    <w:rsid w:val="009D3447"/>
    <w:rsid w:val="009D37CA"/>
    <w:rsid w:val="009D4711"/>
    <w:rsid w:val="009D4736"/>
    <w:rsid w:val="009E29F2"/>
    <w:rsid w:val="009E2E64"/>
    <w:rsid w:val="009E4039"/>
    <w:rsid w:val="009E4D14"/>
    <w:rsid w:val="009E560C"/>
    <w:rsid w:val="009F1185"/>
    <w:rsid w:val="009F18CD"/>
    <w:rsid w:val="009F2A13"/>
    <w:rsid w:val="009F57B7"/>
    <w:rsid w:val="009F702C"/>
    <w:rsid w:val="009F7527"/>
    <w:rsid w:val="00A039ED"/>
    <w:rsid w:val="00A04EB0"/>
    <w:rsid w:val="00A13321"/>
    <w:rsid w:val="00A13CC1"/>
    <w:rsid w:val="00A16847"/>
    <w:rsid w:val="00A17A5B"/>
    <w:rsid w:val="00A20FB8"/>
    <w:rsid w:val="00A237D8"/>
    <w:rsid w:val="00A268C4"/>
    <w:rsid w:val="00A27A46"/>
    <w:rsid w:val="00A27C95"/>
    <w:rsid w:val="00A307CD"/>
    <w:rsid w:val="00A3090B"/>
    <w:rsid w:val="00A331C8"/>
    <w:rsid w:val="00A35117"/>
    <w:rsid w:val="00A40A00"/>
    <w:rsid w:val="00A4142F"/>
    <w:rsid w:val="00A422EB"/>
    <w:rsid w:val="00A43BA6"/>
    <w:rsid w:val="00A45BB7"/>
    <w:rsid w:val="00A461B2"/>
    <w:rsid w:val="00A46754"/>
    <w:rsid w:val="00A5606B"/>
    <w:rsid w:val="00A56DF2"/>
    <w:rsid w:val="00A56E6E"/>
    <w:rsid w:val="00A67AB5"/>
    <w:rsid w:val="00A733B2"/>
    <w:rsid w:val="00A741C2"/>
    <w:rsid w:val="00A85DE5"/>
    <w:rsid w:val="00A91760"/>
    <w:rsid w:val="00A9238D"/>
    <w:rsid w:val="00A930B8"/>
    <w:rsid w:val="00A934B5"/>
    <w:rsid w:val="00A93B00"/>
    <w:rsid w:val="00A93C21"/>
    <w:rsid w:val="00A9660C"/>
    <w:rsid w:val="00AA066D"/>
    <w:rsid w:val="00AB64C9"/>
    <w:rsid w:val="00AC3C6A"/>
    <w:rsid w:val="00AD0F83"/>
    <w:rsid w:val="00AD280E"/>
    <w:rsid w:val="00AD340E"/>
    <w:rsid w:val="00AD37E2"/>
    <w:rsid w:val="00AD5620"/>
    <w:rsid w:val="00AD656B"/>
    <w:rsid w:val="00AD7C1B"/>
    <w:rsid w:val="00AE16BA"/>
    <w:rsid w:val="00AE1EBE"/>
    <w:rsid w:val="00AF0871"/>
    <w:rsid w:val="00AF37E2"/>
    <w:rsid w:val="00AF6092"/>
    <w:rsid w:val="00B03C9D"/>
    <w:rsid w:val="00B060AE"/>
    <w:rsid w:val="00B10010"/>
    <w:rsid w:val="00B10517"/>
    <w:rsid w:val="00B14E76"/>
    <w:rsid w:val="00B161B8"/>
    <w:rsid w:val="00B1718B"/>
    <w:rsid w:val="00B1744C"/>
    <w:rsid w:val="00B2048C"/>
    <w:rsid w:val="00B26BB2"/>
    <w:rsid w:val="00B27A51"/>
    <w:rsid w:val="00B310B9"/>
    <w:rsid w:val="00B35F3F"/>
    <w:rsid w:val="00B36CBB"/>
    <w:rsid w:val="00B404C4"/>
    <w:rsid w:val="00B425E0"/>
    <w:rsid w:val="00B440AA"/>
    <w:rsid w:val="00B44B70"/>
    <w:rsid w:val="00B5007F"/>
    <w:rsid w:val="00B53C56"/>
    <w:rsid w:val="00B56574"/>
    <w:rsid w:val="00B57906"/>
    <w:rsid w:val="00B57DAF"/>
    <w:rsid w:val="00B62975"/>
    <w:rsid w:val="00B77EA6"/>
    <w:rsid w:val="00B81598"/>
    <w:rsid w:val="00B841F1"/>
    <w:rsid w:val="00B944D6"/>
    <w:rsid w:val="00BA0F35"/>
    <w:rsid w:val="00BA4153"/>
    <w:rsid w:val="00BA59A9"/>
    <w:rsid w:val="00BB2A8F"/>
    <w:rsid w:val="00BB4DF0"/>
    <w:rsid w:val="00BB67AE"/>
    <w:rsid w:val="00BC289F"/>
    <w:rsid w:val="00BC2D50"/>
    <w:rsid w:val="00BC528F"/>
    <w:rsid w:val="00BC5361"/>
    <w:rsid w:val="00BC5460"/>
    <w:rsid w:val="00BC6B50"/>
    <w:rsid w:val="00BD0E25"/>
    <w:rsid w:val="00BE0E1F"/>
    <w:rsid w:val="00BE104C"/>
    <w:rsid w:val="00BF4DF9"/>
    <w:rsid w:val="00BF522F"/>
    <w:rsid w:val="00BF5BD6"/>
    <w:rsid w:val="00C02BBF"/>
    <w:rsid w:val="00C03E31"/>
    <w:rsid w:val="00C07A50"/>
    <w:rsid w:val="00C16569"/>
    <w:rsid w:val="00C30E69"/>
    <w:rsid w:val="00C33E72"/>
    <w:rsid w:val="00C354B2"/>
    <w:rsid w:val="00C35554"/>
    <w:rsid w:val="00C36E96"/>
    <w:rsid w:val="00C42709"/>
    <w:rsid w:val="00C44A78"/>
    <w:rsid w:val="00C46CDD"/>
    <w:rsid w:val="00C527CF"/>
    <w:rsid w:val="00C533CC"/>
    <w:rsid w:val="00C564E7"/>
    <w:rsid w:val="00C5751C"/>
    <w:rsid w:val="00C57951"/>
    <w:rsid w:val="00C61BFC"/>
    <w:rsid w:val="00C62B85"/>
    <w:rsid w:val="00C65438"/>
    <w:rsid w:val="00C76177"/>
    <w:rsid w:val="00C85676"/>
    <w:rsid w:val="00C90307"/>
    <w:rsid w:val="00C91CBB"/>
    <w:rsid w:val="00CA6992"/>
    <w:rsid w:val="00CB3917"/>
    <w:rsid w:val="00CB4E70"/>
    <w:rsid w:val="00CC09B6"/>
    <w:rsid w:val="00CC1A01"/>
    <w:rsid w:val="00CC362F"/>
    <w:rsid w:val="00CC370B"/>
    <w:rsid w:val="00CC666F"/>
    <w:rsid w:val="00CD1730"/>
    <w:rsid w:val="00CD1E3F"/>
    <w:rsid w:val="00CD4B70"/>
    <w:rsid w:val="00CE44F6"/>
    <w:rsid w:val="00CE49DA"/>
    <w:rsid w:val="00CE5EC8"/>
    <w:rsid w:val="00CE7B61"/>
    <w:rsid w:val="00CF7F1B"/>
    <w:rsid w:val="00D00095"/>
    <w:rsid w:val="00D0337E"/>
    <w:rsid w:val="00D114F0"/>
    <w:rsid w:val="00D11CA0"/>
    <w:rsid w:val="00D12F1F"/>
    <w:rsid w:val="00D20620"/>
    <w:rsid w:val="00D23629"/>
    <w:rsid w:val="00D254F7"/>
    <w:rsid w:val="00D26091"/>
    <w:rsid w:val="00D2685C"/>
    <w:rsid w:val="00D34CDA"/>
    <w:rsid w:val="00D34E7C"/>
    <w:rsid w:val="00D35489"/>
    <w:rsid w:val="00D36AFE"/>
    <w:rsid w:val="00D37AA8"/>
    <w:rsid w:val="00D43C33"/>
    <w:rsid w:val="00D463FE"/>
    <w:rsid w:val="00D51276"/>
    <w:rsid w:val="00D51635"/>
    <w:rsid w:val="00D5294B"/>
    <w:rsid w:val="00D7035F"/>
    <w:rsid w:val="00D77904"/>
    <w:rsid w:val="00D82DF9"/>
    <w:rsid w:val="00D84A07"/>
    <w:rsid w:val="00D85F82"/>
    <w:rsid w:val="00DA11EF"/>
    <w:rsid w:val="00DA224A"/>
    <w:rsid w:val="00DA634F"/>
    <w:rsid w:val="00DA63F5"/>
    <w:rsid w:val="00DA65AC"/>
    <w:rsid w:val="00DA7F4B"/>
    <w:rsid w:val="00DB0C42"/>
    <w:rsid w:val="00DB1913"/>
    <w:rsid w:val="00DC410D"/>
    <w:rsid w:val="00DC5A81"/>
    <w:rsid w:val="00DC68CA"/>
    <w:rsid w:val="00DC7CBA"/>
    <w:rsid w:val="00DD6DD3"/>
    <w:rsid w:val="00DD73B7"/>
    <w:rsid w:val="00DE4D9B"/>
    <w:rsid w:val="00DF28BC"/>
    <w:rsid w:val="00DF34B9"/>
    <w:rsid w:val="00DF4244"/>
    <w:rsid w:val="00DF6131"/>
    <w:rsid w:val="00DF741F"/>
    <w:rsid w:val="00E01053"/>
    <w:rsid w:val="00E03B29"/>
    <w:rsid w:val="00E07ACF"/>
    <w:rsid w:val="00E109F1"/>
    <w:rsid w:val="00E12EB9"/>
    <w:rsid w:val="00E30839"/>
    <w:rsid w:val="00E30F5F"/>
    <w:rsid w:val="00E331A1"/>
    <w:rsid w:val="00E33202"/>
    <w:rsid w:val="00E336A9"/>
    <w:rsid w:val="00E41511"/>
    <w:rsid w:val="00E472B1"/>
    <w:rsid w:val="00E50624"/>
    <w:rsid w:val="00E568DF"/>
    <w:rsid w:val="00E64269"/>
    <w:rsid w:val="00E66797"/>
    <w:rsid w:val="00E82267"/>
    <w:rsid w:val="00E84FF3"/>
    <w:rsid w:val="00E853CE"/>
    <w:rsid w:val="00E867B6"/>
    <w:rsid w:val="00E86AC6"/>
    <w:rsid w:val="00E87B4E"/>
    <w:rsid w:val="00E87F08"/>
    <w:rsid w:val="00E963C7"/>
    <w:rsid w:val="00EA010F"/>
    <w:rsid w:val="00EA2639"/>
    <w:rsid w:val="00EB381A"/>
    <w:rsid w:val="00EC3273"/>
    <w:rsid w:val="00ED1B63"/>
    <w:rsid w:val="00ED3C1F"/>
    <w:rsid w:val="00ED4085"/>
    <w:rsid w:val="00ED420E"/>
    <w:rsid w:val="00ED6FBE"/>
    <w:rsid w:val="00EE08E5"/>
    <w:rsid w:val="00EE2F57"/>
    <w:rsid w:val="00EF2C8C"/>
    <w:rsid w:val="00EF4C34"/>
    <w:rsid w:val="00EF755D"/>
    <w:rsid w:val="00EF77C6"/>
    <w:rsid w:val="00F022E6"/>
    <w:rsid w:val="00F03465"/>
    <w:rsid w:val="00F05438"/>
    <w:rsid w:val="00F05AF2"/>
    <w:rsid w:val="00F13133"/>
    <w:rsid w:val="00F1361C"/>
    <w:rsid w:val="00F156F0"/>
    <w:rsid w:val="00F160C7"/>
    <w:rsid w:val="00F214E4"/>
    <w:rsid w:val="00F2408F"/>
    <w:rsid w:val="00F240E9"/>
    <w:rsid w:val="00F321F2"/>
    <w:rsid w:val="00F36D8F"/>
    <w:rsid w:val="00F37985"/>
    <w:rsid w:val="00F417B1"/>
    <w:rsid w:val="00F421AB"/>
    <w:rsid w:val="00F45853"/>
    <w:rsid w:val="00F4659D"/>
    <w:rsid w:val="00F601D8"/>
    <w:rsid w:val="00F602DF"/>
    <w:rsid w:val="00F60B39"/>
    <w:rsid w:val="00F65DF1"/>
    <w:rsid w:val="00F754A1"/>
    <w:rsid w:val="00F80D1A"/>
    <w:rsid w:val="00F81FD9"/>
    <w:rsid w:val="00F841AA"/>
    <w:rsid w:val="00F84A94"/>
    <w:rsid w:val="00F87E96"/>
    <w:rsid w:val="00F92808"/>
    <w:rsid w:val="00FA23E8"/>
    <w:rsid w:val="00FA420B"/>
    <w:rsid w:val="00FC1884"/>
    <w:rsid w:val="00FD3CC1"/>
    <w:rsid w:val="00FD5877"/>
    <w:rsid w:val="00FE3CAB"/>
    <w:rsid w:val="00FF1E02"/>
    <w:rsid w:val="00FF30B4"/>
    <w:rsid w:val="0205449B"/>
    <w:rsid w:val="02B11A27"/>
    <w:rsid w:val="02E13D85"/>
    <w:rsid w:val="03556DE6"/>
    <w:rsid w:val="038D6C73"/>
    <w:rsid w:val="050B5BB5"/>
    <w:rsid w:val="051866C7"/>
    <w:rsid w:val="07D57190"/>
    <w:rsid w:val="08770A71"/>
    <w:rsid w:val="0882080B"/>
    <w:rsid w:val="08A07EC8"/>
    <w:rsid w:val="090A3193"/>
    <w:rsid w:val="09BF3E29"/>
    <w:rsid w:val="09EB4127"/>
    <w:rsid w:val="0B4C03C3"/>
    <w:rsid w:val="0B997AA8"/>
    <w:rsid w:val="0BA55D0E"/>
    <w:rsid w:val="0D4D7CE0"/>
    <w:rsid w:val="0E290BD3"/>
    <w:rsid w:val="0FE12890"/>
    <w:rsid w:val="103C2F76"/>
    <w:rsid w:val="10645A87"/>
    <w:rsid w:val="107F7142"/>
    <w:rsid w:val="10C055FF"/>
    <w:rsid w:val="10FD14B6"/>
    <w:rsid w:val="110F45DF"/>
    <w:rsid w:val="13A70136"/>
    <w:rsid w:val="13F86A64"/>
    <w:rsid w:val="142B6B8C"/>
    <w:rsid w:val="14D03E1C"/>
    <w:rsid w:val="15113797"/>
    <w:rsid w:val="1554518F"/>
    <w:rsid w:val="15886A01"/>
    <w:rsid w:val="16121D23"/>
    <w:rsid w:val="167F317C"/>
    <w:rsid w:val="169C6DAB"/>
    <w:rsid w:val="16BB723D"/>
    <w:rsid w:val="188D6C76"/>
    <w:rsid w:val="18DE66C2"/>
    <w:rsid w:val="19686E13"/>
    <w:rsid w:val="1AB9640E"/>
    <w:rsid w:val="1B37371B"/>
    <w:rsid w:val="1B4F7747"/>
    <w:rsid w:val="1B795A1E"/>
    <w:rsid w:val="1B996629"/>
    <w:rsid w:val="1BB03210"/>
    <w:rsid w:val="1BF91AD3"/>
    <w:rsid w:val="1D136ACE"/>
    <w:rsid w:val="1D18051C"/>
    <w:rsid w:val="1D973EE3"/>
    <w:rsid w:val="1DE06707"/>
    <w:rsid w:val="1EA4347B"/>
    <w:rsid w:val="1F346C4E"/>
    <w:rsid w:val="1FA33884"/>
    <w:rsid w:val="1FAF2614"/>
    <w:rsid w:val="210763F2"/>
    <w:rsid w:val="240371BF"/>
    <w:rsid w:val="24E75591"/>
    <w:rsid w:val="24EC2387"/>
    <w:rsid w:val="254B4FE8"/>
    <w:rsid w:val="25600BCF"/>
    <w:rsid w:val="26627A6D"/>
    <w:rsid w:val="267D29D9"/>
    <w:rsid w:val="26F714E7"/>
    <w:rsid w:val="27E04A2E"/>
    <w:rsid w:val="284003F9"/>
    <w:rsid w:val="28C3596E"/>
    <w:rsid w:val="28E6445F"/>
    <w:rsid w:val="2904149F"/>
    <w:rsid w:val="29491FF5"/>
    <w:rsid w:val="295739AE"/>
    <w:rsid w:val="29FD04D3"/>
    <w:rsid w:val="2A812035"/>
    <w:rsid w:val="2B801749"/>
    <w:rsid w:val="2E7C19A3"/>
    <w:rsid w:val="2E982462"/>
    <w:rsid w:val="2F015237"/>
    <w:rsid w:val="2F19672A"/>
    <w:rsid w:val="2F216838"/>
    <w:rsid w:val="2F3414CC"/>
    <w:rsid w:val="30317C5A"/>
    <w:rsid w:val="306C1A81"/>
    <w:rsid w:val="310E55FB"/>
    <w:rsid w:val="319F7F4E"/>
    <w:rsid w:val="31CD36DD"/>
    <w:rsid w:val="32FB3894"/>
    <w:rsid w:val="33D44B03"/>
    <w:rsid w:val="35433692"/>
    <w:rsid w:val="361F6752"/>
    <w:rsid w:val="36585856"/>
    <w:rsid w:val="39012092"/>
    <w:rsid w:val="392132E3"/>
    <w:rsid w:val="39F0641A"/>
    <w:rsid w:val="3A8C3C6C"/>
    <w:rsid w:val="3ACF5C20"/>
    <w:rsid w:val="3B0A0D68"/>
    <w:rsid w:val="3BA32765"/>
    <w:rsid w:val="3CB758FE"/>
    <w:rsid w:val="3D0B6BA3"/>
    <w:rsid w:val="3DC55D57"/>
    <w:rsid w:val="3F546012"/>
    <w:rsid w:val="3F976905"/>
    <w:rsid w:val="3FF5303E"/>
    <w:rsid w:val="410D6482"/>
    <w:rsid w:val="415E5294"/>
    <w:rsid w:val="41A06310"/>
    <w:rsid w:val="41FF1FAF"/>
    <w:rsid w:val="4219391E"/>
    <w:rsid w:val="42871DAD"/>
    <w:rsid w:val="42B926E4"/>
    <w:rsid w:val="43FE1C57"/>
    <w:rsid w:val="45176D08"/>
    <w:rsid w:val="45211D1E"/>
    <w:rsid w:val="453C60AE"/>
    <w:rsid w:val="45F91AE4"/>
    <w:rsid w:val="463863B8"/>
    <w:rsid w:val="46F57364"/>
    <w:rsid w:val="477653D2"/>
    <w:rsid w:val="47CD0F5B"/>
    <w:rsid w:val="482A00C2"/>
    <w:rsid w:val="48A605DA"/>
    <w:rsid w:val="49AD5A8A"/>
    <w:rsid w:val="4A2E57EF"/>
    <w:rsid w:val="4A8B4787"/>
    <w:rsid w:val="4A925DAB"/>
    <w:rsid w:val="4B3D5F32"/>
    <w:rsid w:val="4CCE5347"/>
    <w:rsid w:val="4D0A1FFD"/>
    <w:rsid w:val="4D6D7983"/>
    <w:rsid w:val="4EC517A8"/>
    <w:rsid w:val="4ECE2238"/>
    <w:rsid w:val="4F0934F9"/>
    <w:rsid w:val="4F1227FE"/>
    <w:rsid w:val="4F4C3B26"/>
    <w:rsid w:val="508E1A0B"/>
    <w:rsid w:val="50A645B1"/>
    <w:rsid w:val="50D41B21"/>
    <w:rsid w:val="511D5C4C"/>
    <w:rsid w:val="52274468"/>
    <w:rsid w:val="53A35BFB"/>
    <w:rsid w:val="540156E8"/>
    <w:rsid w:val="54EF4C76"/>
    <w:rsid w:val="554A7407"/>
    <w:rsid w:val="55D20B1D"/>
    <w:rsid w:val="56411892"/>
    <w:rsid w:val="578F53E8"/>
    <w:rsid w:val="58AA01A1"/>
    <w:rsid w:val="5B377A5D"/>
    <w:rsid w:val="5B976EEA"/>
    <w:rsid w:val="5BC170D0"/>
    <w:rsid w:val="5C416791"/>
    <w:rsid w:val="5DA22326"/>
    <w:rsid w:val="5E2033FD"/>
    <w:rsid w:val="5EA60C4A"/>
    <w:rsid w:val="5FBF2ADD"/>
    <w:rsid w:val="620304F7"/>
    <w:rsid w:val="62705FD1"/>
    <w:rsid w:val="64045F21"/>
    <w:rsid w:val="64AD4642"/>
    <w:rsid w:val="64D61C1B"/>
    <w:rsid w:val="64F046E8"/>
    <w:rsid w:val="66D647F8"/>
    <w:rsid w:val="66FE71A6"/>
    <w:rsid w:val="67927B6E"/>
    <w:rsid w:val="68944996"/>
    <w:rsid w:val="69C57B8F"/>
    <w:rsid w:val="6B6208E2"/>
    <w:rsid w:val="6B7238C6"/>
    <w:rsid w:val="6C2C05C4"/>
    <w:rsid w:val="6C9F5E4D"/>
    <w:rsid w:val="6CB016C6"/>
    <w:rsid w:val="6D6467B0"/>
    <w:rsid w:val="6E844748"/>
    <w:rsid w:val="6EFF500A"/>
    <w:rsid w:val="6F177847"/>
    <w:rsid w:val="6F3A469D"/>
    <w:rsid w:val="71D75654"/>
    <w:rsid w:val="72734D90"/>
    <w:rsid w:val="729848F7"/>
    <w:rsid w:val="73021EFE"/>
    <w:rsid w:val="737059BE"/>
    <w:rsid w:val="753360C4"/>
    <w:rsid w:val="75D758C2"/>
    <w:rsid w:val="75F76E26"/>
    <w:rsid w:val="76524BB0"/>
    <w:rsid w:val="767672DF"/>
    <w:rsid w:val="76E17968"/>
    <w:rsid w:val="77791A66"/>
    <w:rsid w:val="79141BEE"/>
    <w:rsid w:val="79463063"/>
    <w:rsid w:val="7B153474"/>
    <w:rsid w:val="7B391999"/>
    <w:rsid w:val="7C6E6D12"/>
    <w:rsid w:val="7C9E5FE0"/>
    <w:rsid w:val="7CE10F0F"/>
    <w:rsid w:val="7D20705B"/>
    <w:rsid w:val="7D643404"/>
    <w:rsid w:val="7E2D6BA0"/>
    <w:rsid w:val="7E84784D"/>
    <w:rsid w:val="7F026090"/>
    <w:rsid w:val="7FA81DA0"/>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Body Text Indent"/>
    <w:basedOn w:val="1"/>
    <w:semiHidden/>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Body Text First Indent 2"/>
    <w:basedOn w:val="6"/>
    <w:unhideWhenUsed/>
    <w:qFormat/>
    <w:uiPriority w:val="99"/>
    <w:pPr>
      <w:ind w:firstLine="420" w:firstLineChars="200"/>
    </w:pPr>
  </w:style>
  <w:style w:type="character" w:styleId="17">
    <w:name w:val="Strong"/>
    <w:basedOn w:val="16"/>
    <w:qFormat/>
    <w:uiPriority w:val="22"/>
    <w:rPr>
      <w:b/>
    </w:rPr>
  </w:style>
  <w:style w:type="character" w:styleId="18">
    <w:name w:val="Hyperlink"/>
    <w:basedOn w:val="16"/>
    <w:unhideWhenUsed/>
    <w:qFormat/>
    <w:uiPriority w:val="99"/>
    <w:rPr>
      <w:color w:val="0000FF" w:themeColor="hyperlink"/>
      <w:u w:val="single"/>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2"/>
    <w:qFormat/>
    <w:uiPriority w:val="9"/>
    <w:rPr>
      <w:rFonts w:ascii="Times New Roman" w:hAnsi="Times New Roman"/>
      <w:b/>
      <w:bCs/>
      <w:kern w:val="44"/>
      <w:sz w:val="44"/>
      <w:szCs w:val="44"/>
    </w:rPr>
  </w:style>
  <w:style w:type="character" w:customStyle="1" w:styleId="28">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4"/>
    <w:qFormat/>
    <w:uiPriority w:val="9"/>
    <w:rPr>
      <w:rFonts w:ascii="Times New Roman" w:hAnsi="Times New Roman"/>
      <w:b/>
      <w:bCs/>
      <w:kern w:val="2"/>
      <w:sz w:val="32"/>
      <w:szCs w:val="32"/>
    </w:rPr>
  </w:style>
  <w:style w:type="paragraph" w:customStyle="1" w:styleId="32">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3">
    <w:name w:val="四号正文"/>
    <w:basedOn w:val="1"/>
    <w:qFormat/>
    <w:uiPriority w:val="0"/>
    <w:pPr>
      <w:spacing w:line="360" w:lineRule="auto"/>
    </w:pPr>
    <w:rPr>
      <w:rFonts w:ascii="??" w:hAnsi="??" w:cs="宋体"/>
      <w:color w:val="000000"/>
      <w:kern w:val="0"/>
      <w:sz w:val="28"/>
      <w:szCs w:val="21"/>
    </w:rPr>
  </w:style>
  <w:style w:type="paragraph" w:customStyle="1" w:styleId="34">
    <w:name w:val="WPSOffice手动目录 1"/>
    <w:qFormat/>
    <w:uiPriority w:val="0"/>
    <w:rPr>
      <w:rFonts w:ascii="Calibri" w:hAnsi="Calibri" w:eastAsia="宋体" w:cs="Times New Roman"/>
      <w:lang w:val="en-US" w:eastAsia="zh-CN" w:bidi="ar-SA"/>
    </w:rPr>
  </w:style>
  <w:style w:type="paragraph" w:customStyle="1" w:styleId="35">
    <w:name w:val="WPSOffice手动目录 2"/>
    <w:qFormat/>
    <w:uiPriority w:val="0"/>
    <w:pPr>
      <w:ind w:left="200" w:leftChars="200"/>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chart" Target="charts/chart8.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indows%207\Desktop\&#26032;&#24314;%20Microsoft%20Office%20Excel%20&#24037;&#20316;&#34920;%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istrator\Desktop\&#26032;&#24314;%20XLSX%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工作表.xlsx]Sheet1'!$A$2</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工作表.xlsx]Sheet1'!$B$1:$C$1</c:f>
              <c:strCache>
                <c:ptCount val="2"/>
                <c:pt idx="0">
                  <c:v>收入</c:v>
                </c:pt>
                <c:pt idx="1">
                  <c:v>支出</c:v>
                </c:pt>
              </c:strCache>
            </c:strRef>
          </c:cat>
          <c:val>
            <c:numRef>
              <c:f>'[新建 XLSX 工作表.xlsx]Sheet1'!$B$2:$C$2</c:f>
              <c:numCache>
                <c:formatCode>General</c:formatCode>
                <c:ptCount val="2"/>
                <c:pt idx="0">
                  <c:v>2447.25</c:v>
                </c:pt>
                <c:pt idx="1">
                  <c:v>2176.91</c:v>
                </c:pt>
              </c:numCache>
            </c:numRef>
          </c:val>
        </c:ser>
        <c:ser>
          <c:idx val="1"/>
          <c:order val="1"/>
          <c:tx>
            <c:strRef>
              <c:f>'[新建 XLSX 工作表.xlsx]Sheet1'!$A$3</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工作表.xlsx]Sheet1'!$B$1:$C$1</c:f>
              <c:strCache>
                <c:ptCount val="2"/>
                <c:pt idx="0">
                  <c:v>收入</c:v>
                </c:pt>
                <c:pt idx="1">
                  <c:v>支出</c:v>
                </c:pt>
              </c:strCache>
            </c:strRef>
          </c:cat>
          <c:val>
            <c:numRef>
              <c:f>'[新建 XLSX 工作表.xlsx]Sheet1'!$B$3:$C$3</c:f>
              <c:numCache>
                <c:formatCode>General</c:formatCode>
                <c:ptCount val="2"/>
                <c:pt idx="0">
                  <c:v>2948.74</c:v>
                </c:pt>
                <c:pt idx="1">
                  <c:v>2491.52</c:v>
                </c:pt>
              </c:numCache>
            </c:numRef>
          </c:val>
        </c:ser>
        <c:dLbls>
          <c:showLegendKey val="0"/>
          <c:showVal val="1"/>
          <c:showCatName val="0"/>
          <c:showSerName val="0"/>
          <c:showPercent val="0"/>
          <c:showBubbleSize val="0"/>
        </c:dLbls>
        <c:gapWidth val="219"/>
        <c:overlap val="-27"/>
        <c:axId val="92417408"/>
        <c:axId val="92435584"/>
      </c:barChart>
      <c:catAx>
        <c:axId val="924174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35584"/>
        <c:crosses val="autoZero"/>
        <c:auto val="1"/>
        <c:lblAlgn val="ctr"/>
        <c:lblOffset val="100"/>
        <c:noMultiLvlLbl val="0"/>
      </c:catAx>
      <c:valAx>
        <c:axId val="9243558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41740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'[新建 XLSX 工作表.xlsx]Sheet1'!$B$23</c:f>
              <c:strCache>
                <c:ptCount val="1"/>
                <c:pt idx="0">
                  <c:v>收入</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工作表.xlsx]Sheet1'!$A$24:$A$28</c:f>
              <c:strCache>
                <c:ptCount val="5"/>
                <c:pt idx="0">
                  <c:v>一般公共预算财政拨款收入</c:v>
                </c:pt>
                <c:pt idx="1">
                  <c:v>政府性基金预算财政拨款收入</c:v>
                </c:pt>
                <c:pt idx="2">
                  <c:v>国有资本经营预算财政拨款收入</c:v>
                </c:pt>
                <c:pt idx="3">
                  <c:v>事业收入</c:v>
                </c:pt>
                <c:pt idx="4">
                  <c:v>附属单位上缴收入</c:v>
                </c:pt>
              </c:strCache>
            </c:strRef>
          </c:cat>
          <c:val>
            <c:numRef>
              <c:f>'[新建 XLSX 工作表.xlsx]Sheet1'!$B$24:$B$28</c:f>
              <c:numCache>
                <c:formatCode>General</c:formatCode>
                <c:ptCount val="5"/>
                <c:pt idx="0">
                  <c:v>2140.64</c:v>
                </c:pt>
                <c:pt idx="1">
                  <c:v>0</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dLbls>
          <c:showLegendKey val="0"/>
          <c:showVal val="0"/>
          <c:showCatName val="0"/>
          <c:showSerName val="0"/>
          <c:showPercent val="0"/>
          <c:showBubbleSize val="0"/>
          <c:showLeaderLines val="1"/>
        </c:dLbls>
        <c:firstSliceAng val="0"/>
      </c:pieChart>
    </c:plotArea>
    <c:legend>
      <c:legendPos val="r"/>
      <c:layout>
        <c:manualLayout>
          <c:xMode val="edge"/>
          <c:yMode val="edge"/>
          <c:x val="0.661154251562565"/>
          <c:y val="0.00232662816731761"/>
          <c:w val="0.337149179027045"/>
          <c:h val="0.8379396325459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3607782836664"/>
                  <c:y val="-0.219302378910532"/>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工作表.xlsx]Sheet1'!$A$53:$A$54</c:f>
              <c:strCache>
                <c:ptCount val="2"/>
                <c:pt idx="0">
                  <c:v>基本支出</c:v>
                </c:pt>
                <c:pt idx="1">
                  <c:v>项目支出</c:v>
                </c:pt>
              </c:strCache>
            </c:strRef>
          </c:cat>
          <c:val>
            <c:numRef>
              <c:f>'[新建 XLSX 工作表.xlsx]Sheet1'!$B$53:$B$54</c:f>
              <c:numCache>
                <c:formatCode>General</c:formatCode>
                <c:ptCount val="2"/>
                <c:pt idx="0">
                  <c:v>1560.63</c:v>
                </c:pt>
                <c:pt idx="1">
                  <c:v>616.28</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296296296296296"/>
          <c:y val="0.86327782646801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工作表.xlsx]Sheet1'!$A$34</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工作表.xlsx]Sheet1'!$B$33:$C$33</c:f>
              <c:strCache>
                <c:ptCount val="2"/>
                <c:pt idx="0">
                  <c:v>收入</c:v>
                </c:pt>
                <c:pt idx="1">
                  <c:v>支出</c:v>
                </c:pt>
              </c:strCache>
            </c:strRef>
          </c:cat>
          <c:val>
            <c:numRef>
              <c:f>'[新建 XLSX 工作表.xlsx]Sheet1'!$B$34:$C$34</c:f>
              <c:numCache>
                <c:formatCode>General</c:formatCode>
                <c:ptCount val="2"/>
                <c:pt idx="0">
                  <c:v>2447.25</c:v>
                </c:pt>
                <c:pt idx="1">
                  <c:v>2176.91</c:v>
                </c:pt>
              </c:numCache>
            </c:numRef>
          </c:val>
        </c:ser>
        <c:ser>
          <c:idx val="1"/>
          <c:order val="1"/>
          <c:tx>
            <c:strRef>
              <c:f>'[新建 XLSX 工作表.xlsx]Sheet1'!$A$35</c:f>
              <c:strCache>
                <c:ptCount val="1"/>
                <c:pt idx="0">
                  <c:v>2019年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工作表.xlsx]Sheet1'!$B$33:$C$33</c:f>
              <c:strCache>
                <c:ptCount val="2"/>
                <c:pt idx="0">
                  <c:v>收入</c:v>
                </c:pt>
                <c:pt idx="1">
                  <c:v>支出</c:v>
                </c:pt>
              </c:strCache>
            </c:strRef>
          </c:cat>
          <c:val>
            <c:numRef>
              <c:f>'[新建 XLSX 工作表.xlsx]Sheet1'!$B$35:$C$35</c:f>
              <c:numCache>
                <c:formatCode>General</c:formatCode>
                <c:ptCount val="2"/>
                <c:pt idx="0">
                  <c:v>2948.74</c:v>
                </c:pt>
                <c:pt idx="1">
                  <c:v>2491.52</c:v>
                </c:pt>
              </c:numCache>
            </c:numRef>
          </c:val>
        </c:ser>
        <c:dLbls>
          <c:showLegendKey val="0"/>
          <c:showVal val="1"/>
          <c:showCatName val="0"/>
          <c:showSerName val="0"/>
          <c:showPercent val="0"/>
          <c:showBubbleSize val="0"/>
        </c:dLbls>
        <c:gapWidth val="219"/>
        <c:overlap val="-27"/>
        <c:axId val="92538752"/>
        <c:axId val="92540288"/>
      </c:barChart>
      <c:catAx>
        <c:axId val="9253875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40288"/>
        <c:crosses val="autoZero"/>
        <c:auto val="1"/>
        <c:lblAlgn val="ctr"/>
        <c:lblOffset val="100"/>
        <c:noMultiLvlLbl val="0"/>
      </c:catAx>
      <c:valAx>
        <c:axId val="9254028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3875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'[新建 XLSX 工作表.xlsx]Sheet1'!$B$67</c:f>
              <c:strCache>
                <c:ptCount val="1"/>
                <c:pt idx="0">
                  <c:v>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工作表.xlsx]Sheet1'!$A$68:$A$69</c:f>
              <c:strCache>
                <c:ptCount val="2"/>
                <c:pt idx="0">
                  <c:v>2020年</c:v>
                </c:pt>
                <c:pt idx="1">
                  <c:v>2019年</c:v>
                </c:pt>
              </c:strCache>
            </c:strRef>
          </c:cat>
          <c:val>
            <c:numRef>
              <c:f>'[新建 XLSX 工作表.xlsx]Sheet1'!$B$68:$B$69</c:f>
              <c:numCache>
                <c:formatCode>General</c:formatCode>
                <c:ptCount val="2"/>
                <c:pt idx="0">
                  <c:v>2176.91</c:v>
                </c:pt>
                <c:pt idx="1">
                  <c:v>2491.52</c:v>
                </c:pt>
              </c:numCache>
            </c:numRef>
          </c:val>
        </c:ser>
        <c:dLbls>
          <c:showLegendKey val="0"/>
          <c:showVal val="1"/>
          <c:showCatName val="0"/>
          <c:showSerName val="0"/>
          <c:showPercent val="0"/>
          <c:showBubbleSize val="0"/>
        </c:dLbls>
        <c:gapWidth val="219"/>
        <c:overlap val="-27"/>
        <c:axId val="92572672"/>
        <c:axId val="101057280"/>
      </c:barChart>
      <c:catAx>
        <c:axId val="92572672"/>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1057280"/>
        <c:crosses val="autoZero"/>
        <c:auto val="1"/>
        <c:lblAlgn val="ctr"/>
        <c:lblOffset val="100"/>
        <c:noMultiLvlLbl val="0"/>
      </c:catAx>
      <c:valAx>
        <c:axId val="10105728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572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'[新建 XLSX 工作表.xlsx]Sheet1'!$B$87</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09864957656214"/>
                  <c:y val="-0.216417910447761"/>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1"/>
              <c:layout>
                <c:manualLayout>
                  <c:x val="-0.0703360880217231"/>
                  <c:y val="0.08155574779486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2"/>
              <c:layout>
                <c:manualLayout>
                  <c:x val="-0.0662938981711069"/>
                  <c:y val="0.0170025187352946"/>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3"/>
              <c:layout>
                <c:manualLayout>
                  <c:x val="0.0519743699507897"/>
                  <c:y val="-0.031339516537030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dLbl>
              <c:idx val="4"/>
              <c:layout>
                <c:manualLayout>
                  <c:x val="0.193701948560265"/>
                  <c:y val="0.012873556587799"/>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工作表.xlsx]Sheet1'!$A$88:$A$92</c:f>
              <c:strCache>
                <c:ptCount val="5"/>
                <c:pt idx="0">
                  <c:v>一般公共服务支出</c:v>
                </c:pt>
                <c:pt idx="1">
                  <c:v>教育支出</c:v>
                </c:pt>
                <c:pt idx="2">
                  <c:v>社会保障和就业支出</c:v>
                </c:pt>
                <c:pt idx="3">
                  <c:v>卫生健康支出</c:v>
                </c:pt>
                <c:pt idx="4">
                  <c:v>住房保障支出</c:v>
                </c:pt>
              </c:strCache>
            </c:strRef>
          </c:cat>
          <c:val>
            <c:numRef>
              <c:f>'[新建 XLSX 工作表.xlsx]Sheet1'!$B$88:$B$92</c:f>
              <c:numCache>
                <c:formatCode>General</c:formatCode>
                <c:ptCount val="5"/>
                <c:pt idx="0">
                  <c:v>1904.42</c:v>
                </c:pt>
                <c:pt idx="1">
                  <c:v>6.3</c:v>
                </c:pt>
                <c:pt idx="2">
                  <c:v>101.29</c:v>
                </c:pt>
                <c:pt idx="3">
                  <c:v>62.7</c:v>
                </c:pt>
                <c:pt idx="4">
                  <c:v>102.19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0720988784618906"/>
          <c:y val="0.76542288557213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'[新建 XLSX 工作表.xlsx]Sheet1'!$B$103</c:f>
              <c:strCache>
                <c:ptCount val="1"/>
                <c:pt idx="0">
                  <c:v>支出</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15891568120432"/>
                  <c:y val="0.0596799244832147"/>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'[新建 XLSX 工作表.xlsx]Sheet1'!$A$104:$A$106</c:f>
              <c:strCache>
                <c:ptCount val="3"/>
                <c:pt idx="0">
                  <c:v>因公出国（境）经费支出</c:v>
                </c:pt>
                <c:pt idx="1">
                  <c:v>公务接待费支出</c:v>
                </c:pt>
                <c:pt idx="2">
                  <c:v>公务用车购置及运行维护费支出</c:v>
                </c:pt>
              </c:strCache>
            </c:strRef>
          </c:cat>
          <c:val>
            <c:numRef>
              <c:f>'[新建 XLSX 工作表.xlsx]Sheet1'!$B$104:$B$106</c:f>
              <c:numCache>
                <c:formatCode>General</c:formatCode>
                <c:ptCount val="3"/>
                <c:pt idx="0">
                  <c:v>0</c:v>
                </c:pt>
                <c:pt idx="1">
                  <c:v>4.73</c:v>
                </c:pt>
                <c:pt idx="2">
                  <c:v>76.99</c:v>
                </c:pt>
              </c:numCache>
            </c:numRef>
          </c:val>
        </c:ser>
        <c:dLbls>
          <c:showLegendKey val="0"/>
          <c:showVal val="1"/>
          <c:showCatName val="0"/>
          <c:showSerName val="0"/>
          <c:showPercent val="1"/>
          <c:showBubbleSize val="0"/>
          <c:showLeaderLines val="1"/>
        </c:dLbls>
        <c:firstSliceAng val="0"/>
      </c:pieChart>
      <c:spPr>
        <a:noFill/>
        <a:ln>
          <a:noFill/>
        </a:ln>
        <a:effectLst/>
      </c:spPr>
    </c:plotArea>
    <c:legend>
      <c:legendPos val="b"/>
      <c:layout>
        <c:manualLayout>
          <c:xMode val="edge"/>
          <c:yMode val="edge"/>
          <c:x val="0.173454545454545"/>
          <c:y val="0.700164203612479"/>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E18C6E-9BF1-4E8A-B9C4-59D5832E1FB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34</Pages>
  <Words>13345</Words>
  <Characters>3241</Characters>
  <Lines>27</Lines>
  <Paragraphs>33</Paragraphs>
  <TotalTime>143</TotalTime>
  <ScaleCrop>false</ScaleCrop>
  <LinksUpToDate>false</LinksUpToDate>
  <CharactersWithSpaces>16553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2020-10-12T03:37:00Z</dcterms:created>
  <dc:creator>曹颖</dc:creator>
  <cp:lastModifiedBy>Administrator</cp:lastModifiedBy>
  <cp:lastPrinted>2021-09-14T09:19:00Z</cp:lastPrinted>
  <dcterms:modified xsi:type="dcterms:W3CDTF">2021-09-15T02:54:59Z</dcterms:modified>
  <dc:title>四川省***</dc:title>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