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pacing w:val="-20"/>
          <w:sz w:val="72"/>
          <w:szCs w:val="72"/>
          <w:lang w:eastAsia="zh-CN"/>
        </w:rPr>
      </w:pPr>
      <w:bookmarkStart w:id="6" w:name="_Toc15396598"/>
      <w:bookmarkStart w:id="7" w:name="_Toc15377194"/>
      <w:bookmarkStart w:id="8" w:name="_Toc15378442"/>
      <w:bookmarkStart w:id="9" w:name="_Toc15306268"/>
      <w:bookmarkStart w:id="10" w:name="_Toc15396476"/>
      <w:bookmarkStart w:id="11" w:name="_Toc15377426"/>
      <w:r>
        <w:rPr>
          <w:rFonts w:hint="eastAsia" w:ascii="方正小标宋简体" w:hAnsi="宋体" w:eastAsia="方正小标宋简体"/>
          <w:color w:val="000000"/>
          <w:spacing w:val="-20"/>
          <w:sz w:val="72"/>
          <w:szCs w:val="72"/>
          <w:lang w:eastAsia="zh-CN"/>
        </w:rPr>
        <w:t>巴中市市场监督管理局</w:t>
      </w:r>
    </w:p>
    <w:p>
      <w:pPr>
        <w:adjustRightInd w:val="0"/>
        <w:snapToGrid w:val="0"/>
        <w:spacing w:line="360" w:lineRule="auto"/>
        <w:jc w:val="center"/>
        <w:outlineLvl w:val="0"/>
        <w:rPr>
          <w:rFonts w:ascii="方正小标宋简体" w:hAnsi="宋体" w:eastAsia="方正小标宋简体"/>
          <w:color w:val="000000"/>
          <w:spacing w:val="-20"/>
          <w:sz w:val="72"/>
          <w:szCs w:val="72"/>
        </w:rPr>
      </w:pPr>
      <w:r>
        <w:rPr>
          <w:rFonts w:hint="eastAsia" w:ascii="方正小标宋简体" w:hAnsi="宋体" w:eastAsia="方正小标宋简体"/>
          <w:color w:val="000000"/>
          <w:spacing w:val="-2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color w:val="000000"/>
          <w:sz w:val="32"/>
          <w:szCs w:val="32"/>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pStyle w:val="4"/>
        <w:rPr>
          <w:rStyle w:val="27"/>
          <w:rFonts w:hint="eastAsia"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bookmarkStart w:id="16" w:name="_Toc15378445"/>
      <w:bookmarkStart w:id="17" w:name="_Toc15377198"/>
    </w:p>
    <w:p>
      <w:pPr>
        <w:pStyle w:val="4"/>
        <w:rPr>
          <w:rFonts w:hint="eastAsia" w:ascii="楷体" w:hAnsi="楷体" w:eastAsia="楷体" w:cs="楷体"/>
          <w:bCs/>
          <w:color w:val="000000"/>
          <w:sz w:val="32"/>
          <w:szCs w:val="32"/>
        </w:rPr>
      </w:pPr>
      <w:r>
        <w:rPr>
          <w:rFonts w:hint="eastAsia" w:ascii="仿宋" w:hAnsi="仿宋" w:eastAsia="仿宋"/>
          <w:bCs/>
          <w:color w:val="000000"/>
          <w:sz w:val="32"/>
          <w:szCs w:val="32"/>
          <w:lang w:eastAsia="zh-CN"/>
        </w:rPr>
        <w:t>　</w:t>
      </w:r>
      <w:r>
        <w:rPr>
          <w:rFonts w:hint="eastAsia" w:ascii="楷体" w:hAnsi="楷体" w:eastAsia="楷体" w:cs="楷体"/>
          <w:bCs/>
          <w:color w:val="000000"/>
          <w:sz w:val="32"/>
          <w:szCs w:val="32"/>
          <w:lang w:eastAsia="zh-CN"/>
        </w:rPr>
        <w:t>　</w:t>
      </w:r>
      <w:r>
        <w:rPr>
          <w:rFonts w:hint="eastAsia" w:ascii="楷体" w:hAnsi="楷体" w:eastAsia="楷体" w:cs="楷体"/>
          <w:bCs/>
          <w:color w:val="000000"/>
          <w:sz w:val="32"/>
          <w:szCs w:val="32"/>
        </w:rPr>
        <w:t>（一）主要职能</w:t>
      </w:r>
      <w:bookmarkEnd w:id="16"/>
      <w:bookmarkEnd w:id="17"/>
      <w:bookmarkStart w:id="18" w:name="_Toc15377199"/>
      <w:bookmarkStart w:id="19" w:name="_Toc1537844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1.负责全市市场综合监督管理工作。贯彻执行国家和省市场监督管理的方针、政策和有关法律法规，</w:t>
      </w:r>
      <w:r>
        <w:rPr>
          <w:rFonts w:hint="eastAsia" w:ascii="仿宋" w:hAnsi="仿宋" w:eastAsia="仿宋" w:cs="仿宋"/>
          <w:color w:val="333333"/>
          <w:kern w:val="0"/>
          <w:sz w:val="32"/>
          <w:szCs w:val="32"/>
          <w:shd w:val="clear" w:fill="FFFFFF"/>
          <w:lang w:val="en-US" w:eastAsia="zh-CN" w:bidi="ar"/>
        </w:rPr>
        <w:t>拟订相关规范性文件和措施，经批准后监督实施</w:t>
      </w:r>
      <w:r>
        <w:rPr>
          <w:rFonts w:hint="eastAsia" w:ascii="仿宋" w:hAnsi="仿宋" w:eastAsia="仿宋" w:cs="仿宋"/>
          <w:color w:val="333333"/>
          <w:kern w:val="0"/>
          <w:sz w:val="32"/>
          <w:szCs w:val="32"/>
          <w:lang w:val="en-US" w:eastAsia="zh-CN" w:bidi="ar"/>
        </w:rPr>
        <w:t>。组织实施质量强市、食品安全、标准化和知识产权战略，拟订并组织实施全市食品安全等规划，规范和维护市场秩序，营造诚实守信、公平竞争的市场环境。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2.负责全市市场主体统一登记注册。负责和指导全市各类企业、农民专业合作社和从事经营活动的单位、个体工商户等市场主体的登记注册和监督管理工作。建立市场主体信息公示和共享机制，依法公示和共享有关信息，加强信用监管，推动市场主体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3.负责组织和指导全市市场监督管理综合执法工作。指导全市市场监管综合执法队伍整合和建设，推动实行统一的市场监管。组织查处和督办大案要案、疑难案件、跨区域案件。规范市场监督管理行政执法行为。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4.负责全市反垄断相关工作。统筹推进竞争政策实施，组织实施公平竞争审查制度。根据省市场监督管理局委托，开展相关反垄断调查工作，指导本市企业在国外的反垄断应诉工作。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5.负责监督管理全市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指导市保护消费</w:t>
      </w:r>
      <w:r>
        <w:rPr>
          <w:rFonts w:hint="eastAsia" w:ascii="仿宋" w:hAnsi="仿宋" w:eastAsia="仿宋" w:cs="仿宋"/>
          <w:color w:val="auto"/>
          <w:kern w:val="0"/>
          <w:sz w:val="32"/>
          <w:szCs w:val="32"/>
          <w:lang w:val="en-US" w:eastAsia="zh-CN" w:bidi="ar"/>
        </w:rPr>
        <w:t>者</w:t>
      </w:r>
      <w:r>
        <w:rPr>
          <w:rFonts w:hint="eastAsia" w:ascii="仿宋" w:hAnsi="仿宋" w:eastAsia="仿宋" w:cs="仿宋"/>
          <w:color w:val="333333"/>
          <w:kern w:val="0"/>
          <w:sz w:val="32"/>
          <w:szCs w:val="32"/>
          <w:lang w:val="en-US" w:eastAsia="zh-CN" w:bidi="ar"/>
        </w:rPr>
        <w:t>权益委员会开展消费维权工作。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6.负责全市宏观质量管理。拟订并组织实施质量发展的制度措施。统筹全市质量基础设施建设与应用。会同有关部门组织实施重大工程设备质量监理制度，组织重大产品质量事故调查，贯彻实施缺陷产品召回制度，监督管理产品防伪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7.负责全市产品质量安全监督管理。负责产品质量监督抽查和风险监控工作，组织实施质量分级制度、质量安全追溯制度。负责工业产品生产许可管理。负责纤维质量监督工作。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8.负责全市特种设备安全监督管理。综合管理特种设备安全监察、监督工作，监督检查高耗能特种设备节能标准和锅炉产品环境保护标准的执行情况。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9.负责全市食品安全监督管理综合协调。统筹指导全市食品安全工作。负责食品安全应急体系建设，依法组织、指导全</w:t>
      </w:r>
      <w:r>
        <w:rPr>
          <w:rFonts w:hint="eastAsia" w:ascii="仿宋" w:hAnsi="仿宋" w:eastAsia="仿宋" w:cs="仿宋"/>
          <w:color w:val="000000"/>
          <w:kern w:val="0"/>
          <w:sz w:val="32"/>
          <w:szCs w:val="32"/>
          <w:lang w:val="en-US" w:eastAsia="zh-CN" w:bidi="ar"/>
        </w:rPr>
        <w:t>市食品安全事件</w:t>
      </w:r>
      <w:r>
        <w:rPr>
          <w:rFonts w:hint="eastAsia" w:ascii="仿宋" w:hAnsi="仿宋" w:eastAsia="仿宋" w:cs="仿宋"/>
          <w:color w:val="333333"/>
          <w:kern w:val="0"/>
          <w:sz w:val="32"/>
          <w:szCs w:val="32"/>
          <w:lang w:val="en-US" w:eastAsia="zh-CN" w:bidi="ar"/>
        </w:rPr>
        <w:t>应急处置和调查处理工作。落实食品安全重要信息直报制度，承担市食品安全委员会日常工作。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10.负责全市食品安全监督管理。建立覆盖食品生产、流通、消费全过程的监督检查制度和隐患排查治理机制并组织实施，防范区域性、系统性食品安全风险。推动建立食品生产经营者落实主体责任机制，指导督促食品安全追溯体系建设。指导督促食品生产经营企业的安全生产工作，组织开展食品安全监督抽检、风险监测、核查处置和风险预警、风险交流工作。组织实施特殊食品的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11.负责统一管理全市计量工作。推行国家法定计量单位，执行国家计量制度，管理计量器具及量值传递和比对工作。规范、监督商品量和计量行为。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12.负责统一管理全市标准化工作。依法承担草拟区域性地方标准及区域性地方标准统一计划、统一编号、统一发布等工作和团体标准的管理工作。依法协调指导区县地方标准、团体标准制定工作。依法组织地方标准的贯彻实施和实施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13.负责统一管理全市检验检测工作。规范检验检测市场，完善检验检测体系，指导协调检验检测行业发展。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14.负责统一管理全市认证认可工作。监督管理认证认可和合格评定工作。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15.负责市场监督管理科技和信息化建设、新闻宣传。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16.负责知识产权保护，负责组织指导商标、专利执法工作。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17.负责促进全市民营经济发展。负责全市民营经济发展工作的任务制定、调查研究、统筹协调、督促落实及民营企业合法权益维护。在市委组织部指导下，指导全市市场监督管理部门配合党委组织部门开展小微企业、个体工商户、专业市场的党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18.负责贯彻落实执行国家、省有关药品（含中药、民族药，下同）、医疗器械和化妆品监督管理的方针政策和法律法规。负责药品零售、医疗器械经营的安全监测、许可、检查和处罚，以及化妆品经营和药品、医疗器械使用环节质量的安全监测、检查和处罚，参与省药监局组织的监督检查。指导县区药品、医疗器械和化妆品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19.贯彻落实国家、省、市食品医药产业发展有关政策，</w:t>
      </w:r>
      <w:r>
        <w:rPr>
          <w:rFonts w:hint="eastAsia" w:ascii="仿宋" w:hAnsi="仿宋" w:eastAsia="仿宋" w:cs="仿宋"/>
          <w:color w:val="000000"/>
          <w:kern w:val="0"/>
          <w:sz w:val="32"/>
          <w:szCs w:val="32"/>
          <w:lang w:val="en-US" w:eastAsia="zh-CN" w:bidi="ar"/>
        </w:rPr>
        <w:t>承担牵头组织实施生物医药发展工作，配合有关部门推动</w:t>
      </w:r>
      <w:r>
        <w:rPr>
          <w:rFonts w:hint="eastAsia" w:ascii="仿宋" w:hAnsi="仿宋" w:eastAsia="仿宋" w:cs="仿宋"/>
          <w:color w:val="auto"/>
          <w:kern w:val="0"/>
          <w:sz w:val="32"/>
          <w:szCs w:val="32"/>
          <w:lang w:val="en-US" w:eastAsia="zh-CN" w:bidi="ar"/>
        </w:rPr>
        <w:t>道地</w:t>
      </w:r>
      <w:r>
        <w:rPr>
          <w:rFonts w:hint="eastAsia" w:ascii="仿宋" w:hAnsi="仿宋" w:eastAsia="仿宋" w:cs="仿宋"/>
          <w:color w:val="000000"/>
          <w:kern w:val="0"/>
          <w:sz w:val="32"/>
          <w:szCs w:val="32"/>
          <w:lang w:val="en-US" w:eastAsia="zh-CN" w:bidi="ar"/>
        </w:rPr>
        <w:t>药材、食品饮料发展。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20.负责职责范围内的安全生产和职业健康、生态环境保护、审批服务便民化等工作。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bCs/>
          <w:color w:val="000000"/>
          <w:sz w:val="32"/>
          <w:szCs w:val="32"/>
        </w:rPr>
      </w:pPr>
      <w:r>
        <w:rPr>
          <w:rFonts w:hint="eastAsia" w:ascii="仿宋" w:hAnsi="仿宋" w:eastAsia="仿宋" w:cs="仿宋"/>
          <w:color w:val="333333"/>
          <w:kern w:val="0"/>
          <w:sz w:val="32"/>
          <w:szCs w:val="32"/>
          <w:lang w:val="en-US" w:eastAsia="zh-CN" w:bidi="ar"/>
        </w:rPr>
        <w:t>21.完成市委、市政府交办的其他任务。</w:t>
      </w:r>
    </w:p>
    <w:p>
      <w:pPr>
        <w:pStyle w:val="6"/>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楷体" w:hAnsi="楷体" w:eastAsia="楷体" w:cs="楷体"/>
          <w:b/>
          <w:bCs w:val="0"/>
          <w:color w:val="000000"/>
          <w:sz w:val="32"/>
          <w:szCs w:val="32"/>
        </w:rPr>
        <w:t>（二）2019年重点工作完成情况</w:t>
      </w:r>
      <w:bookmarkEnd w:id="18"/>
      <w:bookmarkEnd w:id="19"/>
    </w:p>
    <w:p>
      <w:pPr>
        <w:adjustRightInd w:val="0"/>
        <w:spacing w:line="560" w:lineRule="exact"/>
        <w:ind w:firstLine="643" w:firstLineChars="200"/>
        <w:rPr>
          <w:rFonts w:ascii="Times New Roman" w:hAnsi="Times New Roman" w:eastAsia="仿宋_GB2312"/>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深</w:t>
      </w:r>
      <w:r>
        <w:rPr>
          <w:rFonts w:hint="eastAsia" w:ascii="仿宋" w:hAnsi="仿宋" w:eastAsia="仿宋" w:cs="仿宋"/>
          <w:b/>
          <w:bCs/>
          <w:sz w:val="32"/>
          <w:szCs w:val="32"/>
          <w:lang w:eastAsia="zh-CN"/>
        </w:rPr>
        <w:t>入</w:t>
      </w:r>
      <w:r>
        <w:rPr>
          <w:rFonts w:hint="eastAsia" w:ascii="仿宋" w:hAnsi="仿宋" w:eastAsia="仿宋" w:cs="仿宋"/>
          <w:b/>
          <w:bCs/>
          <w:sz w:val="32"/>
          <w:szCs w:val="32"/>
        </w:rPr>
        <w:t>推进</w:t>
      </w:r>
      <w:r>
        <w:rPr>
          <w:rFonts w:hint="eastAsia" w:ascii="仿宋" w:hAnsi="仿宋" w:eastAsia="仿宋" w:cs="仿宋"/>
          <w:b/>
          <w:bCs/>
          <w:sz w:val="32"/>
          <w:szCs w:val="32"/>
          <w:lang w:eastAsia="zh-CN"/>
        </w:rPr>
        <w:t>生物医药产业发展</w:t>
      </w:r>
      <w:r>
        <w:rPr>
          <w:rFonts w:hint="eastAsia" w:ascii="仿宋" w:hAnsi="仿宋" w:eastAsia="仿宋" w:cs="仿宋"/>
          <w:b/>
          <w:bCs/>
          <w:sz w:val="32"/>
          <w:szCs w:val="32"/>
        </w:rPr>
        <w:t>。</w:t>
      </w:r>
      <w:r>
        <w:rPr>
          <w:rFonts w:hint="eastAsia" w:ascii="仿宋" w:hAnsi="仿宋" w:eastAsia="仿宋" w:cs="仿宋"/>
          <w:b w:val="0"/>
          <w:bCs w:val="0"/>
          <w:sz w:val="32"/>
          <w:szCs w:val="32"/>
          <w:lang w:eastAsia="zh-CN"/>
        </w:rPr>
        <w:t>为加快</w:t>
      </w:r>
      <w:r>
        <w:rPr>
          <w:rFonts w:ascii="Times New Roman" w:hAnsi="Times New Roman" w:eastAsia="仿宋_GB2312"/>
          <w:sz w:val="32"/>
          <w:szCs w:val="32"/>
        </w:rPr>
        <w:t>我市生物医药产业发展</w:t>
      </w:r>
      <w:r>
        <w:rPr>
          <w:rFonts w:hint="eastAsia" w:ascii="Times New Roman" w:hAnsi="Times New Roman" w:eastAsia="仿宋_GB2312"/>
          <w:sz w:val="32"/>
          <w:szCs w:val="32"/>
          <w:lang w:eastAsia="zh-CN"/>
        </w:rPr>
        <w:t>再上新台阶</w:t>
      </w:r>
      <w:r>
        <w:rPr>
          <w:rFonts w:ascii="Times New Roman" w:hAnsi="Times New Roman" w:eastAsia="仿宋_GB2312"/>
          <w:sz w:val="32"/>
          <w:szCs w:val="32"/>
        </w:rPr>
        <w:t>，先后赴厦门、重庆、成都等地，通过渝洽会、蓉洽会等招商平台与国内外知名企业进行洽谈对接12次。</w:t>
      </w:r>
    </w:p>
    <w:p>
      <w:pPr>
        <w:adjustRightInd w:val="0"/>
        <w:spacing w:line="560" w:lineRule="exact"/>
        <w:ind w:firstLine="643" w:firstLineChars="200"/>
        <w:rPr>
          <w:rFonts w:ascii="Times New Roman" w:hAnsi="Times New Roman" w:eastAsia="仿宋_GB2312"/>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pacing w:val="-6"/>
          <w:sz w:val="32"/>
          <w:szCs w:val="32"/>
        </w:rPr>
        <w:t>着力优化营商环境。</w:t>
      </w:r>
      <w:r>
        <w:rPr>
          <w:rFonts w:ascii="Times New Roman" w:hAnsi="Times New Roman" w:eastAsia="仿宋_GB2312"/>
          <w:sz w:val="32"/>
          <w:szCs w:val="32"/>
        </w:rPr>
        <w:t>市场主体设立、注销更加便捷；市场主体累计达145722户，注册资本（金）达2323.79亿元，新增各类市场主体16812户。2356件企业申办事项实现全程网办，623份营业执照通过“政银便民通”就近办理，简易注销为3042户企业节约</w:t>
      </w:r>
      <w:r>
        <w:rPr>
          <w:rFonts w:ascii="Times New Roman" w:hAnsi="Times New Roman" w:eastAsia="仿宋_GB2312"/>
          <w:color w:val="000000"/>
          <w:sz w:val="32"/>
          <w:szCs w:val="32"/>
        </w:rPr>
        <w:t>公告费用15</w:t>
      </w:r>
      <w:r>
        <w:rPr>
          <w:rFonts w:ascii="Times New Roman" w:hAnsi="Times New Roman" w:eastAsia="仿宋_GB2312"/>
          <w:sz w:val="32"/>
          <w:szCs w:val="32"/>
        </w:rPr>
        <w:t>2万余元。</w:t>
      </w:r>
    </w:p>
    <w:p>
      <w:pPr>
        <w:adjustRightInd w:val="0"/>
        <w:spacing w:line="560" w:lineRule="exact"/>
        <w:ind w:firstLine="643" w:firstLineChars="200"/>
        <w:rPr>
          <w:rFonts w:ascii="Times New Roman" w:hAnsi="Times New Roman" w:eastAsia="仿宋_GB2312"/>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着力发展民营经济。</w:t>
      </w:r>
      <w:r>
        <w:rPr>
          <w:rFonts w:ascii="Times New Roman" w:hAnsi="Times New Roman" w:eastAsia="仿宋_GB2312"/>
          <w:sz w:val="32"/>
          <w:szCs w:val="32"/>
        </w:rPr>
        <w:t>强化政策支持、加大维权力度、开展服务座谈，实现全市民营经济增加值307.76亿元，增长5.8%</w:t>
      </w:r>
      <w:r>
        <w:rPr>
          <w:rFonts w:hint="eastAsia" w:ascii="Times New Roman" w:hAnsi="Times New Roman" w:eastAsia="仿宋_GB2312"/>
          <w:sz w:val="32"/>
          <w:szCs w:val="32"/>
        </w:rPr>
        <w:t>，</w:t>
      </w:r>
      <w:r>
        <w:rPr>
          <w:rFonts w:ascii="Times New Roman" w:hAnsi="Times New Roman" w:eastAsia="仿宋_GB2312"/>
          <w:sz w:val="32"/>
          <w:szCs w:val="32"/>
        </w:rPr>
        <w:t>实现税收收入33.98亿元，纳税100万以上民营企业突破180户，办理民营企业维权案件7件。</w:t>
      </w:r>
    </w:p>
    <w:p>
      <w:pPr>
        <w:adjustRightInd w:val="0"/>
        <w:spacing w:line="560" w:lineRule="exact"/>
        <w:ind w:firstLine="640" w:firstLineChars="200"/>
        <w:rPr>
          <w:rFonts w:ascii="Times New Roman" w:hAnsi="Times New Roman" w:eastAsia="仿宋_GB2312"/>
          <w:spacing w:val="-6"/>
          <w:sz w:val="32"/>
          <w:szCs w:val="32"/>
        </w:rPr>
      </w:pPr>
      <w:r>
        <w:rPr>
          <w:rFonts w:hint="eastAsia" w:ascii="仿宋" w:hAnsi="仿宋" w:eastAsia="仿宋" w:cs="仿宋"/>
          <w:sz w:val="32"/>
          <w:szCs w:val="32"/>
          <w:lang w:val="en-US" w:eastAsia="zh-CN"/>
        </w:rPr>
        <w:t>4.</w:t>
      </w:r>
      <w:r>
        <w:rPr>
          <w:rFonts w:hint="eastAsia" w:ascii="仿宋" w:hAnsi="仿宋" w:eastAsia="仿宋" w:cs="仿宋"/>
          <w:b/>
          <w:bCs/>
          <w:sz w:val="32"/>
          <w:szCs w:val="32"/>
        </w:rPr>
        <w:t>着力维护市场秩序。</w:t>
      </w:r>
      <w:r>
        <w:rPr>
          <w:rFonts w:ascii="Times New Roman" w:hAnsi="Times New Roman" w:eastAsia="仿宋_GB2312"/>
          <w:sz w:val="32"/>
          <w:szCs w:val="32"/>
        </w:rPr>
        <w:t>开展“春雷行动2019”，联合整治“保健”市场乱象，立案查处各类违法案1134件，涉案金额2700余万元</w:t>
      </w:r>
      <w:r>
        <w:rPr>
          <w:rFonts w:hint="eastAsia" w:eastAsia="仿宋_GB2312"/>
          <w:sz w:val="32"/>
          <w:szCs w:val="32"/>
          <w:lang w:eastAsia="zh-CN"/>
        </w:rPr>
        <w:t>。</w:t>
      </w:r>
      <w:r>
        <w:rPr>
          <w:rFonts w:ascii="Times New Roman" w:hAnsi="Times New Roman" w:eastAsia="仿宋_GB2312"/>
          <w:sz w:val="32"/>
          <w:szCs w:val="32"/>
        </w:rPr>
        <w:t>南江县红四门市场“全键养生堂”虚假宣传诈骗案，被列入全国保健品治理百日行动执法典型案例；核实市场黑恶乱象线索70条；处置电商虚假宣传、刷单炒信等信息1万余条；</w:t>
      </w:r>
      <w:r>
        <w:rPr>
          <w:rFonts w:ascii="Times New Roman" w:hAnsi="Times New Roman" w:eastAsia="仿宋_GB2312"/>
          <w:color w:val="000000"/>
          <w:spacing w:val="-4"/>
          <w:sz w:val="32"/>
          <w:szCs w:val="32"/>
          <w:shd w:val="clear" w:color="auto" w:fill="FFFFFF"/>
        </w:rPr>
        <w:t>依法列入严重违法企业名单52户，列入经营异常名录企业（农民专业合作社、个体工商户）6672户；开展药品、教育、供电、猪肉价格行为巡查检查；</w:t>
      </w:r>
      <w:r>
        <w:rPr>
          <w:rFonts w:ascii="Times New Roman" w:hAnsi="Times New Roman" w:eastAsia="仿宋_GB2312"/>
          <w:sz w:val="32"/>
          <w:szCs w:val="32"/>
        </w:rPr>
        <w:t>受理市场类投诉举报咨询11751件，办结率96.83%，为消费者挽回经济损失283.6万元。</w:t>
      </w:r>
    </w:p>
    <w:p>
      <w:pPr>
        <w:adjustRightInd w:val="0"/>
        <w:spacing w:line="560" w:lineRule="exact"/>
        <w:ind w:firstLine="643" w:firstLineChars="200"/>
        <w:rPr>
          <w:rFonts w:ascii="Times New Roman" w:hAnsi="Times New Roman" w:eastAsia="仿宋_GB2312"/>
          <w:color w:val="000000"/>
          <w:spacing w:val="-4"/>
          <w:sz w:val="32"/>
          <w:szCs w:val="32"/>
          <w:shd w:val="clear" w:color="auto" w:fill="FFFFFF"/>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切实办好民生实事。</w:t>
      </w:r>
      <w:r>
        <w:rPr>
          <w:rFonts w:ascii="Times New Roman" w:hAnsi="Times New Roman" w:eastAsia="仿宋_GB2312"/>
          <w:color w:val="000000"/>
          <w:spacing w:val="-4"/>
          <w:sz w:val="32"/>
          <w:szCs w:val="32"/>
          <w:shd w:val="clear" w:color="auto" w:fill="FFFFFF"/>
        </w:rPr>
        <w:t>突出校园及周边食品安全整治，</w:t>
      </w:r>
      <w:r>
        <w:rPr>
          <w:rFonts w:ascii="Times New Roman" w:hAnsi="Times New Roman" w:eastAsia="仿宋_GB2312"/>
          <w:sz w:val="32"/>
          <w:szCs w:val="32"/>
        </w:rPr>
        <w:t>实现学校食堂明厨亮灶和灭“C”达到100%；完成90%以上小餐饮登记备案；</w:t>
      </w:r>
      <w:r>
        <w:rPr>
          <w:rFonts w:ascii="Times New Roman" w:hAnsi="Times New Roman" w:eastAsia="仿宋_GB2312"/>
          <w:color w:val="000000"/>
          <w:spacing w:val="-4"/>
          <w:sz w:val="32"/>
          <w:szCs w:val="32"/>
          <w:shd w:val="clear" w:color="auto" w:fill="FFFFFF"/>
        </w:rPr>
        <w:t>开展市场风险抽检抽验</w:t>
      </w:r>
      <w:r>
        <w:rPr>
          <w:rFonts w:ascii="Times New Roman" w:hAnsi="Times New Roman" w:eastAsia="仿宋_GB2312"/>
          <w:sz w:val="32"/>
          <w:szCs w:val="32"/>
        </w:rPr>
        <w:t>4180批次，</w:t>
      </w:r>
      <w:r>
        <w:rPr>
          <w:rFonts w:ascii="Times New Roman" w:hAnsi="Times New Roman" w:eastAsia="仿宋_GB2312"/>
          <w:color w:val="000000"/>
          <w:spacing w:val="-4"/>
          <w:sz w:val="32"/>
          <w:szCs w:val="32"/>
          <w:shd w:val="clear" w:color="auto" w:fill="FFFFFF"/>
        </w:rPr>
        <w:t>检验各类特种设备8470台件；开展20多次专项整治，检查各类市场主体43000余户次，整改突出隐患1785起；全市未发生食品药品、产品质量、特种设备重大安全事件。</w:t>
      </w:r>
    </w:p>
    <w:p>
      <w:pPr>
        <w:adjustRightInd w:val="0"/>
        <w:spacing w:line="560" w:lineRule="exact"/>
        <w:ind w:firstLine="643" w:firstLineChars="200"/>
        <w:rPr>
          <w:rFonts w:ascii="Times New Roman" w:hAnsi="Times New Roman" w:eastAsia="仿宋_GB2312"/>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持续助力高质量发展。</w:t>
      </w:r>
      <w:r>
        <w:rPr>
          <w:rFonts w:ascii="Times New Roman" w:hAnsi="Times New Roman" w:eastAsia="仿宋_GB2312"/>
          <w:bCs/>
          <w:spacing w:val="-4"/>
          <w:sz w:val="32"/>
          <w:szCs w:val="32"/>
        </w:rPr>
        <w:t>建成国家、省机产品认证示范区2个，</w:t>
      </w:r>
      <w:r>
        <w:rPr>
          <w:rFonts w:ascii="Times New Roman" w:hAnsi="Times New Roman" w:eastAsia="仿宋_GB2312"/>
          <w:spacing w:val="-4"/>
          <w:sz w:val="32"/>
          <w:szCs w:val="32"/>
        </w:rPr>
        <w:t>培育有机产品认证企业49家111个产品；征集、立项地方标准7项，评审、发布地方标准5项；</w:t>
      </w:r>
      <w:r>
        <w:rPr>
          <w:rFonts w:ascii="Times New Roman" w:hAnsi="Times New Roman" w:eastAsia="仿宋_GB2312"/>
          <w:sz w:val="32"/>
          <w:szCs w:val="32"/>
        </w:rPr>
        <w:t>检定、检测计量器具13.1万台件，免征鉴定费约704万余元；组织20余家检验检测机构完成能力验证。创新开展“银行贷款+政府补偿+保证保险”知识产权质押融资新模式；新</w:t>
      </w:r>
      <w:r>
        <w:rPr>
          <w:rFonts w:ascii="Times New Roman" w:hAnsi="Times New Roman" w:eastAsia="仿宋_GB2312"/>
          <w:color w:val="000000"/>
          <w:sz w:val="32"/>
          <w:szCs w:val="32"/>
        </w:rPr>
        <w:t>申请专利816件，新注册商标1966件，有效发明专利拥有量达124件，超出省政府目标任务12.7%；</w:t>
      </w:r>
      <w:r>
        <w:rPr>
          <w:rFonts w:ascii="Times New Roman" w:hAnsi="Times New Roman" w:eastAsia="仿宋_GB2312"/>
          <w:sz w:val="32"/>
          <w:szCs w:val="32"/>
        </w:rPr>
        <w:t>查处商标侵权案件65件，</w:t>
      </w:r>
      <w:r>
        <w:rPr>
          <w:rFonts w:ascii="Times New Roman" w:hAnsi="Times New Roman" w:eastAsia="仿宋_GB2312"/>
          <w:spacing w:val="-6"/>
          <w:sz w:val="32"/>
          <w:szCs w:val="32"/>
        </w:rPr>
        <w:t>巴州区、南江县已先后通过“国家知识产权强县工程试点县（区）”称号。</w:t>
      </w:r>
    </w:p>
    <w:p>
      <w:pPr>
        <w:pStyle w:val="4"/>
        <w:rPr>
          <w:rStyle w:val="27"/>
          <w:b w:val="0"/>
          <w:bCs w:val="0"/>
        </w:rPr>
      </w:pPr>
      <w:bookmarkStart w:id="20" w:name="_Toc15377200"/>
      <w:bookmarkStart w:id="21" w:name="_Toc15396601"/>
      <w:r>
        <w:rPr>
          <w:rFonts w:hint="eastAsia" w:ascii="黑体" w:eastAsia="黑体"/>
          <w:b w:val="0"/>
          <w:color w:val="000000"/>
          <w:lang w:eastAsia="zh-CN"/>
        </w:rPr>
        <w:t>　　</w:t>
      </w:r>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巴中市市场监督管理局</w:t>
      </w:r>
      <w:r>
        <w:rPr>
          <w:rFonts w:hint="eastAsia" w:ascii="仿宋" w:hAnsi="仿宋" w:eastAsia="仿宋"/>
          <w:sz w:val="32"/>
          <w:szCs w:val="32"/>
        </w:rPr>
        <w:t>下属二级单位</w:t>
      </w:r>
      <w:r>
        <w:rPr>
          <w:rFonts w:hint="eastAsia" w:ascii="仿宋" w:hAnsi="仿宋" w:eastAsia="仿宋"/>
          <w:sz w:val="32"/>
          <w:szCs w:val="32"/>
          <w:lang w:val="en-US" w:eastAsia="zh-CN"/>
        </w:rPr>
        <w:t>6</w:t>
      </w:r>
      <w:r>
        <w:rPr>
          <w:rFonts w:hint="eastAsia" w:ascii="仿宋" w:hAnsi="仿宋" w:eastAsia="仿宋"/>
          <w:sz w:val="32"/>
          <w:szCs w:val="32"/>
        </w:rPr>
        <w:t>个，其中行政单位</w:t>
      </w:r>
      <w:r>
        <w:rPr>
          <w:rFonts w:hint="eastAsia" w:ascii="仿宋" w:hAnsi="仿宋" w:eastAsia="仿宋"/>
          <w:sz w:val="32"/>
          <w:szCs w:val="32"/>
          <w:lang w:val="en-US" w:eastAsia="zh-CN"/>
        </w:rPr>
        <w:t>2</w:t>
      </w:r>
      <w:r>
        <w:rPr>
          <w:rFonts w:hint="eastAsia" w:ascii="仿宋" w:hAnsi="仿宋" w:eastAsia="仿宋"/>
          <w:sz w:val="32"/>
          <w:szCs w:val="32"/>
        </w:rPr>
        <w:t>个</w:t>
      </w:r>
      <w:r>
        <w:rPr>
          <w:rFonts w:hint="eastAsia" w:ascii="仿宋" w:hAnsi="仿宋" w:eastAsia="仿宋"/>
          <w:sz w:val="32"/>
          <w:szCs w:val="32"/>
          <w:lang w:val="en-US" w:eastAsia="zh-CN"/>
        </w:rPr>
        <w:t>(市局直属分局</w:t>
      </w:r>
      <w:r>
        <w:rPr>
          <w:rFonts w:hint="eastAsia" w:ascii="仿宋" w:hAnsi="仿宋" w:eastAsia="仿宋" w:cs="仿宋"/>
          <w:color w:val="333333"/>
          <w:kern w:val="0"/>
          <w:sz w:val="32"/>
          <w:szCs w:val="32"/>
          <w:lang w:val="en-US" w:eastAsia="zh-CN" w:bidi="ar"/>
        </w:rPr>
        <w:t>、市局经开区分局</w:t>
      </w:r>
      <w:r>
        <w:rPr>
          <w:rFonts w:hint="eastAsia" w:ascii="仿宋" w:hAnsi="仿宋" w:eastAsia="仿宋"/>
          <w:sz w:val="32"/>
          <w:szCs w:val="32"/>
          <w:lang w:val="en-US" w:eastAsia="zh-CN"/>
        </w:rPr>
        <w:t>)</w:t>
      </w:r>
      <w:r>
        <w:rPr>
          <w:rFonts w:hint="eastAsia" w:ascii="仿宋" w:hAnsi="仿宋" w:eastAsia="仿宋"/>
          <w:sz w:val="32"/>
          <w:szCs w:val="32"/>
        </w:rPr>
        <w:t>，参照公务员法管理的事业单位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val="en-US" w:eastAsia="zh-CN"/>
        </w:rPr>
        <w:t>(市市场监管综合行政执法支队)</w:t>
      </w:r>
      <w:r>
        <w:rPr>
          <w:rFonts w:hint="eastAsia" w:ascii="仿宋" w:hAnsi="仿宋" w:eastAsia="仿宋"/>
          <w:sz w:val="32"/>
          <w:szCs w:val="32"/>
        </w:rPr>
        <w:t>，其他事业单位</w:t>
      </w:r>
      <w:r>
        <w:rPr>
          <w:rFonts w:hint="eastAsia" w:ascii="仿宋" w:hAnsi="仿宋" w:eastAsia="仿宋"/>
          <w:sz w:val="32"/>
          <w:szCs w:val="32"/>
          <w:lang w:val="en-US" w:eastAsia="zh-CN"/>
        </w:rPr>
        <w:t>3</w:t>
      </w:r>
      <w:r>
        <w:rPr>
          <w:rFonts w:hint="eastAsia" w:ascii="仿宋" w:hAnsi="仿宋" w:eastAsia="仿宋"/>
          <w:sz w:val="32"/>
          <w:szCs w:val="32"/>
        </w:rPr>
        <w:t>个</w:t>
      </w:r>
      <w:r>
        <w:rPr>
          <w:rFonts w:hint="eastAsia" w:ascii="仿宋" w:hAnsi="仿宋" w:eastAsia="仿宋"/>
          <w:sz w:val="32"/>
          <w:szCs w:val="32"/>
          <w:lang w:val="en-US" w:eastAsia="zh-CN"/>
        </w:rPr>
        <w:t>(</w:t>
      </w:r>
      <w:r>
        <w:rPr>
          <w:rFonts w:hint="eastAsia" w:ascii="仿宋_GB2312" w:hAnsi="仿宋" w:eastAsia="仿宋_GB2312"/>
          <w:sz w:val="32"/>
          <w:szCs w:val="32"/>
          <w:lang w:val="en-US" w:eastAsia="zh-CN"/>
        </w:rPr>
        <w:t>巴中市计量检定测试所、巴中市特种设备监督检验所、</w:t>
      </w:r>
      <w:r>
        <w:rPr>
          <w:rFonts w:hint="eastAsia" w:ascii="仿宋_GB2312" w:hAnsi="仿宋" w:eastAsia="仿宋_GB2312"/>
          <w:sz w:val="32"/>
          <w:szCs w:val="32"/>
        </w:rPr>
        <w:t>巴中市</w:t>
      </w:r>
      <w:r>
        <w:rPr>
          <w:rFonts w:hint="eastAsia" w:ascii="仿宋_GB2312" w:hAnsi="仿宋" w:eastAsia="仿宋_GB2312"/>
          <w:sz w:val="32"/>
          <w:szCs w:val="32"/>
          <w:lang w:eastAsia="zh-CN"/>
        </w:rPr>
        <w:t>食品</w:t>
      </w:r>
      <w:r>
        <w:rPr>
          <w:rFonts w:hint="eastAsia" w:ascii="仿宋_GB2312" w:hAnsi="仿宋" w:eastAsia="仿宋_GB2312"/>
          <w:sz w:val="32"/>
          <w:szCs w:val="32"/>
        </w:rPr>
        <w:t>药品</w:t>
      </w:r>
      <w:r>
        <w:rPr>
          <w:rFonts w:hint="eastAsia" w:ascii="仿宋_GB2312" w:hAnsi="仿宋" w:eastAsia="仿宋_GB2312"/>
          <w:sz w:val="32"/>
          <w:szCs w:val="32"/>
          <w:lang w:eastAsia="zh-CN"/>
        </w:rPr>
        <w:t>安全监测信息</w:t>
      </w:r>
      <w:r>
        <w:rPr>
          <w:rFonts w:hint="eastAsia" w:ascii="仿宋_GB2312" w:hAnsi="仿宋" w:eastAsia="仿宋_GB2312"/>
          <w:sz w:val="32"/>
          <w:szCs w:val="32"/>
        </w:rPr>
        <w:t>中心</w:t>
      </w:r>
      <w:r>
        <w:rPr>
          <w:rFonts w:hint="eastAsia" w:ascii="仿宋" w:hAnsi="仿宋" w:eastAsia="仿宋"/>
          <w:sz w:val="32"/>
          <w:szCs w:val="32"/>
          <w:lang w:val="en-US" w:eastAsia="zh-CN"/>
        </w:rPr>
        <w:t>)</w:t>
      </w:r>
      <w:r>
        <w:rPr>
          <w:rFonts w:hint="eastAsia" w:ascii="仿宋" w:hAnsi="仿宋" w:eastAsia="仿宋"/>
          <w:sz w:val="32"/>
          <w:szCs w:val="32"/>
        </w:rPr>
        <w:t>。</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巴中市市场监督管理局</w:t>
      </w:r>
      <w:r>
        <w:rPr>
          <w:rFonts w:hint="eastAsia" w:ascii="仿宋" w:hAnsi="仿宋" w:eastAsia="仿宋"/>
          <w:color w:val="000000"/>
          <w:sz w:val="32"/>
          <w:szCs w:val="32"/>
        </w:rPr>
        <w:t>2019年度部门决算编制范围的二级预算单位包括：</w:t>
      </w:r>
    </w:p>
    <w:p>
      <w:pPr>
        <w:pStyle w:val="6"/>
        <w:numPr>
          <w:ilvl w:val="0"/>
          <w:numId w:val="0"/>
        </w:numPr>
        <w:adjustRightInd w:val="0"/>
        <w:snapToGrid w:val="0"/>
        <w:spacing w:before="93" w:line="600" w:lineRule="exact"/>
        <w:ind w:left="640" w:leftChars="0"/>
        <w:jc w:val="left"/>
        <w:outlineLvl w:val="2"/>
        <w:rPr>
          <w:rFonts w:hint="eastAsia" w:ascii="仿宋" w:hAnsi="仿宋" w:eastAsia="仿宋"/>
          <w:sz w:val="32"/>
          <w:szCs w:val="32"/>
          <w:lang w:val="en-US" w:eastAsia="zh-CN"/>
        </w:rPr>
      </w:pPr>
      <w:r>
        <w:rPr>
          <w:rFonts w:hint="eastAsia" w:ascii="仿宋" w:hAnsi="仿宋" w:eastAsia="仿宋"/>
          <w:sz w:val="32"/>
          <w:szCs w:val="32"/>
          <w:lang w:val="en-US" w:eastAsia="zh-CN"/>
        </w:rPr>
        <w:t>1.市局直属分局</w:t>
      </w:r>
      <w:bookmarkStart w:id="22" w:name="_Toc15306277"/>
      <w:bookmarkStart w:id="23" w:name="_Toc15378450"/>
      <w:bookmarkStart w:id="24" w:name="_Toc15377203"/>
      <w:bookmarkStart w:id="25" w:name="_Toc15377434"/>
      <w:r>
        <w:rPr>
          <w:rFonts w:hint="eastAsia" w:ascii="仿宋" w:hAnsi="仿宋" w:eastAsia="仿宋"/>
          <w:sz w:val="32"/>
          <w:szCs w:val="32"/>
          <w:lang w:val="en-US" w:eastAsia="zh-CN"/>
        </w:rPr>
        <w:t>　</w:t>
      </w:r>
    </w:p>
    <w:p>
      <w:pPr>
        <w:pStyle w:val="6"/>
        <w:numPr>
          <w:ilvl w:val="0"/>
          <w:numId w:val="0"/>
        </w:numPr>
        <w:adjustRightInd w:val="0"/>
        <w:snapToGrid w:val="0"/>
        <w:spacing w:before="93" w:line="600" w:lineRule="exact"/>
        <w:ind w:left="640" w:leftChars="0"/>
        <w:jc w:val="left"/>
        <w:outlineLvl w:val="2"/>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2.市局经开区分局</w:t>
      </w:r>
      <w:bookmarkEnd w:id="22"/>
      <w:bookmarkEnd w:id="23"/>
      <w:bookmarkEnd w:id="24"/>
      <w:bookmarkEnd w:id="25"/>
      <w:r>
        <w:rPr>
          <w:rFonts w:hint="eastAsia" w:ascii="仿宋" w:hAnsi="仿宋" w:eastAsia="仿宋" w:cs="仿宋"/>
          <w:color w:val="333333"/>
          <w:kern w:val="0"/>
          <w:sz w:val="32"/>
          <w:szCs w:val="32"/>
          <w:lang w:val="en-US" w:eastAsia="zh-CN" w:bidi="ar"/>
        </w:rPr>
        <w:t>　</w:t>
      </w:r>
    </w:p>
    <w:p>
      <w:pPr>
        <w:pStyle w:val="6"/>
        <w:numPr>
          <w:ilvl w:val="0"/>
          <w:numId w:val="0"/>
        </w:numPr>
        <w:adjustRightInd w:val="0"/>
        <w:snapToGrid w:val="0"/>
        <w:spacing w:before="93" w:line="600" w:lineRule="exact"/>
        <w:ind w:left="640" w:leftChars="0"/>
        <w:jc w:val="left"/>
        <w:outlineLvl w:val="2"/>
        <w:rPr>
          <w:rFonts w:hint="eastAsia" w:hAnsi="仿宋"/>
          <w:sz w:val="32"/>
          <w:szCs w:val="32"/>
          <w:lang w:val="en-US" w:eastAsia="zh-CN"/>
        </w:rPr>
      </w:pPr>
      <w:r>
        <w:rPr>
          <w:rFonts w:hint="eastAsia" w:hAnsi="仿宋"/>
          <w:sz w:val="32"/>
          <w:szCs w:val="32"/>
          <w:lang w:val="en-US" w:eastAsia="zh-CN"/>
        </w:rPr>
        <w:t>3.</w:t>
      </w:r>
      <w:r>
        <w:rPr>
          <w:rFonts w:hint="eastAsia" w:ascii="仿宋_GB2312" w:hAnsi="仿宋" w:eastAsia="仿宋_GB2312"/>
          <w:sz w:val="32"/>
          <w:szCs w:val="32"/>
          <w:lang w:val="en-US" w:eastAsia="zh-CN"/>
        </w:rPr>
        <w:t>巴中市计量检定测试所</w:t>
      </w:r>
      <w:r>
        <w:rPr>
          <w:rFonts w:hint="eastAsia" w:hAnsi="仿宋"/>
          <w:sz w:val="32"/>
          <w:szCs w:val="32"/>
          <w:lang w:val="en-US" w:eastAsia="zh-CN"/>
        </w:rPr>
        <w:t>　</w:t>
      </w:r>
    </w:p>
    <w:p>
      <w:pPr>
        <w:pStyle w:val="6"/>
        <w:numPr>
          <w:ilvl w:val="0"/>
          <w:numId w:val="0"/>
        </w:numPr>
        <w:adjustRightInd w:val="0"/>
        <w:snapToGrid w:val="0"/>
        <w:spacing w:before="93" w:line="600" w:lineRule="exact"/>
        <w:ind w:left="640" w:leftChars="0"/>
        <w:jc w:val="left"/>
        <w:outlineLvl w:val="2"/>
        <w:rPr>
          <w:rFonts w:hint="eastAsia" w:hAnsi="仿宋"/>
          <w:color w:val="auto"/>
          <w:sz w:val="32"/>
          <w:szCs w:val="32"/>
          <w:lang w:val="en-US" w:eastAsia="zh-CN"/>
        </w:rPr>
      </w:pPr>
      <w:r>
        <w:rPr>
          <w:rFonts w:hint="eastAsia" w:hAnsi="仿宋"/>
          <w:sz w:val="32"/>
          <w:szCs w:val="32"/>
          <w:lang w:val="en-US" w:eastAsia="zh-CN"/>
        </w:rPr>
        <w:t>4.</w:t>
      </w:r>
      <w:r>
        <w:rPr>
          <w:rFonts w:hint="eastAsia" w:ascii="仿宋_GB2312" w:hAnsi="仿宋" w:eastAsia="仿宋_GB2312"/>
          <w:sz w:val="32"/>
          <w:szCs w:val="32"/>
          <w:lang w:val="en-US" w:eastAsia="zh-CN"/>
        </w:rPr>
        <w:t>巴中市特种设备监督检验所</w:t>
      </w:r>
    </w:p>
    <w:p>
      <w:pPr>
        <w:pStyle w:val="6"/>
        <w:numPr>
          <w:ilvl w:val="0"/>
          <w:numId w:val="0"/>
        </w:numPr>
        <w:adjustRightInd w:val="0"/>
        <w:snapToGrid w:val="0"/>
        <w:spacing w:before="93" w:line="600" w:lineRule="exact"/>
        <w:ind w:left="640" w:leftChars="0"/>
        <w:jc w:val="left"/>
        <w:outlineLvl w:val="2"/>
        <w:rPr>
          <w:rFonts w:hint="eastAsia" w:hAnsi="仿宋"/>
          <w:sz w:val="32"/>
          <w:szCs w:val="32"/>
          <w:lang w:val="en-US" w:eastAsia="zh-CN"/>
        </w:rPr>
      </w:pPr>
      <w:r>
        <w:rPr>
          <w:rFonts w:hint="eastAsia" w:hAnsi="仿宋"/>
          <w:sz w:val="32"/>
          <w:szCs w:val="32"/>
          <w:lang w:val="en-US" w:eastAsia="zh-CN"/>
        </w:rPr>
        <w:t>5.巴中市市场监管综合行政执法支队</w:t>
      </w:r>
    </w:p>
    <w:p>
      <w:pPr>
        <w:pStyle w:val="6"/>
        <w:numPr>
          <w:ilvl w:val="0"/>
          <w:numId w:val="0"/>
        </w:numPr>
        <w:adjustRightInd w:val="0"/>
        <w:snapToGrid w:val="0"/>
        <w:spacing w:before="93" w:line="600" w:lineRule="exact"/>
        <w:ind w:left="640" w:leftChars="0"/>
        <w:jc w:val="left"/>
        <w:outlineLvl w:val="2"/>
        <w:rPr>
          <w:rFonts w:ascii="仿宋" w:hAnsi="仿宋" w:eastAsia="仿宋"/>
          <w:color w:val="000000"/>
          <w:sz w:val="32"/>
          <w:szCs w:val="32"/>
        </w:rPr>
      </w:pPr>
      <w:r>
        <w:rPr>
          <w:rFonts w:hint="eastAsia" w:hAnsi="仿宋"/>
          <w:sz w:val="32"/>
          <w:szCs w:val="32"/>
          <w:lang w:val="en-US" w:eastAsia="zh-CN"/>
        </w:rPr>
        <w:t>6.</w:t>
      </w:r>
      <w:r>
        <w:rPr>
          <w:rFonts w:hint="eastAsia" w:ascii="仿宋_GB2312" w:hAnsi="仿宋" w:eastAsia="仿宋_GB2312"/>
          <w:sz w:val="32"/>
          <w:szCs w:val="32"/>
        </w:rPr>
        <w:t>巴中市</w:t>
      </w:r>
      <w:r>
        <w:rPr>
          <w:rFonts w:hint="eastAsia" w:ascii="仿宋_GB2312" w:hAnsi="仿宋" w:eastAsia="仿宋_GB2312"/>
          <w:sz w:val="32"/>
          <w:szCs w:val="32"/>
          <w:lang w:eastAsia="zh-CN"/>
        </w:rPr>
        <w:t>食品</w:t>
      </w:r>
      <w:r>
        <w:rPr>
          <w:rFonts w:hint="eastAsia" w:ascii="仿宋_GB2312" w:hAnsi="仿宋" w:eastAsia="仿宋_GB2312"/>
          <w:sz w:val="32"/>
          <w:szCs w:val="32"/>
        </w:rPr>
        <w:t>药品</w:t>
      </w:r>
      <w:r>
        <w:rPr>
          <w:rFonts w:hint="eastAsia" w:ascii="仿宋_GB2312" w:hAnsi="仿宋" w:eastAsia="仿宋_GB2312"/>
          <w:sz w:val="32"/>
          <w:szCs w:val="32"/>
          <w:lang w:eastAsia="zh-CN"/>
        </w:rPr>
        <w:t>安全监测信息</w:t>
      </w:r>
      <w:r>
        <w:rPr>
          <w:rFonts w:hint="eastAsia" w:ascii="仿宋_GB2312" w:hAnsi="仿宋" w:eastAsia="仿宋_GB2312"/>
          <w:sz w:val="32"/>
          <w:szCs w:val="32"/>
        </w:rPr>
        <w:t>中</w:t>
      </w:r>
      <w:r>
        <w:rPr>
          <w:rFonts w:hint="eastAsia" w:hAnsi="仿宋"/>
          <w:sz w:val="32"/>
          <w:szCs w:val="32"/>
          <w:lang w:eastAsia="zh-CN"/>
        </w:rPr>
        <w:t>心</w:t>
      </w:r>
    </w:p>
    <w:p>
      <w:pPr>
        <w:widowControl/>
        <w:jc w:val="left"/>
        <w:rPr>
          <w:rFonts w:ascii="仿宋" w:hAnsi="仿宋" w:eastAsia="仿宋"/>
          <w:color w:val="000000"/>
          <w:kern w:val="0"/>
          <w:sz w:val="32"/>
          <w:szCs w:val="32"/>
        </w:rPr>
      </w:pPr>
      <w:r>
        <w:rPr>
          <w:rFonts w:hint="eastAsia" w:ascii="仿宋" w:hAnsi="仿宋" w:eastAsia="仿宋"/>
          <w:color w:val="000000"/>
          <w:sz w:val="32"/>
          <w:szCs w:val="32"/>
          <w:lang w:eastAsia="zh-CN"/>
        </w:rPr>
        <w:t>　</w:t>
      </w:r>
      <w:r>
        <w:rPr>
          <w:rFonts w:ascii="仿宋" w:hAnsi="仿宋" w:eastAsia="仿宋"/>
          <w:color w:val="000000"/>
          <w:sz w:val="32"/>
          <w:szCs w:val="32"/>
        </w:rPr>
        <w:br w:type="page"/>
      </w:r>
    </w:p>
    <w:p>
      <w:pPr>
        <w:pStyle w:val="3"/>
        <w:ind w:right="440"/>
        <w:jc w:val="right"/>
        <w:rPr>
          <w:rStyle w:val="26"/>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6"/>
      <w:bookmarkEnd w:id="27"/>
    </w:p>
    <w:p/>
    <w:p>
      <w:pPr>
        <w:pStyle w:val="25"/>
        <w:numPr>
          <w:ilvl w:val="0"/>
          <w:numId w:val="1"/>
        </w:numPr>
        <w:spacing w:line="600" w:lineRule="exact"/>
        <w:ind w:firstLineChars="0"/>
        <w:outlineLvl w:val="1"/>
        <w:rPr>
          <w:rStyle w:val="27"/>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lang w:eastAsia="zh-CN"/>
        </w:rPr>
        <w:t>支</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7473.46</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537.32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2019年机构改革后，人员划转后人员经费减少</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lang w:val="en-US" w:eastAsia="zh-CN"/>
        </w:rPr>
        <w:t>项目经费压缩等。</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8240" behindDoc="0" locked="0" layoutInCell="1" allowOverlap="1">
            <wp:simplePos x="0" y="0"/>
            <wp:positionH relativeFrom="column">
              <wp:posOffset>183515</wp:posOffset>
            </wp:positionH>
            <wp:positionV relativeFrom="paragraph">
              <wp:posOffset>172085</wp:posOffset>
            </wp:positionV>
            <wp:extent cx="5160010" cy="3553460"/>
            <wp:effectExtent l="0" t="0" r="2540" b="889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160010" cy="3553460"/>
                    </a:xfrm>
                    <a:prstGeom prst="rect">
                      <a:avLst/>
                    </a:prstGeom>
                    <a:noFill/>
                    <a:ln w="9525">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5"/>
        <w:numPr>
          <w:ilvl w:val="0"/>
          <w:numId w:val="0"/>
        </w:numPr>
        <w:spacing w:line="600" w:lineRule="exact"/>
        <w:outlineLvl w:val="1"/>
        <w:rPr>
          <w:rStyle w:val="27"/>
          <w:rFonts w:ascii="黑体" w:hAnsi="黑体" w:eastAsia="黑体"/>
          <w:b w:val="0"/>
        </w:rPr>
      </w:pPr>
      <w:bookmarkStart w:id="30" w:name="_Toc15377206"/>
      <w:bookmarkStart w:id="31" w:name="_Toc15396604"/>
      <w:r>
        <w:rPr>
          <w:rFonts w:hint="eastAsia" w:ascii="黑体" w:hAnsi="黑体" w:eastAsia="黑体"/>
          <w:color w:val="000000"/>
          <w:sz w:val="32"/>
          <w:szCs w:val="32"/>
          <w:lang w:eastAsia="zh-CN"/>
        </w:rPr>
        <w:t>　　二</w:t>
      </w:r>
      <w:r>
        <w:rPr>
          <w:rFonts w:hint="eastAsia" w:ascii="仿宋" w:hAnsi="仿宋" w:eastAsia="仿宋"/>
          <w:color w:val="000000"/>
          <w:sz w:val="32"/>
          <w:szCs w:val="32"/>
        </w:rPr>
        <w:t>、</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6705.31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6515.31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97.17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190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2.83</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81280</wp:posOffset>
            </wp:positionH>
            <wp:positionV relativeFrom="paragraph">
              <wp:posOffset>3175</wp:posOffset>
            </wp:positionV>
            <wp:extent cx="5268595" cy="3587750"/>
            <wp:effectExtent l="4445" t="4445" r="22860" b="825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5"/>
        <w:numPr>
          <w:ilvl w:val="0"/>
          <w:numId w:val="0"/>
        </w:numPr>
        <w:spacing w:line="600" w:lineRule="exact"/>
        <w:ind w:firstLine="640" w:firstLineChars="200"/>
        <w:outlineLvl w:val="1"/>
        <w:rPr>
          <w:rStyle w:val="27"/>
          <w:rFonts w:ascii="黑体" w:hAnsi="黑体" w:eastAsia="黑体"/>
          <w:b w:val="0"/>
        </w:rPr>
      </w:pPr>
      <w:bookmarkStart w:id="32" w:name="_Toc15377207"/>
      <w:bookmarkStart w:id="33" w:name="_Toc15396605"/>
      <w:r>
        <w:rPr>
          <w:rFonts w:hint="eastAsia" w:ascii="黑体" w:hAnsi="黑体" w:eastAsia="黑体"/>
          <w:color w:val="000000"/>
          <w:sz w:val="32"/>
          <w:szCs w:val="32"/>
          <w:lang w:eastAsia="zh-CN"/>
        </w:rPr>
        <w:t>三</w:t>
      </w:r>
      <w:r>
        <w:rPr>
          <w:rFonts w:hint="eastAsia" w:ascii="仿宋" w:hAnsi="仿宋" w:eastAsia="仿宋"/>
          <w:color w:val="000000"/>
          <w:sz w:val="32"/>
          <w:szCs w:val="32"/>
        </w:rPr>
        <w:t>、</w:t>
      </w:r>
      <w:r>
        <w:rPr>
          <w:rFonts w:hint="eastAsia" w:ascii="黑体" w:hAnsi="黑体" w:eastAsia="黑体"/>
          <w:color w:val="000000"/>
          <w:sz w:val="32"/>
          <w:szCs w:val="32"/>
        </w:rPr>
        <w:t>支</w:t>
      </w:r>
      <w:r>
        <w:rPr>
          <w:rStyle w:val="27"/>
          <w:rFonts w:hint="eastAsia" w:ascii="黑体" w:hAnsi="黑体" w:eastAsia="黑体"/>
          <w:b w:val="0"/>
        </w:rPr>
        <w:t>出决算情况说明</w:t>
      </w:r>
      <w:bookmarkEnd w:id="32"/>
      <w:bookmarkEnd w:id="33"/>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6236.1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4659.2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1426.52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22.9</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150.37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2.4</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27940</wp:posOffset>
            </wp:positionH>
            <wp:positionV relativeFrom="paragraph">
              <wp:posOffset>-266700</wp:posOffset>
            </wp:positionV>
            <wp:extent cx="5271135" cy="3493135"/>
            <wp:effectExtent l="4445" t="4445" r="20320" b="7620"/>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（图3：支出决算结构图）（饼状图）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1"/>
        <w:rPr>
          <w:rStyle w:val="27"/>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4"/>
      <w:bookmarkEnd w:id="3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663575</wp:posOffset>
            </wp:positionH>
            <wp:positionV relativeFrom="paragraph">
              <wp:posOffset>1318895</wp:posOffset>
            </wp:positionV>
            <wp:extent cx="4248785" cy="3242945"/>
            <wp:effectExtent l="4445" t="5080" r="13970" b="9525"/>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7473.46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537.32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2019年机构改革后，人员划转后人员经费减少</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lang w:val="en-US" w:eastAsia="zh-CN"/>
        </w:rPr>
        <w:t>压缩一般性支出等。</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 w:hAnsi="仿宋" w:eastAsia="仿宋"/>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7"/>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hint="eastAsia" w:ascii="楷体" w:hAnsi="楷体" w:eastAsia="楷体" w:cs="楷体"/>
          <w:b/>
          <w:color w:val="000000"/>
          <w:sz w:val="32"/>
          <w:szCs w:val="32"/>
        </w:rPr>
      </w:pPr>
      <w:bookmarkStart w:id="38" w:name="_Toc15377210"/>
      <w:r>
        <w:rPr>
          <w:rFonts w:hint="eastAsia" w:ascii="楷体" w:hAnsi="楷体" w:eastAsia="楷体" w:cs="楷体"/>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5417.14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86.9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1819.66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机构改革，人员划转，压缩一般性支出等因素。</w:t>
      </w:r>
    </w:p>
    <w:p>
      <w:pPr>
        <w:rPr>
          <w:rFonts w:hint="eastAsia" w:ascii="仿宋" w:hAnsi="仿宋" w:eastAsia="仿宋"/>
          <w:color w:val="000000"/>
          <w:sz w:val="32"/>
          <w:szCs w:val="32"/>
          <w:lang w:eastAsia="zh-CN"/>
        </w:rPr>
      </w:pPr>
    </w:p>
    <w:p>
      <w:pPr>
        <w:pStyle w:val="2"/>
      </w:pPr>
      <w:r>
        <w:drawing>
          <wp:anchor distT="0" distB="0" distL="114300" distR="114300" simplePos="0" relativeHeight="251662336" behindDoc="0" locked="0" layoutInCell="1" allowOverlap="1">
            <wp:simplePos x="0" y="0"/>
            <wp:positionH relativeFrom="column">
              <wp:posOffset>59690</wp:posOffset>
            </wp:positionH>
            <wp:positionV relativeFrom="paragraph">
              <wp:posOffset>-410210</wp:posOffset>
            </wp:positionV>
            <wp:extent cx="5269865" cy="3352165"/>
            <wp:effectExtent l="4445" t="4445" r="21590" b="15240"/>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
      <w:pPr>
        <w:pStyle w:val="2"/>
      </w:pPr>
    </w:p>
    <w:p/>
    <w:p>
      <w:pPr>
        <w:pStyle w:val="2"/>
      </w:pPr>
    </w:p>
    <w:p/>
    <w:p>
      <w:pPr>
        <w:pStyle w:val="2"/>
      </w:pPr>
    </w:p>
    <w:p/>
    <w:p>
      <w:pPr>
        <w:pStyle w:val="2"/>
      </w:pPr>
    </w:p>
    <w:p>
      <w:pPr>
        <w:pStyle w:val="2"/>
      </w:pPr>
    </w:p>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hint="eastAsia" w:ascii="楷体" w:hAnsi="楷体" w:eastAsia="楷体" w:cs="楷体"/>
          <w:b/>
          <w:color w:val="000000"/>
          <w:sz w:val="32"/>
          <w:szCs w:val="32"/>
        </w:rPr>
      </w:pPr>
      <w:bookmarkStart w:id="39" w:name="_Toc15377211"/>
      <w:r>
        <w:rPr>
          <w:rFonts w:hint="eastAsia" w:ascii="楷体" w:hAnsi="楷体" w:eastAsia="楷体" w:cs="楷体"/>
          <w:b/>
          <w:color w:val="000000"/>
          <w:sz w:val="32"/>
          <w:szCs w:val="32"/>
        </w:rPr>
        <w:t>（二）一般公共预算财政拨款支出决算结构情况</w:t>
      </w:r>
      <w:bookmarkEnd w:id="39"/>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6236.1</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5417.14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86.9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其中行政运行2982.29万元，一般行政管理事务827.07万元，市场监督管理专项88.55万元，市场监管执法106.46万元，消费者权益保护5万元，市场监督管理技术支持114.92万元，事业运行899.2万元，其他市场监督管理事务393.64万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w:t>
      </w:r>
      <w:r>
        <w:rPr>
          <w:rFonts w:hint="eastAsia" w:ascii="仿宋" w:hAnsi="仿宋" w:eastAsia="仿宋"/>
          <w:b/>
          <w:color w:val="000000" w:themeColor="text1"/>
          <w:sz w:val="32"/>
          <w:szCs w:val="32"/>
          <w:lang w:val="en-US" w:eastAsia="zh-CN"/>
          <w14:textFill>
            <w14:solidFill>
              <w14:schemeClr w14:val="tx1"/>
            </w14:solidFill>
          </w14:textFill>
        </w:rPr>
        <w:t>1.7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，其中干部教育</w:t>
      </w:r>
      <w:r>
        <w:rPr>
          <w:rFonts w:hint="eastAsia" w:ascii="仿宋" w:hAnsi="仿宋" w:eastAsia="仿宋"/>
          <w:color w:val="000000" w:themeColor="text1"/>
          <w:sz w:val="32"/>
          <w:szCs w:val="32"/>
          <w:lang w:val="en-US" w:eastAsia="zh-CN"/>
          <w14:textFill>
            <w14:solidFill>
              <w14:schemeClr w14:val="tx1"/>
            </w14:solidFill>
          </w14:textFill>
        </w:rPr>
        <w:t>1.7万元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376.53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，其中机关事业单位基本养老保险缴费支出</w:t>
      </w:r>
      <w:r>
        <w:rPr>
          <w:rFonts w:hint="eastAsia" w:ascii="仿宋" w:hAnsi="仿宋" w:eastAsia="仿宋"/>
          <w:color w:val="000000" w:themeColor="text1"/>
          <w:sz w:val="32"/>
          <w:szCs w:val="32"/>
          <w:lang w:val="en-US" w:eastAsia="zh-CN"/>
          <w14:textFill>
            <w14:solidFill>
              <w14:schemeClr w14:val="tx1"/>
            </w14:solidFill>
          </w14:textFill>
        </w:rPr>
        <w:t>356.32万元，其他行政事业单位离退休支出8.2万元，死亡</w:t>
      </w:r>
      <w:r>
        <w:rPr>
          <w:rFonts w:hint="eastAsia" w:ascii="仿宋" w:hAnsi="仿宋" w:eastAsia="仿宋"/>
          <w:color w:val="000000" w:themeColor="text1"/>
          <w:sz w:val="32"/>
          <w:szCs w:val="32"/>
          <w:lang w:eastAsia="zh-CN"/>
          <w14:textFill>
            <w14:solidFill>
              <w14:schemeClr w14:val="tx1"/>
            </w14:solidFill>
          </w14:textFill>
        </w:rPr>
        <w:t>抚恤</w:t>
      </w:r>
      <w:r>
        <w:rPr>
          <w:rFonts w:hint="eastAsia" w:ascii="仿宋" w:hAnsi="仿宋" w:eastAsia="仿宋"/>
          <w:color w:val="000000" w:themeColor="text1"/>
          <w:sz w:val="32"/>
          <w:szCs w:val="32"/>
          <w:lang w:val="en-US" w:eastAsia="zh-CN"/>
          <w14:textFill>
            <w14:solidFill>
              <w14:schemeClr w14:val="tx1"/>
            </w14:solidFill>
          </w14:textFill>
        </w:rPr>
        <w:t>20.79万元；</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197.75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，其中行政单位医疗</w:t>
      </w:r>
      <w:r>
        <w:rPr>
          <w:rFonts w:hint="eastAsia" w:ascii="仿宋" w:hAnsi="仿宋" w:eastAsia="仿宋"/>
          <w:color w:val="000000" w:themeColor="text1"/>
          <w:sz w:val="32"/>
          <w:szCs w:val="32"/>
          <w:lang w:val="en-US" w:eastAsia="zh-CN"/>
          <w14:textFill>
            <w14:solidFill>
              <w14:schemeClr w14:val="tx1"/>
            </w14:solidFill>
          </w14:textFill>
        </w:rPr>
        <w:t>128.7万元，事业单位医疗41.06万元，公务员医疗补助28.3万元</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242.98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-145415</wp:posOffset>
            </wp:positionH>
            <wp:positionV relativeFrom="paragraph">
              <wp:posOffset>230505</wp:posOffset>
            </wp:positionV>
            <wp:extent cx="5901690" cy="4086860"/>
            <wp:effectExtent l="5080" t="4445" r="17780" b="2349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pPr>
    </w:p>
    <w:p>
      <w:pPr>
        <w:spacing w:line="600" w:lineRule="exact"/>
        <w:ind w:firstLine="643" w:firstLineChars="200"/>
        <w:outlineLvl w:val="2"/>
        <w:rPr>
          <w:rFonts w:hint="eastAsia" w:ascii="楷体" w:hAnsi="楷体" w:eastAsia="楷体" w:cs="楷体"/>
          <w:b/>
          <w:color w:val="000000"/>
          <w:sz w:val="32"/>
          <w:szCs w:val="32"/>
        </w:rPr>
      </w:pPr>
      <w:bookmarkStart w:id="40" w:name="_Toc15377212"/>
      <w:r>
        <w:rPr>
          <w:rFonts w:hint="eastAsia" w:ascii="楷体" w:hAnsi="楷体" w:eastAsia="楷体" w:cs="楷体"/>
          <w:b/>
          <w:color w:val="000000"/>
          <w:sz w:val="32"/>
          <w:szCs w:val="32"/>
        </w:rPr>
        <w:t>（三）一般公共预算财政拨款支出决算具体情况</w:t>
      </w:r>
      <w:bookmarkEnd w:id="40"/>
    </w:p>
    <w:p>
      <w:pPr>
        <w:spacing w:line="600" w:lineRule="exact"/>
        <w:ind w:firstLine="640" w:firstLineChars="200"/>
        <w:outlineLvl w:val="2"/>
        <w:rPr>
          <w:rFonts w:ascii="仿宋" w:hAnsi="仿宋" w:eastAsia="仿宋"/>
          <w:b w:val="0"/>
          <w:bCs/>
          <w:color w:val="FF0000"/>
          <w:sz w:val="32"/>
          <w:szCs w:val="32"/>
        </w:rPr>
      </w:pPr>
      <w:bookmarkStart w:id="41" w:name="_Toc15377444"/>
      <w:bookmarkStart w:id="42" w:name="_Toc15377213"/>
      <w:bookmarkStart w:id="43" w:name="_Toc15378460"/>
      <w:r>
        <w:rPr>
          <w:rFonts w:hint="eastAsia" w:ascii="仿宋" w:hAnsi="仿宋" w:eastAsia="仿宋"/>
          <w:b w:val="0"/>
          <w:bCs/>
          <w:color w:val="000000" w:themeColor="text1"/>
          <w:sz w:val="32"/>
          <w:szCs w:val="32"/>
          <w14:textFill>
            <w14:solidFill>
              <w14:schemeClr w14:val="tx1"/>
            </w14:solidFill>
          </w14:textFill>
        </w:rPr>
        <w:t>2019年</w:t>
      </w:r>
      <w:r>
        <w:rPr>
          <w:rFonts w:hint="eastAsia" w:ascii="仿宋" w:hAnsi="仿宋" w:eastAsia="仿宋"/>
          <w:b w:val="0"/>
          <w:bCs/>
          <w:color w:val="000000" w:themeColor="text1"/>
          <w:sz w:val="32"/>
          <w:szCs w:val="32"/>
          <w:lang w:eastAsia="zh-CN"/>
          <w14:textFill>
            <w14:solidFill>
              <w14:schemeClr w14:val="tx1"/>
            </w14:solidFill>
          </w14:textFill>
        </w:rPr>
        <w:t>一</w:t>
      </w:r>
      <w:r>
        <w:rPr>
          <w:rFonts w:hint="eastAsia" w:ascii="仿宋" w:hAnsi="仿宋" w:eastAsia="仿宋"/>
          <w:b w:val="0"/>
          <w:bCs/>
          <w:color w:val="000000" w:themeColor="text1"/>
          <w:sz w:val="32"/>
          <w:szCs w:val="32"/>
          <w14:textFill>
            <w14:solidFill>
              <w14:schemeClr w14:val="tx1"/>
            </w14:solidFill>
          </w14:textFill>
        </w:rPr>
        <w:t>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6236.1万元</w:t>
      </w:r>
      <w:r>
        <w:rPr>
          <w:rFonts w:hint="eastAsia" w:ascii="仿宋" w:hAnsi="仿宋" w:eastAsia="仿宋"/>
          <w:b w:val="0"/>
          <w:bCs/>
          <w:color w:val="000000" w:themeColor="text1"/>
          <w:sz w:val="32"/>
          <w:szCs w:val="32"/>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完成</w:t>
      </w:r>
      <w:r>
        <w:rPr>
          <w:rStyle w:val="14"/>
          <w:rFonts w:hint="eastAsia" w:ascii="仿宋" w:hAnsi="仿宋" w:eastAsia="仿宋"/>
          <w:b w:val="0"/>
          <w:bCs/>
          <w:color w:val="000000"/>
          <w:sz w:val="32"/>
          <w:szCs w:val="32"/>
        </w:rPr>
        <w:t>预算</w:t>
      </w:r>
      <w:r>
        <w:rPr>
          <w:rStyle w:val="14"/>
          <w:rFonts w:hint="eastAsia" w:ascii="仿宋" w:hAnsi="仿宋" w:eastAsia="仿宋"/>
          <w:b w:val="0"/>
          <w:bCs/>
          <w:color w:val="000000"/>
          <w:sz w:val="32"/>
          <w:szCs w:val="32"/>
          <w:lang w:val="en-US" w:eastAsia="zh-CN"/>
        </w:rPr>
        <w:t>93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4"/>
          <w:rFonts w:ascii="仿宋" w:hAnsi="仿宋" w:eastAsia="仿宋"/>
          <w:b/>
          <w:bCs w:val="0"/>
          <w:color w:val="000000"/>
          <w:sz w:val="32"/>
          <w:szCs w:val="32"/>
        </w:rPr>
        <w:t>1.</w:t>
      </w:r>
      <w:r>
        <w:rPr>
          <w:rStyle w:val="14"/>
          <w:rFonts w:hint="eastAsia" w:ascii="仿宋" w:hAnsi="仿宋" w:eastAsia="仿宋"/>
          <w:b/>
          <w:bCs w:val="0"/>
          <w:color w:val="000000"/>
          <w:sz w:val="32"/>
          <w:szCs w:val="32"/>
        </w:rPr>
        <w:t>一般公共服务</w:t>
      </w:r>
      <w:r>
        <w:rPr>
          <w:rStyle w:val="14"/>
          <w:rFonts w:hint="eastAsia" w:ascii="仿宋" w:hAnsi="仿宋" w:eastAsia="仿宋"/>
          <w:b/>
          <w:bCs w:val="0"/>
          <w:color w:val="000000"/>
          <w:sz w:val="32"/>
          <w:szCs w:val="32"/>
          <w:lang w:eastAsia="zh-CN"/>
        </w:rPr>
        <w:t>支出</w:t>
      </w:r>
      <w:r>
        <w:rPr>
          <w:rStyle w:val="14"/>
          <w:rFonts w:hint="eastAsia" w:ascii="仿宋" w:hAnsi="仿宋" w:eastAsia="仿宋"/>
          <w:b/>
          <w:bCs w:val="0"/>
          <w:color w:val="000000"/>
          <w:sz w:val="32"/>
          <w:szCs w:val="32"/>
          <w:lang w:val="en-US" w:eastAsia="zh-CN"/>
        </w:rPr>
        <w:t>5417.14万元</w:t>
      </w:r>
      <w:r>
        <w:rPr>
          <w:rStyle w:val="14"/>
          <w:rFonts w:hint="eastAsia" w:ascii="仿宋" w:hAnsi="仿宋" w:eastAsia="仿宋"/>
          <w:b w:val="0"/>
          <w:bCs/>
          <w:color w:val="000000"/>
          <w:sz w:val="32"/>
          <w:szCs w:val="32"/>
          <w:lang w:val="en-US" w:eastAsia="zh-CN"/>
        </w:rPr>
        <w:t>-</w:t>
      </w:r>
      <w:r>
        <w:rPr>
          <w:rStyle w:val="14"/>
          <w:rFonts w:hint="eastAsia" w:ascii="仿宋" w:hAnsi="仿宋" w:eastAsia="仿宋"/>
          <w:b w:val="0"/>
          <w:bCs/>
          <w:color w:val="000000"/>
          <w:sz w:val="32"/>
          <w:szCs w:val="32"/>
          <w:lang w:eastAsia="zh-CN"/>
        </w:rPr>
        <w:t>市场监督管理事务</w:t>
      </w:r>
      <w:r>
        <w:rPr>
          <w:rStyle w:val="14"/>
          <w:rFonts w:hint="eastAsia" w:ascii="仿宋" w:hAnsi="仿宋" w:eastAsia="仿宋"/>
          <w:b w:val="0"/>
          <w:bCs/>
          <w:color w:val="000000"/>
          <w:sz w:val="32"/>
          <w:szCs w:val="32"/>
          <w:lang w:val="en-US" w:eastAsia="zh-CN"/>
        </w:rPr>
        <w:t>5417.14万元，其中：</w:t>
      </w:r>
      <w:r>
        <w:rPr>
          <w:rStyle w:val="14"/>
          <w:rFonts w:hint="eastAsia" w:ascii="仿宋" w:hAnsi="仿宋" w:eastAsia="仿宋"/>
          <w:b w:val="0"/>
          <w:bCs/>
          <w:color w:val="000000"/>
          <w:sz w:val="32"/>
          <w:szCs w:val="32"/>
          <w:lang w:eastAsia="zh-CN"/>
        </w:rPr>
        <w:t>行政运行</w:t>
      </w:r>
      <w:r>
        <w:rPr>
          <w:rStyle w:val="14"/>
          <w:rFonts w:hint="eastAsia" w:ascii="仿宋" w:hAnsi="仿宋" w:eastAsia="仿宋"/>
          <w:b w:val="0"/>
          <w:bCs/>
          <w:color w:val="000000"/>
          <w:sz w:val="32"/>
          <w:szCs w:val="32"/>
          <w:lang w:val="en-US" w:eastAsia="zh-CN"/>
        </w:rPr>
        <w:t>2982.29万元，一般行政管理事务827.07万元，市场监督管理专项88.55万元，市场监管执法106.46万元，消费者权益保护5万元，市场监督管理技术支持114.92万元，事业运行899.2万元，其他市场监督管理事务393.64万元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86.9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eastAsia="zh-CN"/>
        </w:rPr>
        <w:t>单位执行中央八项规定及其实施细则等，压缩一般性支出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w:t>
      </w:r>
      <w:r>
        <w:rPr>
          <w:rStyle w:val="14"/>
          <w:rFonts w:hint="eastAsia" w:ascii="仿宋" w:hAnsi="仿宋" w:eastAsia="仿宋"/>
          <w:bCs/>
          <w:color w:val="000000"/>
          <w:sz w:val="32"/>
          <w:szCs w:val="32"/>
          <w:lang w:eastAsia="zh-CN"/>
        </w:rPr>
        <w:t>支出</w:t>
      </w:r>
      <w:r>
        <w:rPr>
          <w:rStyle w:val="14"/>
          <w:rFonts w:hint="eastAsia" w:ascii="仿宋" w:hAnsi="仿宋" w:eastAsia="仿宋"/>
          <w:bCs/>
          <w:color w:val="000000"/>
          <w:sz w:val="32"/>
          <w:szCs w:val="32"/>
          <w:lang w:val="en-US" w:eastAsia="zh-CN"/>
        </w:rPr>
        <w:t>(</w:t>
      </w:r>
      <w:r>
        <w:rPr>
          <w:rStyle w:val="14"/>
          <w:rFonts w:hint="eastAsia" w:ascii="仿宋" w:hAnsi="仿宋" w:eastAsia="仿宋"/>
          <w:bCs/>
          <w:color w:val="000000"/>
          <w:sz w:val="32"/>
          <w:szCs w:val="32"/>
          <w:lang w:eastAsia="zh-CN"/>
        </w:rPr>
        <w:t>类</w:t>
      </w:r>
      <w:r>
        <w:rPr>
          <w:rStyle w:val="14"/>
          <w:rFonts w:hint="eastAsia" w:ascii="仿宋" w:hAnsi="仿宋" w:eastAsia="仿宋"/>
          <w:bCs/>
          <w:color w:val="000000"/>
          <w:sz w:val="32"/>
          <w:szCs w:val="32"/>
          <w:lang w:val="en-US" w:eastAsia="zh-CN"/>
        </w:rPr>
        <w:t>)进修及培训(款)干部教育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科学技术（类）（款）（项）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文化旅游体育与传媒（类）（款）（项）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lang w:val="en-US" w:eastAsia="zh-CN"/>
        </w:rPr>
        <w:t>355.74万元，抚恤20.79万元</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机关事业单位基本养老保险缴费支出决算为</w:t>
      </w:r>
      <w:r>
        <w:rPr>
          <w:rStyle w:val="14"/>
          <w:rFonts w:hint="eastAsia" w:ascii="仿宋" w:hAnsi="仿宋" w:eastAsia="仿宋"/>
          <w:bCs/>
          <w:color w:val="000000"/>
          <w:sz w:val="32"/>
          <w:szCs w:val="32"/>
          <w:lang w:val="en-US" w:eastAsia="zh-CN"/>
        </w:rPr>
        <w:t>352.43万元，其他行政事业单位离退休支出决算为3.31万元，死亡抚恤20.79万元</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376.53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97.7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eastAsia="zh-CN"/>
        </w:rPr>
        <w:t>机构改革中人员划转后基数减少等因素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eastAsia="zh-CN"/>
          <w14:textFill>
            <w14:solidFill>
              <w14:schemeClr w14:val="tx1"/>
            </w14:solidFill>
          </w14:textFill>
        </w:rPr>
        <w:t>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行政单位医疗</w:t>
      </w:r>
      <w:r>
        <w:rPr>
          <w:rStyle w:val="14"/>
          <w:rFonts w:hint="eastAsia" w:ascii="仿宋" w:hAnsi="仿宋" w:eastAsia="仿宋"/>
          <w:bCs/>
          <w:color w:val="000000"/>
          <w:sz w:val="32"/>
          <w:szCs w:val="32"/>
          <w:lang w:val="en-US" w:eastAsia="zh-CN"/>
        </w:rPr>
        <w:t>128.7万元，事业单位医疗41.06万元，公务员医疗补助28.2万元</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197.75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99.8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eastAsia="zh-CN"/>
        </w:rPr>
        <w:t>机改基数略有调整</w:t>
      </w:r>
      <w:r>
        <w:rPr>
          <w:rStyle w:val="14"/>
          <w:rFonts w:hint="eastAsia" w:ascii="仿宋" w:hAnsi="仿宋" w:eastAsia="仿宋"/>
          <w:b w:val="0"/>
          <w:bCs/>
          <w:color w:val="000000"/>
          <w:sz w:val="32"/>
          <w:szCs w:val="32"/>
        </w:rPr>
        <w:t>。</w:t>
      </w: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　　</w:t>
      </w:r>
      <w:r>
        <w:rPr>
          <w:rFonts w:hint="eastAsia" w:ascii="仿宋" w:hAnsi="仿宋" w:eastAsia="仿宋"/>
          <w:b/>
          <w:bCs/>
          <w:color w:val="000000"/>
          <w:sz w:val="32"/>
          <w:szCs w:val="32"/>
          <w:lang w:val="en-US" w:eastAsia="zh-CN"/>
        </w:rPr>
        <w:t>7.住房保障支出(类)住房</w:t>
      </w:r>
      <w:r>
        <w:rPr>
          <w:rStyle w:val="14"/>
          <w:rFonts w:hint="eastAsia" w:ascii="仿宋" w:hAnsi="仿宋" w:eastAsia="仿宋"/>
          <w:b/>
          <w:bCs/>
          <w:color w:val="000000"/>
          <w:sz w:val="32"/>
          <w:szCs w:val="32"/>
          <w:lang w:eastAsia="zh-CN"/>
        </w:rPr>
        <w:t>改革支出</w:t>
      </w:r>
      <w:r>
        <w:rPr>
          <w:rStyle w:val="14"/>
          <w:rFonts w:hint="eastAsia" w:ascii="仿宋" w:hAnsi="仿宋" w:eastAsia="仿宋"/>
          <w:b/>
          <w:bCs/>
          <w:color w:val="000000"/>
          <w:sz w:val="32"/>
          <w:szCs w:val="32"/>
          <w:lang w:val="en-US" w:eastAsia="zh-CN"/>
        </w:rPr>
        <w:t>(款)住房公积金(项)：</w:t>
      </w:r>
      <w:r>
        <w:rPr>
          <w:rStyle w:val="14"/>
          <w:rFonts w:hint="eastAsia" w:ascii="仿宋" w:hAnsi="仿宋" w:eastAsia="仿宋"/>
          <w:b w:val="0"/>
          <w:bCs/>
          <w:color w:val="000000"/>
          <w:sz w:val="32"/>
          <w:szCs w:val="32"/>
          <w:lang w:val="en-US" w:eastAsia="zh-CN"/>
        </w:rPr>
        <w:t>支出决算数为242.98万元，完成预算98.7％，决算数小于预算数的主要原因是因机改，人员划转后基数减少</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7"/>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4"/>
      <w:bookmarkEnd w:id="45"/>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4659.2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b/>
          <w:bCs/>
          <w:color w:val="000000"/>
          <w:sz w:val="32"/>
          <w:szCs w:val="32"/>
        </w:rPr>
        <w:t>人员经费</w:t>
      </w:r>
      <w:r>
        <w:rPr>
          <w:rFonts w:hint="eastAsia" w:ascii="仿宋" w:hAnsi="仿宋" w:eastAsia="仿宋"/>
          <w:b/>
          <w:bCs/>
          <w:color w:val="000000"/>
          <w:sz w:val="32"/>
          <w:szCs w:val="32"/>
          <w:lang w:val="en-US" w:eastAsia="zh-CN"/>
        </w:rPr>
        <w:t>4128.06</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b/>
          <w:bCs/>
          <w:color w:val="000000"/>
          <w:sz w:val="32"/>
          <w:szCs w:val="32"/>
        </w:rPr>
        <w:t>日常公用经费</w:t>
      </w:r>
      <w:r>
        <w:rPr>
          <w:rFonts w:hint="eastAsia" w:ascii="仿宋" w:hAnsi="仿宋" w:eastAsia="仿宋"/>
          <w:b/>
          <w:bCs/>
          <w:color w:val="000000"/>
          <w:sz w:val="32"/>
          <w:szCs w:val="32"/>
          <w:lang w:val="en-US" w:eastAsia="zh-CN"/>
        </w:rPr>
        <w:t>531.14</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6"/>
      <w:bookmarkEnd w:id="47"/>
    </w:p>
    <w:p>
      <w:pPr>
        <w:spacing w:line="600" w:lineRule="exact"/>
        <w:ind w:firstLine="640"/>
        <w:outlineLvl w:val="2"/>
        <w:rPr>
          <w:rFonts w:hint="eastAsia" w:ascii="楷体" w:hAnsi="楷体" w:eastAsia="楷体" w:cs="楷体"/>
          <w:b/>
          <w:color w:val="000000"/>
          <w:sz w:val="32"/>
          <w:szCs w:val="32"/>
        </w:rPr>
      </w:pPr>
      <w:bookmarkStart w:id="48" w:name="_Toc15377216"/>
      <w:r>
        <w:rPr>
          <w:rFonts w:hint="eastAsia" w:ascii="楷体" w:hAnsi="楷体" w:eastAsia="楷体" w:cs="楷体"/>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99.26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hint="eastAsia" w:ascii="楷体" w:hAnsi="楷体" w:eastAsia="楷体" w:cs="楷体"/>
          <w:b/>
          <w:color w:val="000000"/>
          <w:sz w:val="32"/>
          <w:szCs w:val="32"/>
        </w:rPr>
      </w:pPr>
      <w:bookmarkStart w:id="49" w:name="_Toc15377217"/>
      <w:r>
        <w:rPr>
          <w:rFonts w:hint="eastAsia" w:ascii="楷体" w:hAnsi="楷体" w:eastAsia="楷体" w:cs="楷体"/>
          <w:b/>
          <w:color w:val="000000"/>
          <w:sz w:val="32"/>
          <w:szCs w:val="32"/>
        </w:rPr>
        <w:t>（二）“三公”经费财政拨款支出决算具体情况说明</w:t>
      </w:r>
      <w:bookmarkEnd w:id="4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96.42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ascii="仿宋" w:hAnsi="仿宋" w:eastAsia="仿宋"/>
          <w:color w:val="000000"/>
          <w:sz w:val="32"/>
          <w:szCs w:val="32"/>
        </w:rPr>
      </w:pPr>
      <w:r>
        <w:drawing>
          <wp:anchor distT="0" distB="0" distL="114300" distR="114300" simplePos="0" relativeHeight="251670528" behindDoc="0" locked="0" layoutInCell="1" allowOverlap="1">
            <wp:simplePos x="0" y="0"/>
            <wp:positionH relativeFrom="column">
              <wp:posOffset>-123825</wp:posOffset>
            </wp:positionH>
            <wp:positionV relativeFrom="paragraph">
              <wp:posOffset>57150</wp:posOffset>
            </wp:positionV>
            <wp:extent cx="5553075" cy="4285615"/>
            <wp:effectExtent l="4445" t="4445" r="5080" b="1524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一样</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96.42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46.56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32.6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2019年机改后，车辆减少，人员划转，从严控制三公经费等因素</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96.42</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市场监管部门食品药品化妆品医疗器械等安全监管</w:t>
      </w:r>
      <w:r>
        <w:rPr>
          <w:rFonts w:hint="eastAsia" w:ascii="仿宋_GB2312" w:eastAsia="仿宋_GB2312"/>
          <w:color w:val="000000"/>
          <w:sz w:val="32"/>
          <w:szCs w:val="32"/>
        </w:rPr>
        <w:t>、</w:t>
      </w:r>
      <w:r>
        <w:rPr>
          <w:rFonts w:hint="eastAsia" w:ascii="仿宋_GB2312" w:eastAsia="仿宋_GB2312"/>
          <w:color w:val="000000"/>
          <w:sz w:val="32"/>
          <w:szCs w:val="32"/>
          <w:lang w:eastAsia="zh-CN"/>
        </w:rPr>
        <w:t>质量与安全监管</w:t>
      </w:r>
      <w:r>
        <w:rPr>
          <w:rFonts w:hint="eastAsia" w:ascii="仿宋_GB2312" w:eastAsia="仿宋_GB2312"/>
          <w:color w:val="000000"/>
          <w:sz w:val="32"/>
          <w:szCs w:val="32"/>
        </w:rPr>
        <w:t>、</w:t>
      </w:r>
      <w:r>
        <w:rPr>
          <w:rFonts w:hint="eastAsia" w:ascii="仿宋_GB2312" w:eastAsia="仿宋_GB2312"/>
          <w:color w:val="000000"/>
          <w:sz w:val="32"/>
          <w:szCs w:val="32"/>
          <w:lang w:eastAsia="zh-CN"/>
        </w:rPr>
        <w:t>市场秩序维护</w:t>
      </w:r>
      <w:r>
        <w:rPr>
          <w:rFonts w:hint="eastAsia" w:ascii="仿宋_GB2312" w:eastAsia="仿宋_GB2312"/>
          <w:color w:val="000000"/>
          <w:sz w:val="32"/>
          <w:szCs w:val="32"/>
        </w:rPr>
        <w:t>、</w:t>
      </w:r>
      <w:r>
        <w:rPr>
          <w:rFonts w:hint="eastAsia" w:ascii="仿宋_GB2312" w:eastAsia="仿宋_GB2312"/>
          <w:color w:val="000000"/>
          <w:sz w:val="32"/>
          <w:szCs w:val="32"/>
          <w:lang w:eastAsia="zh-CN"/>
        </w:rPr>
        <w:t>市场综合监管</w:t>
      </w:r>
      <w:r>
        <w:rPr>
          <w:rFonts w:hint="eastAsia" w:ascii="仿宋_GB2312" w:eastAsia="仿宋_GB2312"/>
          <w:color w:val="000000"/>
          <w:sz w:val="32"/>
          <w:szCs w:val="32"/>
        </w:rPr>
        <w:t>、</w:t>
      </w:r>
      <w:r>
        <w:rPr>
          <w:rFonts w:hint="eastAsia" w:ascii="仿宋_GB2312" w:eastAsia="仿宋_GB2312"/>
          <w:color w:val="000000"/>
          <w:sz w:val="32"/>
          <w:szCs w:val="32"/>
          <w:lang w:eastAsia="zh-CN"/>
        </w:rPr>
        <w:t>民营经济发展</w:t>
      </w:r>
      <w:r>
        <w:rPr>
          <w:rFonts w:hint="eastAsia" w:ascii="仿宋_GB2312" w:eastAsia="仿宋_GB2312"/>
          <w:color w:val="000000"/>
          <w:sz w:val="32"/>
          <w:szCs w:val="32"/>
        </w:rPr>
        <w:t>、</w:t>
      </w:r>
      <w:r>
        <w:rPr>
          <w:rFonts w:hint="eastAsia" w:ascii="仿宋_GB2312" w:eastAsia="仿宋_GB2312"/>
          <w:color w:val="000000"/>
          <w:sz w:val="32"/>
          <w:szCs w:val="32"/>
          <w:lang w:eastAsia="zh-CN"/>
        </w:rPr>
        <w:t>脱贫攻坚</w:t>
      </w:r>
      <w:r>
        <w:rPr>
          <w:rFonts w:hint="eastAsia" w:ascii="仿宋_GB2312" w:eastAsia="仿宋_GB2312"/>
          <w:color w:val="000000"/>
          <w:sz w:val="32"/>
          <w:szCs w:val="32"/>
        </w:rPr>
        <w:t>、</w:t>
      </w:r>
      <w:r>
        <w:rPr>
          <w:rFonts w:hint="eastAsia" w:ascii="仿宋_GB2312" w:eastAsia="仿宋_GB2312"/>
          <w:color w:val="000000"/>
          <w:sz w:val="32"/>
          <w:szCs w:val="32"/>
          <w:lang w:eastAsia="zh-CN"/>
        </w:rPr>
        <w:t>稽查执法办案</w:t>
      </w:r>
      <w:r>
        <w:rPr>
          <w:rFonts w:hint="eastAsia" w:ascii="仿宋_GB2312" w:eastAsia="仿宋_GB2312"/>
          <w:color w:val="000000"/>
          <w:sz w:val="32"/>
          <w:szCs w:val="32"/>
        </w:rPr>
        <w:t>、</w:t>
      </w:r>
      <w:r>
        <w:rPr>
          <w:rFonts w:hint="eastAsia" w:ascii="仿宋_GB2312" w:eastAsia="仿宋_GB2312"/>
          <w:color w:val="000000"/>
          <w:sz w:val="32"/>
          <w:szCs w:val="32"/>
          <w:lang w:eastAsia="zh-CN"/>
        </w:rPr>
        <w:t>食药不良反应监测</w:t>
      </w:r>
      <w:r>
        <w:rPr>
          <w:rFonts w:hint="eastAsia" w:ascii="仿宋_GB2312" w:eastAsia="仿宋_GB2312"/>
          <w:color w:val="000000"/>
          <w:sz w:val="32"/>
          <w:szCs w:val="32"/>
        </w:rPr>
        <w:t>、</w:t>
      </w:r>
      <w:r>
        <w:rPr>
          <w:rFonts w:hint="eastAsia" w:ascii="仿宋_GB2312" w:eastAsia="仿宋_GB2312"/>
          <w:color w:val="000000"/>
          <w:sz w:val="32"/>
          <w:szCs w:val="32"/>
          <w:lang w:eastAsia="zh-CN"/>
        </w:rPr>
        <w:t>计量检定测试</w:t>
      </w:r>
      <w:r>
        <w:rPr>
          <w:rFonts w:hint="eastAsia" w:ascii="仿宋_GB2312" w:eastAsia="仿宋_GB2312"/>
          <w:color w:val="000000"/>
          <w:sz w:val="32"/>
          <w:szCs w:val="32"/>
        </w:rPr>
        <w:t>、</w:t>
      </w:r>
      <w:r>
        <w:rPr>
          <w:rFonts w:hint="eastAsia" w:ascii="仿宋_GB2312" w:eastAsia="仿宋_GB2312"/>
          <w:color w:val="000000"/>
          <w:sz w:val="32"/>
          <w:szCs w:val="32"/>
          <w:lang w:eastAsia="zh-CN"/>
        </w:rPr>
        <w:t>特种设备检测等</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2.84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7.03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因机改人员划转，</w:t>
      </w:r>
      <w:r>
        <w:rPr>
          <w:rFonts w:hint="eastAsia" w:ascii="仿宋_GB2312" w:eastAsia="仿宋_GB2312"/>
          <w:color w:val="000000"/>
          <w:sz w:val="32"/>
          <w:szCs w:val="32"/>
          <w:lang w:val="en-US" w:eastAsia="zh-CN"/>
        </w:rPr>
        <w:t>控制公务接待次数和标准；上级检查次数减少；兄弟市州交流机会减少</w:t>
      </w:r>
      <w:r>
        <w:rPr>
          <w:rFonts w:hint="eastAsia" w:ascii="仿宋_GB2312" w:eastAsia="仿宋_GB2312"/>
          <w:color w:val="000000"/>
          <w:sz w:val="32"/>
          <w:szCs w:val="32"/>
        </w:rPr>
        <w:t>。其中：</w:t>
      </w:r>
    </w:p>
    <w:p>
      <w:pPr>
        <w:keepNext w:val="0"/>
        <w:keepLines w:val="0"/>
        <w:pageBreakBefore w:val="0"/>
        <w:widowControl w:val="0"/>
        <w:kinsoku/>
        <w:wordWrap/>
        <w:overflowPunct/>
        <w:topLinePunct w:val="0"/>
        <w:bidi w:val="0"/>
        <w:snapToGrid/>
        <w:spacing w:line="480" w:lineRule="exact"/>
        <w:ind w:left="0" w:leftChars="0" w:right="0" w:rightChars="0" w:firstLine="640"/>
        <w:textAlignment w:val="auto"/>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2.84</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执行公务、开展业务活动开支的用餐费等)。国内公务接待</w:t>
      </w:r>
      <w:r>
        <w:rPr>
          <w:rFonts w:hint="eastAsia" w:ascii="仿宋_GB2312" w:eastAsia="仿宋_GB2312"/>
          <w:color w:val="000000"/>
          <w:sz w:val="32"/>
          <w:szCs w:val="32"/>
          <w:lang w:val="en-US" w:eastAsia="zh-CN"/>
        </w:rPr>
        <w:t>236</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25批</w:t>
      </w:r>
      <w:r>
        <w:rPr>
          <w:rFonts w:hint="eastAsia" w:ascii="仿宋_GB2312" w:eastAsia="仿宋_GB2312"/>
          <w:color w:val="000000"/>
          <w:sz w:val="32"/>
          <w:szCs w:val="32"/>
        </w:rPr>
        <w:t>次（不包括陪同人员），共计支出</w:t>
      </w:r>
      <w:r>
        <w:rPr>
          <w:rFonts w:hint="eastAsia" w:ascii="仿宋_GB2312" w:eastAsia="仿宋_GB2312"/>
          <w:color w:val="000000"/>
          <w:sz w:val="32"/>
          <w:szCs w:val="32"/>
          <w:lang w:val="en-US" w:eastAsia="zh-CN"/>
        </w:rPr>
        <w:t>2.84</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val="en-US" w:eastAsia="zh-CN"/>
        </w:rPr>
        <w:t>1.上级部门年终检查0.0594万元；2.雅安来巴评审0.07万元；3.接待区县局0.085万元；4.接待区县局学习企业年报0.0869万元；5.接待区县局清理吊销死户企业0.0793万元；6.接待县局工作交流0.0854万元；7.内江特检所来巴交流0.1144万元；8.锦城同创公司对专用设备安装、调试培训接待费0.064万元；9.检测协会来巴接待0.0844万元；10.中测院检测出租车计价器装置0.05万元；11.中测院检测水表装置0.06万元；12.中测院检测汽压表装置0.05万元；13.计量考核接待0.07万元；14.中测院检测温度内装置0.05万元；15.中测院检测卧式光学计装置0.05万元；16.省局</w:t>
      </w:r>
      <w:r>
        <w:rPr>
          <w:rFonts w:hint="eastAsia" w:ascii="仿宋_GB2312" w:eastAsia="仿宋_GB2312"/>
          <w:color w:val="auto"/>
          <w:sz w:val="32"/>
          <w:szCs w:val="32"/>
          <w:lang w:val="en-US" w:eastAsia="zh-CN"/>
        </w:rPr>
        <w:t>下属</w:t>
      </w:r>
      <w:r>
        <w:rPr>
          <w:rFonts w:hint="eastAsia" w:ascii="仿宋_GB2312" w:eastAsia="仿宋_GB2312"/>
          <w:color w:val="000000"/>
          <w:sz w:val="32"/>
          <w:szCs w:val="32"/>
          <w:lang w:val="en-US" w:eastAsia="zh-CN"/>
        </w:rPr>
        <w:t>学校检查0.08万元；17.脱贫攻坚协调会0.061万元；18.中国食品安全报社记者来巴调研0.1436万元；19.北京金和网公司洽谈智慧监管项目0.06万元；20.乐山来巴考察非公党建0.143万元；21.省民企维权来巴检查0.1198万元；22.省行政审批来巴检查0.1万元；23.省发改委来巴考察干部0.0209万元；24.省民营经济处来巴座谈0.2186万元2次</w:t>
      </w:r>
      <w:r>
        <w:rPr>
          <w:rFonts w:hint="eastAsia" w:ascii="仿宋_GB2312" w:eastAsia="仿宋_GB2312"/>
          <w:color w:val="000000"/>
          <w:sz w:val="32"/>
          <w:szCs w:val="32"/>
        </w:rPr>
        <w:t>）</w:t>
      </w:r>
      <w:r>
        <w:rPr>
          <w:rFonts w:hint="eastAsia" w:ascii="仿宋_GB2312" w:eastAsia="仿宋_GB2312"/>
          <w:color w:val="000000"/>
          <w:sz w:val="32"/>
          <w:szCs w:val="32"/>
          <w:lang w:eastAsia="zh-CN"/>
        </w:rPr>
        <w:t>等</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480" w:lineRule="exact"/>
        <w:ind w:left="0" w:leftChars="0" w:right="0" w:rightChars="0" w:firstLine="643" w:firstLineChars="200"/>
        <w:textAlignment w:val="auto"/>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sz w:val="32"/>
          <w:szCs w:val="32"/>
        </w:rPr>
        <w:t>。</w:t>
      </w:r>
      <w:bookmarkStart w:id="50" w:name="_Toc15396610"/>
      <w:bookmarkStart w:id="51" w:name="_Toc15377218"/>
    </w:p>
    <w:p>
      <w:pPr>
        <w:keepNext w:val="0"/>
        <w:keepLines w:val="0"/>
        <w:pageBreakBefore w:val="0"/>
        <w:widowControl w:val="0"/>
        <w:kinsoku/>
        <w:wordWrap/>
        <w:overflowPunct/>
        <w:topLinePunct w:val="0"/>
        <w:bidi w:val="0"/>
        <w:snapToGrid/>
        <w:spacing w:line="480" w:lineRule="exact"/>
        <w:ind w:left="0" w:leftChars="0" w:right="0" w:rightChars="0" w:firstLine="640"/>
        <w:textAlignment w:val="auto"/>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50"/>
      <w:bookmarkEnd w:id="51"/>
    </w:p>
    <w:p>
      <w:pPr>
        <w:keepNext w:val="0"/>
        <w:keepLines w:val="0"/>
        <w:pageBreakBefore w:val="0"/>
        <w:widowControl w:val="0"/>
        <w:kinsoku/>
        <w:wordWrap/>
        <w:overflowPunct/>
        <w:topLinePunct w:val="0"/>
        <w:bidi w:val="0"/>
        <w:snapToGrid/>
        <w:spacing w:line="480" w:lineRule="exact"/>
        <w:ind w:left="0" w:leftChars="0" w:right="0" w:rightChars="0"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keepNext w:val="0"/>
        <w:keepLines w:val="0"/>
        <w:pageBreakBefore w:val="0"/>
        <w:widowControl w:val="0"/>
        <w:numPr>
          <w:ilvl w:val="0"/>
          <w:numId w:val="2"/>
        </w:numPr>
        <w:kinsoku/>
        <w:wordWrap/>
        <w:overflowPunct/>
        <w:topLinePunct w:val="0"/>
        <w:bidi w:val="0"/>
        <w:snapToGrid/>
        <w:spacing w:line="480" w:lineRule="exact"/>
        <w:ind w:left="0" w:leftChars="0" w:right="0" w:rightChars="0" w:firstLine="640"/>
        <w:textAlignment w:val="auto"/>
        <w:outlineLvl w:val="1"/>
        <w:rPr>
          <w:rStyle w:val="27"/>
          <w:rFonts w:ascii="黑体" w:hAnsi="黑体" w:eastAsia="黑体"/>
          <w:b w:val="0"/>
        </w:rPr>
      </w:pPr>
      <w:bookmarkStart w:id="52" w:name="_Toc15377219"/>
      <w:bookmarkStart w:id="53" w:name="_Toc15396611"/>
      <w:r>
        <w:rPr>
          <w:rStyle w:val="27"/>
          <w:rFonts w:hint="eastAsia" w:ascii="黑体" w:hAnsi="黑体" w:eastAsia="黑体"/>
          <w:b w:val="0"/>
        </w:rPr>
        <w:t>国有资本经营预算支出决算情况说明</w:t>
      </w:r>
      <w:bookmarkEnd w:id="52"/>
      <w:bookmarkEnd w:id="53"/>
    </w:p>
    <w:p>
      <w:pPr>
        <w:keepNext w:val="0"/>
        <w:keepLines w:val="0"/>
        <w:pageBreakBefore w:val="0"/>
        <w:widowControl w:val="0"/>
        <w:kinsoku/>
        <w:wordWrap/>
        <w:overflowPunct/>
        <w:topLinePunct w:val="0"/>
        <w:bidi w:val="0"/>
        <w:snapToGrid/>
        <w:spacing w:line="480" w:lineRule="exact"/>
        <w:ind w:left="0" w:leftChars="0" w:right="0" w:rightChars="0" w:firstLine="640"/>
        <w:textAlignment w:val="auto"/>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bidi w:val="0"/>
        <w:snapToGrid/>
        <w:spacing w:line="480" w:lineRule="exact"/>
        <w:ind w:left="0" w:leftChars="0" w:right="0" w:rightChars="0"/>
        <w:textAlignment w:val="auto"/>
        <w:outlineLvl w:val="1"/>
        <w:rPr>
          <w:rStyle w:val="27"/>
          <w:rFonts w:ascii="黑体" w:hAnsi="黑体" w:eastAsia="黑体"/>
        </w:rPr>
      </w:pPr>
      <w:bookmarkStart w:id="54" w:name="_Toc15377221"/>
      <w:bookmarkStart w:id="55" w:name="_Toc15396612"/>
      <w:r>
        <w:rPr>
          <w:rFonts w:hint="eastAsia" w:ascii="黑体" w:hAnsi="黑体" w:eastAsia="黑体"/>
          <w:color w:val="000000"/>
          <w:sz w:val="32"/>
          <w:szCs w:val="32"/>
          <w:lang w:eastAsia="zh-CN"/>
        </w:rPr>
        <w:t>　　</w:t>
      </w:r>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4"/>
      <w:bookmarkEnd w:id="55"/>
    </w:p>
    <w:p>
      <w:pPr>
        <w:keepNext w:val="0"/>
        <w:keepLines w:val="0"/>
        <w:pageBreakBefore w:val="0"/>
        <w:widowControl w:val="0"/>
        <w:kinsoku/>
        <w:wordWrap/>
        <w:overflowPunct/>
        <w:topLinePunct w:val="0"/>
        <w:bidi w:val="0"/>
        <w:snapToGrid/>
        <w:spacing w:line="480" w:lineRule="exact"/>
        <w:ind w:left="0" w:leftChars="0" w:right="0" w:rightChars="0" w:firstLine="643" w:firstLineChars="200"/>
        <w:textAlignment w:val="auto"/>
        <w:outlineLvl w:val="2"/>
        <w:rPr>
          <w:rFonts w:hint="eastAsia" w:ascii="楷体" w:hAnsi="楷体" w:eastAsia="楷体" w:cs="楷体"/>
          <w:color w:val="000000"/>
          <w:sz w:val="32"/>
          <w:szCs w:val="32"/>
        </w:rPr>
      </w:pPr>
      <w:bookmarkStart w:id="56" w:name="_Toc15377222"/>
      <w:r>
        <w:rPr>
          <w:rFonts w:hint="eastAsia" w:ascii="楷体" w:hAnsi="楷体" w:eastAsia="楷体" w:cs="楷体"/>
          <w:b/>
          <w:color w:val="000000"/>
          <w:sz w:val="32"/>
          <w:szCs w:val="32"/>
        </w:rPr>
        <w:t>（一）机关运行经费支出情况</w:t>
      </w:r>
      <w:bookmarkEnd w:id="56"/>
    </w:p>
    <w:p>
      <w:pPr>
        <w:keepNext w:val="0"/>
        <w:keepLines w:val="0"/>
        <w:pageBreakBefore w:val="0"/>
        <w:widowControl w:val="0"/>
        <w:kinsoku/>
        <w:wordWrap/>
        <w:overflowPunct/>
        <w:topLinePunct w:val="0"/>
        <w:bidi w:val="0"/>
        <w:snapToGrid/>
        <w:spacing w:line="480" w:lineRule="exact"/>
        <w:ind w:left="0" w:leftChars="0" w:right="0" w:rightChars="0"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巴中市市场监督管理局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401.16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375.39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2019年机构改革人员划转，压缩一般性支出等</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643" w:firstLineChars="200"/>
        <w:jc w:val="left"/>
        <w:textAlignment w:val="auto"/>
        <w:outlineLvl w:val="2"/>
        <w:rPr>
          <w:rFonts w:hint="eastAsia" w:ascii="楷体" w:hAnsi="楷体" w:eastAsia="楷体" w:cs="楷体"/>
          <w:b/>
          <w:color w:val="000000"/>
          <w:sz w:val="32"/>
          <w:szCs w:val="32"/>
        </w:rPr>
      </w:pPr>
      <w:bookmarkStart w:id="57" w:name="_Toc15377223"/>
      <w:r>
        <w:rPr>
          <w:rFonts w:hint="eastAsia" w:ascii="楷体" w:hAnsi="楷体" w:eastAsia="楷体" w:cs="楷体"/>
          <w:b/>
          <w:color w:val="000000"/>
          <w:sz w:val="32"/>
          <w:szCs w:val="32"/>
        </w:rPr>
        <w:t>（二）政府采购支出情况</w:t>
      </w:r>
      <w:bookmarkEnd w:id="57"/>
    </w:p>
    <w:p>
      <w:pPr>
        <w:keepNext w:val="0"/>
        <w:keepLines w:val="0"/>
        <w:pageBreakBefore w:val="0"/>
        <w:widowControl w:val="0"/>
        <w:kinsoku/>
        <w:wordWrap/>
        <w:overflowPunct/>
        <w:topLinePunct w:val="0"/>
        <w:bidi w:val="0"/>
        <w:snapToGrid/>
        <w:spacing w:line="480" w:lineRule="exact"/>
        <w:ind w:left="0" w:leftChars="0"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巴中市市场监督管理局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14.46</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14.46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机关办公设备和机关食堂购置设备等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643" w:firstLineChars="200"/>
        <w:jc w:val="left"/>
        <w:textAlignment w:val="auto"/>
        <w:outlineLvl w:val="2"/>
        <w:rPr>
          <w:rFonts w:hint="eastAsia" w:ascii="楷体" w:hAnsi="楷体" w:eastAsia="楷体" w:cs="楷体"/>
          <w:b/>
          <w:color w:val="000000"/>
          <w:sz w:val="32"/>
          <w:szCs w:val="32"/>
        </w:rPr>
      </w:pPr>
      <w:bookmarkStart w:id="58" w:name="_Toc15377224"/>
      <w:r>
        <w:rPr>
          <w:rFonts w:hint="eastAsia" w:ascii="楷体" w:hAnsi="楷体" w:eastAsia="楷体" w:cs="楷体"/>
          <w:b/>
          <w:color w:val="000000"/>
          <w:sz w:val="32"/>
          <w:szCs w:val="32"/>
        </w:rPr>
        <w:t>（三）国有资产占有使用情况</w:t>
      </w:r>
      <w:bookmarkEnd w:id="58"/>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特种专业技术用车</w:t>
      </w:r>
      <w:r>
        <w:rPr>
          <w:rFonts w:hint="eastAsia" w:ascii="仿宋_GB2312" w:eastAsia="仿宋_GB2312"/>
          <w:color w:val="000000"/>
          <w:sz w:val="32"/>
          <w:szCs w:val="32"/>
          <w:lang w:val="en-US" w:eastAsia="zh-CN"/>
        </w:rPr>
        <w:t>1辆</w:t>
      </w:r>
      <w:r>
        <w:rPr>
          <w:rFonts w:hint="eastAsia" w:ascii="仿宋_GB2312" w:eastAsia="仿宋_GB2312"/>
          <w:color w:val="000000"/>
          <w:sz w:val="32"/>
          <w:szCs w:val="32"/>
        </w:rPr>
        <w:t>、</w:t>
      </w:r>
      <w:r>
        <w:rPr>
          <w:rFonts w:hint="eastAsia" w:ascii="仿宋_GB2312" w:eastAsia="仿宋_GB2312"/>
          <w:color w:val="000000"/>
          <w:sz w:val="32"/>
          <w:szCs w:val="32"/>
          <w:lang w:eastAsia="zh-CN"/>
        </w:rPr>
        <w:t>执法执勤用车</w:t>
      </w:r>
      <w:r>
        <w:rPr>
          <w:rFonts w:hint="eastAsia" w:ascii="仿宋_GB2312" w:eastAsia="仿宋_GB2312"/>
          <w:color w:val="000000"/>
          <w:sz w:val="32"/>
          <w:szCs w:val="32"/>
          <w:lang w:val="en-US" w:eastAsia="zh-CN"/>
        </w:rPr>
        <w:t>15辆</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0辆</w:t>
      </w:r>
      <w:r>
        <w:rPr>
          <w:rFonts w:hint="eastAsia" w:ascii="仿宋_GB2312" w:eastAsia="仿宋_GB2312"/>
          <w:color w:val="000000"/>
          <w:sz w:val="32"/>
          <w:szCs w:val="32"/>
        </w:rPr>
        <w:t>。</w:t>
      </w:r>
      <w:r>
        <w:rPr>
          <w:rFonts w:hint="eastAsia" w:ascii="仿宋_GB2312" w:eastAsia="仿宋_GB2312"/>
          <w:color w:val="000000"/>
          <w:sz w:val="32"/>
          <w:szCs w:val="32"/>
          <w:lang w:eastAsia="zh-CN"/>
        </w:rPr>
        <w:t>单</w:t>
      </w:r>
      <w:r>
        <w:rPr>
          <w:rFonts w:hint="eastAsia" w:ascii="仿宋_GB2312" w:eastAsia="仿宋_GB2312"/>
          <w:color w:val="000000" w:themeColor="text1"/>
          <w:sz w:val="32"/>
          <w:szCs w:val="32"/>
          <w14:textFill>
            <w14:solidFill>
              <w14:schemeClr w14:val="tx1"/>
            </w14:solidFill>
          </w14:textFill>
        </w:rPr>
        <w:t>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643" w:firstLineChars="200"/>
        <w:jc w:val="left"/>
        <w:textAlignment w:val="auto"/>
        <w:outlineLvl w:val="2"/>
        <w:rPr>
          <w:rFonts w:hint="eastAsia" w:ascii="楷体" w:hAnsi="楷体" w:eastAsia="楷体" w:cs="楷体"/>
          <w:b/>
          <w:color w:val="000000"/>
          <w:sz w:val="32"/>
          <w:szCs w:val="32"/>
        </w:rPr>
      </w:pPr>
      <w:r>
        <w:rPr>
          <w:rFonts w:hint="eastAsia" w:ascii="楷体" w:hAnsi="楷体" w:eastAsia="楷体" w:cs="楷体"/>
          <w:b/>
          <w:color w:val="000000"/>
          <w:sz w:val="32"/>
          <w:szCs w:val="32"/>
        </w:rPr>
        <w:t>（四）预算绩效管理情况</w:t>
      </w:r>
    </w:p>
    <w:p>
      <w:pPr>
        <w:keepNext w:val="0"/>
        <w:keepLines w:val="0"/>
        <w:pageBreakBefore w:val="0"/>
        <w:widowControl w:val="0"/>
        <w:kinsoku/>
        <w:wordWrap/>
        <w:overflowPunct/>
        <w:topLinePunct w:val="0"/>
        <w:bidi w:val="0"/>
        <w:snapToGrid/>
        <w:spacing w:line="48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keepNext w:val="0"/>
        <w:keepLines w:val="0"/>
        <w:pageBreakBefore w:val="0"/>
        <w:widowControl w:val="0"/>
        <w:kinsoku/>
        <w:wordWrap/>
        <w:overflowPunct/>
        <w:topLinePunct w:val="0"/>
        <w:bidi w:val="0"/>
        <w:snapToGrid/>
        <w:spacing w:line="4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eastAsia="zh-CN"/>
        </w:rPr>
        <w:t>整体效益好，发挥了财政资金使用效益和社会效益，公众满意度高</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eastAsia="zh-CN"/>
        </w:rPr>
        <w:t>能全面全程掌握年度项目实施情况，能综合反映工作实绩，能发挥资金最大效应</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w:t>
      </w:r>
      <w:r>
        <w:rPr>
          <w:rFonts w:hint="eastAsia" w:ascii="仿宋" w:hAnsi="仿宋" w:eastAsia="仿宋" w:cs="仿宋"/>
          <w:b/>
          <w:bCs/>
          <w:sz w:val="32"/>
          <w:szCs w:val="32"/>
          <w:lang w:val="en-US" w:eastAsia="zh-CN"/>
        </w:rPr>
        <w:t>　1.</w:t>
      </w:r>
      <w:r>
        <w:rPr>
          <w:rFonts w:hint="eastAsia" w:ascii="仿宋" w:hAnsi="仿宋" w:eastAsia="仿宋" w:cs="仿宋"/>
          <w:b/>
          <w:bCs/>
          <w:sz w:val="32"/>
          <w:szCs w:val="32"/>
        </w:rPr>
        <w:t>项目绩效目标完成情况。</w:t>
      </w:r>
      <w:r>
        <w:rPr>
          <w:rFonts w:hint="eastAsia" w:ascii="仿宋" w:hAnsi="仿宋" w:eastAsia="仿宋" w:cs="仿宋"/>
          <w:b/>
          <w:bCs/>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食品安全抽检经费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计量检衡车测试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食品药品化妆品医疗器械执法办案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商事制度改革及多证合一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专用仪器设备购置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pStyle w:val="6"/>
        <w:keepNext w:val="0"/>
        <w:keepLines w:val="0"/>
        <w:pageBreakBefore w:val="0"/>
        <w:widowControl w:val="0"/>
        <w:kinsoku/>
        <w:wordWrap/>
        <w:overflowPunct/>
        <w:topLinePunct w:val="0"/>
        <w:autoSpaceDE/>
        <w:autoSpaceDN/>
        <w:bidi w:val="0"/>
        <w:adjustRightInd w:val="0"/>
        <w:snapToGrid w:val="0"/>
        <w:spacing w:before="93" w:line="480" w:lineRule="exact"/>
        <w:ind w:left="0" w:leftChars="0" w:right="0" w:rightChars="0" w:firstLine="480" w:firstLineChars="150"/>
        <w:jc w:val="both"/>
        <w:textAlignment w:val="auto"/>
        <w:outlineLvl w:val="9"/>
        <w:rPr>
          <w:rFonts w:hint="eastAsia"/>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食品安全抽检</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hAnsi="仿宋_GB2312" w:cs="仿宋_GB2312"/>
          <w:sz w:val="32"/>
          <w:szCs w:val="32"/>
          <w:lang w:eastAsia="zh-CN"/>
        </w:rPr>
        <w:t>，</w:t>
      </w:r>
      <w:r>
        <w:rPr>
          <w:rFonts w:hint="eastAsia"/>
          <w:bCs/>
          <w:sz w:val="32"/>
          <w:szCs w:val="32"/>
          <w:lang w:eastAsia="zh-CN"/>
        </w:rPr>
        <w:t>各项指标值全部达到预期效果，</w:t>
      </w:r>
      <w:r>
        <w:rPr>
          <w:rFonts w:hint="eastAsia"/>
          <w:bCs/>
          <w:sz w:val="32"/>
          <w:szCs w:val="32"/>
          <w:lang w:val="en-US" w:eastAsia="zh-CN"/>
        </w:rPr>
        <w:t>及时消除了相关风险隐患，</w:t>
      </w:r>
      <w:r>
        <w:rPr>
          <w:rFonts w:hint="eastAsia"/>
          <w:bCs/>
          <w:sz w:val="32"/>
          <w:szCs w:val="32"/>
        </w:rPr>
        <w:t>较好地保障了全市食品安全，提升了全市人民群众健康指数，带来了良好的经济效益和社会效益。</w:t>
      </w:r>
    </w:p>
    <w:p>
      <w:pPr>
        <w:keepNext w:val="0"/>
        <w:keepLines w:val="0"/>
        <w:pageBreakBefore w:val="0"/>
        <w:widowControl w:val="0"/>
        <w:kinsoku/>
        <w:wordWrap/>
        <w:overflowPunct/>
        <w:topLinePunct w:val="0"/>
        <w:autoSpaceDE/>
        <w:autoSpaceDN/>
        <w:bidi w:val="0"/>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计量检衡车测试</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%。通过项目实施，确保高速公路限重和路政治超汽车衡使用的量值准确，保障道路交通安全</w:t>
      </w:r>
      <w:r>
        <w:rPr>
          <w:rFonts w:hint="eastAsia" w:ascii="仿宋_GB2312" w:hAnsi="仿宋_GB2312" w:eastAsia="仿宋_GB2312" w:cs="仿宋_GB2312"/>
          <w:sz w:val="32"/>
          <w:szCs w:val="32"/>
          <w:lang w:eastAsia="zh-CN"/>
        </w:rPr>
        <w:t>，确保社会贸易结算汽车衡的量值准确，维护公平交</w:t>
      </w:r>
      <w:r>
        <w:rPr>
          <w:rFonts w:hint="eastAsia" w:ascii="仿宋_GB2312" w:hAnsi="仿宋_GB2312" w:eastAsia="仿宋_GB2312" w:cs="仿宋_GB2312"/>
          <w:color w:val="auto"/>
          <w:sz w:val="32"/>
          <w:szCs w:val="32"/>
          <w:lang w:val="en-US" w:eastAsia="zh-CN"/>
        </w:rPr>
        <w:t>易</w:t>
      </w:r>
      <w:r>
        <w:rPr>
          <w:rFonts w:hint="eastAsia" w:ascii="仿宋_GB2312" w:hAnsi="仿宋_GB2312" w:eastAsia="仿宋_GB2312" w:cs="仿宋_GB2312"/>
          <w:sz w:val="32"/>
          <w:szCs w:val="32"/>
          <w:lang w:eastAsia="zh-CN"/>
        </w:rPr>
        <w:t>，持续提升社会诚信度</w:t>
      </w:r>
      <w:r>
        <w:rPr>
          <w:rFonts w:hint="eastAsia"/>
          <w:bCs/>
          <w:sz w:val="32"/>
          <w:szCs w:val="32"/>
        </w:rPr>
        <w:t>。</w:t>
      </w:r>
    </w:p>
    <w:p>
      <w:pPr>
        <w:keepNext w:val="0"/>
        <w:keepLines w:val="0"/>
        <w:pageBreakBefore w:val="0"/>
        <w:widowControl w:val="0"/>
        <w:numPr>
          <w:ilvl w:val="0"/>
          <w:numId w:val="3"/>
        </w:numPr>
        <w:kinsoku/>
        <w:wordWrap/>
        <w:overflowPunct/>
        <w:topLinePunct w:val="0"/>
        <w:autoSpaceDE/>
        <w:autoSpaceDN/>
        <w:bidi w:val="0"/>
        <w:spacing w:line="480" w:lineRule="exact"/>
        <w:ind w:left="0" w:leftChars="0" w:right="0" w:rightChars="0" w:firstLine="640" w:firstLineChars="200"/>
        <w:jc w:val="both"/>
        <w:textAlignment w:val="auto"/>
        <w:outlineLvl w:val="9"/>
        <w:rPr>
          <w:rFonts w:hint="eastAsia"/>
          <w:bCs/>
          <w:sz w:val="32"/>
          <w:szCs w:val="32"/>
        </w:rPr>
      </w:pPr>
      <w:r>
        <w:rPr>
          <w:rFonts w:hint="eastAsia" w:ascii="仿宋_GB2312" w:hAnsi="仿宋_GB2312" w:eastAsia="仿宋_GB2312" w:cs="仿宋_GB2312"/>
          <w:sz w:val="32"/>
          <w:szCs w:val="32"/>
          <w:lang w:eastAsia="zh-CN"/>
        </w:rPr>
        <w:t>食品药品化妆品医疗器械执法办案</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%。通过项目实施，确保无重特大药品、医疗器械、餐饮食品、保健品、化妆品安全事故发生，确保群众使用食品药品安全有效</w:t>
      </w:r>
      <w:r>
        <w:rPr>
          <w:rFonts w:hint="eastAsia"/>
          <w:bCs/>
          <w:sz w:val="32"/>
          <w:szCs w:val="32"/>
        </w:rPr>
        <w:t>。</w:t>
      </w:r>
    </w:p>
    <w:p>
      <w:pPr>
        <w:keepNext w:val="0"/>
        <w:keepLines w:val="0"/>
        <w:pageBreakBefore w:val="0"/>
        <w:widowControl w:val="0"/>
        <w:numPr>
          <w:ilvl w:val="0"/>
          <w:numId w:val="3"/>
        </w:numPr>
        <w:kinsoku/>
        <w:wordWrap/>
        <w:overflowPunct/>
        <w:topLinePunct w:val="0"/>
        <w:autoSpaceDE/>
        <w:autoSpaceDN/>
        <w:bidi w:val="0"/>
        <w:spacing w:line="480" w:lineRule="exact"/>
        <w:ind w:left="0" w:leftChars="0" w:right="0" w:rightChars="0" w:firstLine="640" w:firstLineChars="200"/>
        <w:jc w:val="both"/>
        <w:textAlignment w:val="auto"/>
        <w:outlineLvl w:val="9"/>
        <w:rPr>
          <w:rFonts w:hint="eastAsia"/>
          <w:bCs/>
          <w:sz w:val="32"/>
          <w:szCs w:val="32"/>
        </w:rPr>
      </w:pPr>
      <w:r>
        <w:rPr>
          <w:rFonts w:hint="eastAsia" w:ascii="仿宋_GB2312" w:hAnsi="仿宋_GB2312" w:eastAsia="仿宋_GB2312" w:cs="仿宋_GB2312"/>
          <w:sz w:val="32"/>
          <w:szCs w:val="32"/>
          <w:lang w:eastAsia="zh-CN"/>
        </w:rPr>
        <w:t>商事制度改革及多证合一</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%。通过项目实施，更好的服务市场主体，促进市属市场主体全面实现多证合一</w:t>
      </w:r>
      <w:r>
        <w:rPr>
          <w:rFonts w:hint="eastAsia"/>
          <w:bCs/>
          <w:sz w:val="32"/>
          <w:szCs w:val="32"/>
        </w:rPr>
        <w:t>。</w:t>
      </w:r>
    </w:p>
    <w:p>
      <w:pPr>
        <w:keepNext w:val="0"/>
        <w:keepLines w:val="0"/>
        <w:pageBreakBefore w:val="0"/>
        <w:widowControl w:val="0"/>
        <w:numPr>
          <w:ilvl w:val="0"/>
          <w:numId w:val="3"/>
        </w:numPr>
        <w:kinsoku/>
        <w:wordWrap/>
        <w:overflowPunct/>
        <w:topLinePunct w:val="0"/>
        <w:autoSpaceDE/>
        <w:autoSpaceDN/>
        <w:bidi w:val="0"/>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专用仪器设备购置</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%。通过项目实施，提高检验检测准确性，提高技术保管能力，确保特种设备安全生产</w:t>
      </w:r>
      <w:r>
        <w:rPr>
          <w:rFonts w:hint="eastAsia"/>
          <w:bCs/>
          <w:sz w:val="32"/>
          <w:szCs w:val="32"/>
        </w:rPr>
        <w:t>。</w:t>
      </w:r>
    </w:p>
    <w:p>
      <w:pPr>
        <w:pStyle w:val="2"/>
        <w:keepNext w:val="0"/>
        <w:keepLines w:val="0"/>
        <w:pageBreakBefore w:val="0"/>
        <w:widowControl w:val="0"/>
        <w:kinsoku/>
        <w:wordWrap/>
        <w:overflowPunct/>
        <w:topLinePunct w:val="0"/>
        <w:autoSpaceDE/>
        <w:autoSpaceDN/>
        <w:bidi w:val="0"/>
        <w:spacing w:line="480" w:lineRule="exact"/>
        <w:ind w:left="0" w:leftChars="0" w:right="0" w:rightChars="0"/>
        <w:jc w:val="both"/>
        <w:textAlignment w:val="auto"/>
        <w:outlineLvl w:val="9"/>
        <w:rPr>
          <w:rFonts w:hint="eastAsia"/>
          <w:bCs/>
          <w:sz w:val="32"/>
          <w:szCs w:val="32"/>
        </w:rPr>
      </w:pPr>
    </w:p>
    <w:p>
      <w:pPr>
        <w:rPr>
          <w:rFonts w:hint="eastAsia"/>
          <w:bCs/>
          <w:sz w:val="32"/>
          <w:szCs w:val="32"/>
        </w:rPr>
      </w:pPr>
    </w:p>
    <w:p>
      <w:pPr>
        <w:pStyle w:val="2"/>
        <w:rPr>
          <w:rFonts w:hint="eastAsia"/>
          <w:bCs/>
          <w:sz w:val="32"/>
          <w:szCs w:val="32"/>
        </w:rPr>
      </w:pPr>
    </w:p>
    <w:p>
      <w:pPr>
        <w:rPr>
          <w:rFonts w:hint="eastAsia"/>
          <w:bCs/>
          <w:sz w:val="32"/>
          <w:szCs w:val="32"/>
        </w:rPr>
      </w:pPr>
    </w:p>
    <w:p>
      <w:pPr>
        <w:pStyle w:val="2"/>
        <w:rPr>
          <w:rFonts w:hint="eastAsia"/>
          <w:bCs/>
          <w:sz w:val="32"/>
          <w:szCs w:val="32"/>
        </w:rPr>
      </w:pPr>
    </w:p>
    <w:p>
      <w:pPr>
        <w:rPr>
          <w:rFonts w:hint="eastAsia"/>
        </w:rPr>
      </w:pPr>
    </w:p>
    <w:tbl>
      <w:tblPr>
        <w:tblStyle w:val="17"/>
        <w:tblpPr w:leftFromText="180" w:rightFromText="180" w:vertAnchor="text" w:horzAnchor="page" w:tblpXSpec="center" w:tblpY="423"/>
        <w:tblOverlap w:val="never"/>
        <w:tblW w:w="1162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gridCol w:w="1660"/>
      </w:tblGrid>
      <w:tr>
        <w:tblPrEx>
          <w:tblLayout w:type="fixed"/>
          <w:tblCellMar>
            <w:top w:w="0" w:type="dxa"/>
            <w:left w:w="0" w:type="dxa"/>
            <w:bottom w:w="0" w:type="dxa"/>
            <w:right w:w="0" w:type="dxa"/>
          </w:tblCellMar>
        </w:tblPrEx>
        <w:trPr>
          <w:gridAfter w:val="1"/>
          <w:wAfter w:w="1660" w:type="dxa"/>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lang w:eastAsia="zh-CN"/>
              </w:rPr>
              <w:t>项</w:t>
            </w:r>
            <w:r>
              <w:rPr>
                <w:rFonts w:hint="eastAsia" w:ascii="宋体" w:hAnsi="宋体" w:cs="宋体"/>
                <w:b/>
                <w:bCs/>
                <w:color w:val="000000"/>
                <w:kern w:val="0"/>
                <w:sz w:val="36"/>
                <w:szCs w:val="36"/>
              </w:rPr>
              <w:t>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食品安全抽检经费</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市市场监督管理局</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w:t>
            </w:r>
          </w:p>
        </w:tc>
      </w:tr>
      <w:tr>
        <w:tblPrEx>
          <w:tblLayout w:type="fixed"/>
          <w:tblCellMar>
            <w:top w:w="0" w:type="dxa"/>
            <w:left w:w="0" w:type="dxa"/>
            <w:bottom w:w="0" w:type="dxa"/>
            <w:right w:w="0" w:type="dxa"/>
          </w:tblCellMar>
        </w:tblPrEx>
        <w:trPr>
          <w:gridAfter w:val="1"/>
          <w:wAfter w:w="1660" w:type="dxa"/>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gridAfter w:val="1"/>
          <w:wAfter w:w="1660" w:type="dxa"/>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rPr>
              <w:t>全市201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年计划实施市级食品安全</w:t>
            </w:r>
            <w:r>
              <w:rPr>
                <w:rFonts w:hint="eastAsia" w:ascii="仿宋_GB2312" w:hAnsi="仿宋_GB2312" w:eastAsia="仿宋_GB2312" w:cs="仿宋_GB2312"/>
                <w:sz w:val="24"/>
                <w:szCs w:val="24"/>
                <w:lang w:eastAsia="zh-CN"/>
              </w:rPr>
              <w:t>监督</w:t>
            </w:r>
            <w:r>
              <w:rPr>
                <w:rFonts w:hint="eastAsia" w:ascii="仿宋_GB2312" w:hAnsi="仿宋_GB2312" w:eastAsia="仿宋_GB2312" w:cs="仿宋_GB2312"/>
                <w:sz w:val="24"/>
                <w:szCs w:val="24"/>
              </w:rPr>
              <w:t>抽检</w:t>
            </w:r>
            <w:r>
              <w:rPr>
                <w:rFonts w:hint="eastAsia" w:ascii="仿宋_GB2312" w:hAnsi="仿宋_GB2312" w:eastAsia="仿宋_GB2312" w:cs="仿宋_GB2312"/>
                <w:sz w:val="24"/>
                <w:szCs w:val="24"/>
                <w:lang w:val="en-US" w:eastAsia="zh-CN"/>
              </w:rPr>
              <w:t>1000</w:t>
            </w:r>
            <w:r>
              <w:rPr>
                <w:rFonts w:hint="eastAsia" w:ascii="仿宋_GB2312" w:hAnsi="仿宋_GB2312" w:eastAsia="仿宋_GB2312" w:cs="仿宋_GB2312"/>
                <w:sz w:val="24"/>
                <w:szCs w:val="24"/>
              </w:rPr>
              <w:t>批次，</w:t>
            </w:r>
            <w:r>
              <w:rPr>
                <w:rFonts w:hint="eastAsia" w:ascii="仿宋_GB2312" w:hAnsi="仿宋_GB2312" w:eastAsia="仿宋_GB2312" w:cs="仿宋_GB2312"/>
                <w:sz w:val="24"/>
                <w:szCs w:val="24"/>
                <w:lang w:val="en-US" w:eastAsia="zh-CN"/>
              </w:rPr>
              <w:t>在2019年12月31日前</w:t>
            </w:r>
            <w:r>
              <w:rPr>
                <w:rFonts w:hint="eastAsia" w:ascii="仿宋_GB2312" w:hAnsi="仿宋_GB2312" w:eastAsia="仿宋_GB2312" w:cs="仿宋_GB2312"/>
                <w:sz w:val="24"/>
                <w:szCs w:val="24"/>
                <w:lang w:eastAsia="zh-CN"/>
              </w:rPr>
              <w:t>全部完成。</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s="仿宋"/>
                <w:sz w:val="24"/>
                <w:szCs w:val="24"/>
                <w:lang w:val="en-US" w:eastAsia="zh-CN"/>
              </w:rPr>
              <w:t>实现了</w:t>
            </w:r>
            <w:r>
              <w:rPr>
                <w:rFonts w:hint="eastAsia" w:ascii="仿宋" w:hAnsi="仿宋" w:eastAsia="仿宋" w:cs="仿宋"/>
                <w:sz w:val="24"/>
                <w:szCs w:val="24"/>
              </w:rPr>
              <w:t>市级监督抽检</w:t>
            </w:r>
            <w:r>
              <w:rPr>
                <w:rFonts w:hint="eastAsia" w:ascii="仿宋" w:hAnsi="仿宋" w:eastAsia="仿宋" w:cs="仿宋"/>
                <w:sz w:val="24"/>
                <w:szCs w:val="24"/>
                <w:lang w:val="en-US" w:eastAsia="zh-CN"/>
              </w:rPr>
              <w:t>10</w:t>
            </w:r>
            <w:r>
              <w:rPr>
                <w:rFonts w:hint="eastAsia" w:ascii="仿宋" w:hAnsi="仿宋" w:eastAsia="仿宋" w:cs="仿宋"/>
                <w:sz w:val="24"/>
                <w:szCs w:val="24"/>
              </w:rPr>
              <w:t>00批</w:t>
            </w:r>
            <w:r>
              <w:rPr>
                <w:rFonts w:hint="eastAsia" w:ascii="仿宋_GB2312" w:hAnsi="仿宋_GB2312" w:eastAsia="仿宋_GB2312" w:cs="仿宋_GB2312"/>
                <w:sz w:val="24"/>
                <w:szCs w:val="24"/>
              </w:rPr>
              <w:t>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通过</w:t>
            </w:r>
            <w:r>
              <w:rPr>
                <w:rFonts w:hint="eastAsia" w:ascii="仿宋_GB2312" w:hAnsi="仿宋_GB2312" w:eastAsia="仿宋_GB2312" w:cs="仿宋_GB2312"/>
                <w:bCs/>
                <w:sz w:val="24"/>
                <w:szCs w:val="24"/>
              </w:rPr>
              <w:t>及时发现食品安全隐患，控制食品安全风险，全市食品安全总体状况继续保持有序、可控、稳中向好的局面。</w:t>
            </w:r>
          </w:p>
        </w:tc>
      </w:tr>
      <w:tr>
        <w:tblPrEx>
          <w:tblLayout w:type="fixed"/>
          <w:tblCellMar>
            <w:top w:w="0" w:type="dxa"/>
            <w:left w:w="0" w:type="dxa"/>
            <w:bottom w:w="0" w:type="dxa"/>
            <w:right w:w="0" w:type="dxa"/>
          </w:tblCellMar>
        </w:tblPrEx>
        <w:trPr>
          <w:gridAfter w:val="1"/>
          <w:wAfter w:w="1660" w:type="dxa"/>
          <w:trHeight w:val="83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1660" w:type="dxa"/>
          <w:trHeight w:val="7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市级</w:t>
            </w:r>
            <w:r>
              <w:rPr>
                <w:rFonts w:hint="eastAsia" w:ascii="宋体" w:hAnsi="宋体" w:cs="宋体"/>
                <w:color w:val="000000"/>
                <w:sz w:val="24"/>
              </w:rPr>
              <w:t>食品抽检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1000批次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1000批次</w:t>
            </w:r>
          </w:p>
        </w:tc>
      </w:tr>
      <w:tr>
        <w:tblPrEx>
          <w:tblLayout w:type="fixed"/>
          <w:tblCellMar>
            <w:top w:w="0" w:type="dxa"/>
            <w:left w:w="0" w:type="dxa"/>
            <w:bottom w:w="0" w:type="dxa"/>
            <w:right w:w="0" w:type="dxa"/>
          </w:tblCellMar>
        </w:tblPrEx>
        <w:trPr>
          <w:gridAfter w:val="1"/>
          <w:wAfter w:w="1660" w:type="dxa"/>
          <w:trHeight w:val="8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bCs/>
                <w:sz w:val="24"/>
                <w:szCs w:val="24"/>
                <w:lang w:eastAsia="zh-CN"/>
              </w:rPr>
              <w:t>发生重大</w:t>
            </w:r>
            <w:r>
              <w:rPr>
                <w:rFonts w:hint="eastAsia" w:ascii="仿宋_GB2312" w:hAnsi="仿宋_GB2312" w:eastAsia="仿宋_GB2312" w:cs="仿宋_GB2312"/>
                <w:bCs/>
                <w:sz w:val="24"/>
                <w:szCs w:val="24"/>
              </w:rPr>
              <w:t>食品安全</w:t>
            </w:r>
            <w:r>
              <w:rPr>
                <w:rFonts w:hint="eastAsia" w:ascii="仿宋_GB2312" w:hAnsi="仿宋_GB2312" w:eastAsia="仿宋_GB2312" w:cs="仿宋_GB2312"/>
                <w:bCs/>
                <w:sz w:val="24"/>
                <w:szCs w:val="24"/>
                <w:lang w:eastAsia="zh-CN"/>
              </w:rPr>
              <w:t>事件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7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完成食品安全抽检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2020年12月31日前</w:t>
            </w:r>
          </w:p>
        </w:tc>
      </w:tr>
      <w:tr>
        <w:tblPrEx>
          <w:tblLayout w:type="fixed"/>
          <w:tblCellMar>
            <w:top w:w="0" w:type="dxa"/>
            <w:left w:w="0" w:type="dxa"/>
            <w:bottom w:w="0" w:type="dxa"/>
            <w:right w:w="0" w:type="dxa"/>
          </w:tblCellMar>
        </w:tblPrEx>
        <w:trPr>
          <w:gridAfter w:val="1"/>
          <w:wAfter w:w="1660" w:type="dxa"/>
          <w:trHeight w:val="7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样本费及检测费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80万元</w:t>
            </w:r>
          </w:p>
        </w:tc>
      </w:tr>
      <w:tr>
        <w:tblPrEx>
          <w:tblLayout w:type="fixed"/>
          <w:tblCellMar>
            <w:top w:w="0" w:type="dxa"/>
            <w:left w:w="0" w:type="dxa"/>
            <w:bottom w:w="0" w:type="dxa"/>
            <w:right w:w="0" w:type="dxa"/>
          </w:tblCellMar>
        </w:tblPrEx>
        <w:trPr>
          <w:gridAfter w:val="1"/>
          <w:wAfter w:w="1660" w:type="dxa"/>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1"/>
                <w:szCs w:val="21"/>
                <w:lang w:eastAsia="zh-CN"/>
              </w:rPr>
              <w:t>保障全市公众饮食安全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大力提升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大力提升</w:t>
            </w:r>
          </w:p>
        </w:tc>
      </w:tr>
      <w:tr>
        <w:tblPrEx>
          <w:tblLayout w:type="fixed"/>
          <w:tblCellMar>
            <w:top w:w="0" w:type="dxa"/>
            <w:left w:w="0" w:type="dxa"/>
            <w:bottom w:w="0" w:type="dxa"/>
            <w:right w:w="0" w:type="dxa"/>
          </w:tblCellMar>
        </w:tblPrEx>
        <w:trPr>
          <w:gridAfter w:val="1"/>
          <w:wAfter w:w="1660" w:type="dxa"/>
          <w:trHeight w:val="4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1"/>
                <w:szCs w:val="21"/>
                <w:lang w:eastAsia="zh-CN"/>
              </w:rPr>
              <w:t>保障全市公众饮食安全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大力提升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大力提升</w:t>
            </w:r>
          </w:p>
        </w:tc>
      </w:tr>
      <w:tr>
        <w:tblPrEx>
          <w:tblLayout w:type="fixed"/>
          <w:tblCellMar>
            <w:top w:w="0" w:type="dxa"/>
            <w:left w:w="0" w:type="dxa"/>
            <w:bottom w:w="0" w:type="dxa"/>
            <w:right w:w="0" w:type="dxa"/>
          </w:tblCellMar>
        </w:tblPrEx>
        <w:trPr>
          <w:gridAfter w:val="1"/>
          <w:wAfter w:w="1660" w:type="dxa"/>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Times New Roman" w:hAnsi="Times New Roman" w:eastAsia="仿宋_GB2312" w:cs="Times New Roman"/>
                <w:spacing w:val="-4"/>
                <w:sz w:val="24"/>
                <w:szCs w:val="24"/>
              </w:rPr>
              <w:t>守住食品安全生产底线</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63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98％</w:t>
            </w:r>
          </w:p>
        </w:tc>
      </w:tr>
      <w:tr>
        <w:tblPrEx>
          <w:tblLayout w:type="fixed"/>
          <w:tblCellMar>
            <w:top w:w="0" w:type="dxa"/>
            <w:left w:w="0" w:type="dxa"/>
            <w:bottom w:w="0" w:type="dxa"/>
            <w:right w:w="0" w:type="dxa"/>
          </w:tblCellMar>
        </w:tblPrEx>
        <w:trPr>
          <w:gridAfter w:val="1"/>
          <w:wAfter w:w="1660" w:type="dxa"/>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lang w:eastAsia="zh-CN"/>
              </w:rPr>
              <w:t>项</w:t>
            </w:r>
            <w:r>
              <w:rPr>
                <w:rFonts w:hint="eastAsia" w:ascii="宋体" w:hAnsi="宋体" w:cs="宋体"/>
                <w:b/>
                <w:bCs/>
                <w:color w:val="000000"/>
                <w:kern w:val="0"/>
                <w:sz w:val="36"/>
                <w:szCs w:val="36"/>
              </w:rPr>
              <w:t>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gridAfter w:val="1"/>
          <w:wAfter w:w="1660" w:type="dxa"/>
          <w:trHeight w:val="49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仿宋_GB2312" w:hAnsi="仿宋_GB2312" w:eastAsia="仿宋_GB2312" w:cs="仿宋_GB2312"/>
                <w:sz w:val="28"/>
                <w:szCs w:val="28"/>
                <w:lang w:eastAsia="zh-CN"/>
              </w:rPr>
              <w:t>计量检衡车测试</w:t>
            </w:r>
            <w:r>
              <w:rPr>
                <w:rFonts w:hint="eastAsia" w:ascii="仿宋_GB2312" w:hAnsi="仿宋_GB2312" w:eastAsia="仿宋_GB2312" w:cs="仿宋_GB2312"/>
                <w:sz w:val="28"/>
                <w:szCs w:val="28"/>
              </w:rPr>
              <w:t>项目</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巴中市计量检定测试所</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w:t>
            </w:r>
          </w:p>
        </w:tc>
      </w:tr>
      <w:tr>
        <w:tblPrEx>
          <w:tblLayout w:type="fixed"/>
          <w:tblCellMar>
            <w:top w:w="0" w:type="dxa"/>
            <w:left w:w="0" w:type="dxa"/>
            <w:bottom w:w="0" w:type="dxa"/>
            <w:right w:w="0" w:type="dxa"/>
          </w:tblCellMar>
        </w:tblPrEx>
        <w:trPr>
          <w:gridAfter w:val="1"/>
          <w:wAfter w:w="1660" w:type="dxa"/>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gridAfter w:val="1"/>
          <w:wAfter w:w="1660" w:type="dxa"/>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2019年，按规定</w:t>
            </w:r>
            <w:r>
              <w:rPr>
                <w:rFonts w:hint="eastAsia" w:ascii="宋体" w:hAnsi="宋体" w:cs="宋体"/>
                <w:color w:val="000000"/>
                <w:sz w:val="24"/>
              </w:rPr>
              <w:t>完成全市范围(含高速公路)大中型汽车计重衡器的强制检定和投诉处理任务</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2019年，按规定全部</w:t>
            </w:r>
            <w:r>
              <w:rPr>
                <w:rFonts w:hint="eastAsia" w:ascii="宋体" w:hAnsi="宋体" w:cs="宋体"/>
                <w:color w:val="000000"/>
                <w:sz w:val="24"/>
              </w:rPr>
              <w:t>完成全市范围(含高速公路)大中型汽车计重衡器的强制检定和投诉处理任务</w:t>
            </w:r>
            <w:r>
              <w:rPr>
                <w:rFonts w:hint="eastAsia" w:ascii="宋体" w:hAnsi="宋体" w:cs="宋体"/>
                <w:color w:val="000000"/>
                <w:sz w:val="24"/>
                <w:lang w:eastAsia="zh-CN"/>
              </w:rPr>
              <w:t>。</w:t>
            </w:r>
          </w:p>
        </w:tc>
      </w:tr>
      <w:tr>
        <w:tblPrEx>
          <w:tblLayout w:type="fixed"/>
          <w:tblCellMar>
            <w:top w:w="0" w:type="dxa"/>
            <w:left w:w="0" w:type="dxa"/>
            <w:bottom w:w="0" w:type="dxa"/>
            <w:right w:w="0" w:type="dxa"/>
          </w:tblCellMar>
        </w:tblPrEx>
        <w:trPr>
          <w:gridAfter w:val="1"/>
          <w:wAfter w:w="1660" w:type="dxa"/>
          <w:trHeight w:val="83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1660" w:type="dxa"/>
          <w:trHeight w:val="7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1"/>
                <w:szCs w:val="21"/>
                <w:lang w:val="en-US" w:eastAsia="zh-CN"/>
              </w:rPr>
              <w:t>1.</w:t>
            </w:r>
            <w:r>
              <w:rPr>
                <w:rFonts w:hint="eastAsia" w:ascii="宋体" w:hAnsi="宋体" w:cs="宋体"/>
                <w:color w:val="000000"/>
                <w:sz w:val="21"/>
                <w:szCs w:val="21"/>
              </w:rPr>
              <w:t>速公路限重汽车衡;</w:t>
            </w:r>
            <w:r>
              <w:rPr>
                <w:rFonts w:hint="eastAsia" w:ascii="宋体" w:hAnsi="宋体" w:cs="宋体"/>
                <w:color w:val="000000"/>
                <w:sz w:val="21"/>
                <w:szCs w:val="21"/>
                <w:lang w:val="en-US" w:eastAsia="zh-CN"/>
              </w:rPr>
              <w:t>2.</w:t>
            </w:r>
            <w:r>
              <w:rPr>
                <w:rFonts w:hint="eastAsia" w:ascii="宋体" w:hAnsi="宋体" w:cs="宋体"/>
                <w:color w:val="000000"/>
                <w:sz w:val="21"/>
                <w:szCs w:val="21"/>
              </w:rPr>
              <w:t>路政治超汽车衡;</w:t>
            </w:r>
            <w:r>
              <w:rPr>
                <w:rFonts w:hint="eastAsia" w:ascii="宋体" w:hAnsi="宋体" w:cs="宋体"/>
                <w:color w:val="000000"/>
                <w:sz w:val="21"/>
                <w:szCs w:val="21"/>
                <w:lang w:val="en-US" w:eastAsia="zh-CN"/>
              </w:rPr>
              <w:t>3.</w:t>
            </w:r>
            <w:r>
              <w:rPr>
                <w:rFonts w:hint="eastAsia" w:ascii="宋体" w:hAnsi="宋体" w:cs="宋体"/>
                <w:color w:val="000000"/>
                <w:sz w:val="21"/>
                <w:szCs w:val="21"/>
              </w:rPr>
              <w:t>社会贸易结算汽车衡;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rPr>
              <w:t>92台次</w:t>
            </w:r>
            <w:r>
              <w:rPr>
                <w:rFonts w:hint="eastAsia" w:ascii="宋体" w:hAnsi="宋体" w:cs="宋体"/>
                <w:color w:val="000000"/>
                <w:sz w:val="24"/>
                <w:lang w:eastAsia="zh-CN"/>
              </w:rPr>
              <w:t>；</w:t>
            </w:r>
            <w:r>
              <w:rPr>
                <w:rFonts w:hint="eastAsia" w:ascii="宋体" w:hAnsi="宋体" w:cs="宋体"/>
                <w:color w:val="000000"/>
                <w:sz w:val="24"/>
              </w:rPr>
              <w:t>36台次</w:t>
            </w:r>
            <w:r>
              <w:rPr>
                <w:rFonts w:hint="eastAsia" w:ascii="宋体" w:hAnsi="宋体" w:cs="宋体"/>
                <w:color w:val="000000"/>
                <w:sz w:val="24"/>
                <w:lang w:eastAsia="zh-CN"/>
              </w:rPr>
              <w:t>；</w:t>
            </w:r>
            <w:r>
              <w:rPr>
                <w:rFonts w:hint="eastAsia" w:ascii="宋体" w:hAnsi="宋体" w:cs="宋体"/>
                <w:color w:val="000000"/>
                <w:sz w:val="24"/>
              </w:rPr>
              <w:t>107台次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rPr>
              <w:t>92台次</w:t>
            </w:r>
            <w:r>
              <w:rPr>
                <w:rFonts w:hint="eastAsia" w:ascii="宋体" w:hAnsi="宋体" w:cs="宋体"/>
                <w:color w:val="000000"/>
                <w:sz w:val="24"/>
                <w:lang w:eastAsia="zh-CN"/>
              </w:rPr>
              <w:t>；</w:t>
            </w:r>
            <w:r>
              <w:rPr>
                <w:rFonts w:hint="eastAsia" w:ascii="宋体" w:hAnsi="宋体" w:cs="宋体"/>
                <w:color w:val="000000"/>
                <w:sz w:val="24"/>
              </w:rPr>
              <w:t>36台次</w:t>
            </w:r>
            <w:r>
              <w:rPr>
                <w:rFonts w:hint="eastAsia" w:ascii="宋体" w:hAnsi="宋体" w:cs="宋体"/>
                <w:color w:val="000000"/>
                <w:sz w:val="24"/>
                <w:lang w:eastAsia="zh-CN"/>
              </w:rPr>
              <w:t>；</w:t>
            </w:r>
            <w:r>
              <w:rPr>
                <w:rFonts w:hint="eastAsia" w:ascii="宋体" w:hAnsi="宋体" w:cs="宋体"/>
                <w:color w:val="000000"/>
                <w:sz w:val="24"/>
              </w:rPr>
              <w:t>107台次</w:t>
            </w:r>
          </w:p>
        </w:tc>
      </w:tr>
      <w:tr>
        <w:tblPrEx>
          <w:tblLayout w:type="fixed"/>
          <w:tblCellMar>
            <w:top w:w="0" w:type="dxa"/>
            <w:left w:w="0" w:type="dxa"/>
            <w:bottom w:w="0" w:type="dxa"/>
            <w:right w:w="0" w:type="dxa"/>
          </w:tblCellMar>
        </w:tblPrEx>
        <w:trPr>
          <w:gridAfter w:val="1"/>
          <w:wAfter w:w="1660" w:type="dxa"/>
          <w:trHeight w:val="8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rPr>
              <w:t>符合JJG907-2006《动态公路车辆自动衡器》、JJG539-2016《数字指示秤》要求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达到标准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达到标准</w:t>
            </w:r>
          </w:p>
        </w:tc>
      </w:tr>
      <w:tr>
        <w:tblPrEx>
          <w:tblLayout w:type="fixed"/>
          <w:tblCellMar>
            <w:top w:w="0" w:type="dxa"/>
            <w:left w:w="0" w:type="dxa"/>
            <w:bottom w:w="0" w:type="dxa"/>
            <w:right w:w="0" w:type="dxa"/>
          </w:tblCellMar>
        </w:tblPrEx>
        <w:trPr>
          <w:gridAfter w:val="1"/>
          <w:wAfter w:w="1660" w:type="dxa"/>
          <w:trHeight w:val="7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检定周期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18"/>
                <w:szCs w:val="18"/>
                <w:lang w:val="en-US" w:eastAsia="zh-CN"/>
              </w:rPr>
              <w:t>使计重汽车衡符合检定有效期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符合检定有效期</w:t>
            </w:r>
          </w:p>
        </w:tc>
      </w:tr>
      <w:tr>
        <w:tblPrEx>
          <w:tblLayout w:type="fixed"/>
          <w:tblCellMar>
            <w:top w:w="0" w:type="dxa"/>
            <w:left w:w="0" w:type="dxa"/>
            <w:bottom w:w="0" w:type="dxa"/>
            <w:right w:w="0" w:type="dxa"/>
          </w:tblCellMar>
        </w:tblPrEx>
        <w:trPr>
          <w:gridAfter w:val="1"/>
          <w:wAfter w:w="1660" w:type="dxa"/>
          <w:trHeight w:val="7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维持装置正常运行年需费用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17万元</w:t>
            </w:r>
          </w:p>
        </w:tc>
      </w:tr>
      <w:tr>
        <w:tblPrEx>
          <w:tblLayout w:type="fixed"/>
          <w:tblCellMar>
            <w:top w:w="0" w:type="dxa"/>
            <w:left w:w="0" w:type="dxa"/>
            <w:bottom w:w="0" w:type="dxa"/>
            <w:right w:w="0" w:type="dxa"/>
          </w:tblCellMar>
        </w:tblPrEx>
        <w:trPr>
          <w:gridAfter w:val="1"/>
          <w:wAfter w:w="1660" w:type="dxa"/>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18"/>
                <w:szCs w:val="18"/>
                <w:lang w:eastAsia="zh-CN"/>
              </w:rPr>
              <w:t>确保高速公路限重和路政治超汽车衡使用的量值准确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大力提高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整体提高</w:t>
            </w:r>
          </w:p>
        </w:tc>
      </w:tr>
      <w:tr>
        <w:tblPrEx>
          <w:tblLayout w:type="fixed"/>
          <w:tblCellMar>
            <w:top w:w="0" w:type="dxa"/>
            <w:left w:w="0" w:type="dxa"/>
            <w:bottom w:w="0" w:type="dxa"/>
            <w:right w:w="0" w:type="dxa"/>
          </w:tblCellMar>
        </w:tblPrEx>
        <w:trPr>
          <w:gridAfter w:val="1"/>
          <w:wAfter w:w="1660" w:type="dxa"/>
          <w:trHeight w:val="4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及时处理涉衡投诉,防范群体性事件发生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eastAsia="仿宋_GB2312" w:cs="Times New Roman"/>
                <w:spacing w:val="-4"/>
                <w:sz w:val="24"/>
                <w:szCs w:val="24"/>
                <w:lang w:val="en-US" w:eastAsia="zh-CN"/>
              </w:rPr>
              <w:t xml:space="preserve">持续提升社会诚信度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全面提升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全面提升 </w:t>
            </w:r>
          </w:p>
        </w:tc>
      </w:tr>
      <w:tr>
        <w:tblPrEx>
          <w:tblLayout w:type="fixed"/>
          <w:tblCellMar>
            <w:top w:w="0" w:type="dxa"/>
            <w:left w:w="0" w:type="dxa"/>
            <w:bottom w:w="0" w:type="dxa"/>
            <w:right w:w="0" w:type="dxa"/>
          </w:tblCellMar>
        </w:tblPrEx>
        <w:trPr>
          <w:gridAfter w:val="1"/>
          <w:wAfter w:w="1660" w:type="dxa"/>
          <w:trHeight w:val="63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96％</w:t>
            </w:r>
          </w:p>
        </w:tc>
      </w:tr>
      <w:tr>
        <w:tblPrEx>
          <w:tblLayout w:type="fixed"/>
          <w:tblCellMar>
            <w:top w:w="0" w:type="dxa"/>
            <w:left w:w="0" w:type="dxa"/>
            <w:bottom w:w="0" w:type="dxa"/>
            <w:right w:w="0" w:type="dxa"/>
          </w:tblCellMar>
        </w:tblPrEx>
        <w:trPr>
          <w:gridAfter w:val="1"/>
          <w:wAfter w:w="1660" w:type="dxa"/>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lang w:eastAsia="zh-CN"/>
              </w:rPr>
              <w:t>项</w:t>
            </w:r>
            <w:r>
              <w:rPr>
                <w:rFonts w:hint="eastAsia" w:ascii="宋体" w:hAnsi="宋体" w:cs="宋体"/>
                <w:b/>
                <w:bCs/>
                <w:color w:val="000000"/>
                <w:kern w:val="0"/>
                <w:sz w:val="36"/>
                <w:szCs w:val="36"/>
              </w:rPr>
              <w:t>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食品、药品、化妆品及医疗器械执法办案经费</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市市场监管综合行政执法支队</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w:t>
            </w:r>
          </w:p>
        </w:tc>
      </w:tr>
      <w:tr>
        <w:tblPrEx>
          <w:tblLayout w:type="fixed"/>
          <w:tblCellMar>
            <w:top w:w="0" w:type="dxa"/>
            <w:left w:w="0" w:type="dxa"/>
            <w:bottom w:w="0" w:type="dxa"/>
            <w:right w:w="0" w:type="dxa"/>
          </w:tblCellMar>
        </w:tblPrEx>
        <w:trPr>
          <w:gridAfter w:val="1"/>
          <w:wAfter w:w="1660" w:type="dxa"/>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gridAfter w:val="1"/>
          <w:wAfter w:w="1660" w:type="dxa"/>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仿宋_GB2312" w:hAnsi="仿宋_GB2312" w:eastAsia="仿宋_GB2312" w:cs="仿宋_GB2312"/>
                <w:sz w:val="21"/>
                <w:szCs w:val="21"/>
                <w:lang w:val="en-US" w:eastAsia="zh-CN"/>
              </w:rPr>
              <w:t>计划在2019年，组织查办食品药品医疗器械一般程序案件20件，确保无重特大药品、医疗器械、餐饮食品、保健品、化妆品安全事故发生，确保群众使用食品药品安全有效。</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s="仿宋"/>
                <w:sz w:val="24"/>
                <w:szCs w:val="24"/>
                <w:lang w:val="en-US" w:eastAsia="zh-CN"/>
              </w:rPr>
              <w:t xml:space="preserve">已实现2019年查办食品药品医疗器械一般程序案件20多件，确保无重特大药品、医疗器械、餐饮食品、保健品、化妆品安全事故发生，确保群众食品药品安全。 </w:t>
            </w:r>
          </w:p>
        </w:tc>
      </w:tr>
      <w:tr>
        <w:tblPrEx>
          <w:tblLayout w:type="fixed"/>
          <w:tblCellMar>
            <w:top w:w="0" w:type="dxa"/>
            <w:left w:w="0" w:type="dxa"/>
            <w:bottom w:w="0" w:type="dxa"/>
            <w:right w:w="0" w:type="dxa"/>
          </w:tblCellMar>
        </w:tblPrEx>
        <w:trPr>
          <w:gridAfter w:val="1"/>
          <w:wAfter w:w="1660" w:type="dxa"/>
          <w:trHeight w:val="83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1660" w:type="dxa"/>
          <w:trHeight w:val="7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查办一般程序案件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20件</w:t>
            </w:r>
          </w:p>
        </w:tc>
      </w:tr>
      <w:tr>
        <w:tblPrEx>
          <w:tblLayout w:type="fixed"/>
          <w:tblCellMar>
            <w:top w:w="0" w:type="dxa"/>
            <w:left w:w="0" w:type="dxa"/>
            <w:bottom w:w="0" w:type="dxa"/>
            <w:right w:w="0" w:type="dxa"/>
          </w:tblCellMar>
        </w:tblPrEx>
        <w:trPr>
          <w:gridAfter w:val="1"/>
          <w:wAfter w:w="1660" w:type="dxa"/>
          <w:trHeight w:val="8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bCs/>
                <w:sz w:val="24"/>
                <w:szCs w:val="24"/>
                <w:lang w:eastAsia="zh-CN"/>
              </w:rPr>
              <w:t>查办案件质量全面提升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无行政诉讼案件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7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查办食药化械案件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2020年12月31日前</w:t>
            </w:r>
          </w:p>
        </w:tc>
      </w:tr>
      <w:tr>
        <w:tblPrEx>
          <w:tblLayout w:type="fixed"/>
          <w:tblCellMar>
            <w:top w:w="0" w:type="dxa"/>
            <w:left w:w="0" w:type="dxa"/>
            <w:bottom w:w="0" w:type="dxa"/>
            <w:right w:w="0" w:type="dxa"/>
          </w:tblCellMar>
        </w:tblPrEx>
        <w:trPr>
          <w:gridAfter w:val="1"/>
          <w:wAfter w:w="1660" w:type="dxa"/>
          <w:trHeight w:val="7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1"/>
                <w:szCs w:val="21"/>
              </w:rPr>
              <w:t>查办一般程序案件</w:t>
            </w:r>
            <w:r>
              <w:rPr>
                <w:rFonts w:hint="eastAsia" w:ascii="宋体" w:hAnsi="宋体" w:cs="宋体"/>
                <w:color w:val="000000"/>
                <w:sz w:val="21"/>
                <w:szCs w:val="21"/>
                <w:lang w:eastAsia="zh-CN"/>
              </w:rPr>
              <w:t>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27.7万元</w:t>
            </w:r>
          </w:p>
        </w:tc>
      </w:tr>
      <w:tr>
        <w:tblPrEx>
          <w:tblLayout w:type="fixed"/>
          <w:tblCellMar>
            <w:top w:w="0" w:type="dxa"/>
            <w:left w:w="0" w:type="dxa"/>
            <w:bottom w:w="0" w:type="dxa"/>
            <w:right w:w="0" w:type="dxa"/>
          </w:tblCellMar>
        </w:tblPrEx>
        <w:trPr>
          <w:gridAfter w:val="1"/>
          <w:wAfter w:w="1660" w:type="dxa"/>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 xml:space="preserve">确保群众食品药品安全 </w:t>
            </w:r>
          </w:p>
          <w:p>
            <w:pPr>
              <w:widowControl/>
              <w:jc w:val="center"/>
              <w:textAlignment w:val="center"/>
              <w:rPr>
                <w:rFonts w:hint="eastAsia" w:ascii="宋体" w:hAnsi="宋体" w:eastAsia="宋体" w:cs="宋体"/>
                <w:color w:val="000000"/>
                <w:sz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大力提升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大力提升</w:t>
            </w:r>
          </w:p>
        </w:tc>
      </w:tr>
      <w:tr>
        <w:tblPrEx>
          <w:tblLayout w:type="fixed"/>
          <w:tblCellMar>
            <w:top w:w="0" w:type="dxa"/>
            <w:left w:w="0" w:type="dxa"/>
            <w:bottom w:w="0" w:type="dxa"/>
            <w:right w:w="0" w:type="dxa"/>
          </w:tblCellMar>
        </w:tblPrEx>
        <w:trPr>
          <w:gridAfter w:val="1"/>
          <w:wAfter w:w="1660" w:type="dxa"/>
          <w:trHeight w:val="4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rPr>
              <w:t>无重特大食品药品医疗器械化妆安全事故发生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持续打击食品药品领域违法犯罪行为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持续</w:t>
            </w:r>
          </w:p>
        </w:tc>
      </w:tr>
      <w:tr>
        <w:tblPrEx>
          <w:tblLayout w:type="fixed"/>
          <w:tblCellMar>
            <w:top w:w="0" w:type="dxa"/>
            <w:left w:w="0" w:type="dxa"/>
            <w:bottom w:w="0" w:type="dxa"/>
            <w:right w:w="0" w:type="dxa"/>
          </w:tblCellMar>
        </w:tblPrEx>
        <w:trPr>
          <w:gridAfter w:val="1"/>
          <w:wAfter w:w="1660" w:type="dxa"/>
          <w:trHeight w:val="63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95％</w:t>
            </w:r>
          </w:p>
        </w:tc>
      </w:tr>
      <w:tr>
        <w:tblPrEx>
          <w:tblLayout w:type="fixed"/>
          <w:tblCellMar>
            <w:top w:w="0" w:type="dxa"/>
            <w:left w:w="0" w:type="dxa"/>
            <w:bottom w:w="0" w:type="dxa"/>
            <w:right w:w="0" w:type="dxa"/>
          </w:tblCellMar>
        </w:tblPrEx>
        <w:trPr>
          <w:gridAfter w:val="1"/>
          <w:wAfter w:w="1660" w:type="dxa"/>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eastAsia="zh-CN"/>
              </w:rPr>
            </w:pPr>
          </w:p>
          <w:p>
            <w:pPr>
              <w:widowControl/>
              <w:jc w:val="center"/>
              <w:textAlignment w:val="center"/>
              <w:rPr>
                <w:rFonts w:hint="eastAsia" w:ascii="宋体" w:hAnsi="宋体" w:cs="宋体"/>
                <w:b/>
                <w:bCs/>
                <w:color w:val="000000"/>
                <w:kern w:val="0"/>
                <w:sz w:val="36"/>
                <w:szCs w:val="36"/>
                <w:lang w:eastAsia="zh-CN"/>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lang w:eastAsia="zh-CN"/>
              </w:rPr>
              <w:t>项</w:t>
            </w:r>
            <w:r>
              <w:rPr>
                <w:rFonts w:hint="eastAsia" w:ascii="宋体" w:hAnsi="宋体" w:cs="宋体"/>
                <w:b/>
                <w:bCs/>
                <w:color w:val="000000"/>
                <w:kern w:val="0"/>
                <w:sz w:val="36"/>
                <w:szCs w:val="36"/>
              </w:rPr>
              <w:t>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商事制度改革及多证合一项目</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市局直属分局</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Layout w:type="fixed"/>
          <w:tblCellMar>
            <w:top w:w="0" w:type="dxa"/>
            <w:left w:w="0" w:type="dxa"/>
            <w:bottom w:w="0" w:type="dxa"/>
            <w:right w:w="0" w:type="dxa"/>
          </w:tblCellMar>
        </w:tblPrEx>
        <w:trPr>
          <w:gridAfter w:val="1"/>
          <w:wAfter w:w="1660" w:type="dxa"/>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gridAfter w:val="1"/>
          <w:wAfter w:w="1660" w:type="dxa"/>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根据国务院的总体</w:t>
            </w:r>
            <w:r>
              <w:rPr>
                <w:rFonts w:hint="eastAsia" w:ascii="宋体" w:hAnsi="宋体" w:cs="宋体"/>
                <w:color w:val="000000"/>
                <w:sz w:val="24"/>
                <w:lang w:eastAsia="zh-CN"/>
              </w:rPr>
              <w:t>要求，上</w:t>
            </w:r>
            <w:r>
              <w:rPr>
                <w:rFonts w:hint="eastAsia" w:ascii="宋体" w:hAnsi="宋体" w:cs="宋体"/>
                <w:color w:val="000000"/>
                <w:sz w:val="24"/>
              </w:rPr>
              <w:t>级主管部门</w:t>
            </w:r>
            <w:r>
              <w:rPr>
                <w:rFonts w:hint="eastAsia" w:ascii="宋体" w:hAnsi="宋体" w:cs="宋体"/>
                <w:color w:val="000000"/>
                <w:sz w:val="24"/>
                <w:lang w:eastAsia="zh-CN"/>
              </w:rPr>
              <w:t>目标，</w:t>
            </w:r>
            <w:r>
              <w:rPr>
                <w:rFonts w:hint="eastAsia" w:ascii="宋体" w:hAnsi="宋体" w:cs="宋体"/>
                <w:color w:val="000000"/>
                <w:sz w:val="24"/>
              </w:rPr>
              <w:t>全面实现“多证合一”登记制度的改革。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全面</w:t>
            </w:r>
            <w:r>
              <w:rPr>
                <w:rFonts w:hint="eastAsia" w:ascii="宋体" w:hAnsi="宋体" w:cs="宋体"/>
                <w:color w:val="000000"/>
                <w:sz w:val="24"/>
                <w:lang w:eastAsia="zh-CN"/>
              </w:rPr>
              <w:t>完成了商事制度改革及</w:t>
            </w:r>
            <w:r>
              <w:rPr>
                <w:rFonts w:hint="eastAsia" w:ascii="宋体" w:hAnsi="宋体" w:cs="宋体"/>
                <w:color w:val="000000"/>
                <w:sz w:val="24"/>
              </w:rPr>
              <w:t>实现“多证合一”</w:t>
            </w:r>
            <w:r>
              <w:rPr>
                <w:rFonts w:hint="eastAsia" w:ascii="宋体" w:hAnsi="宋体" w:cs="宋体"/>
                <w:color w:val="000000"/>
                <w:sz w:val="24"/>
                <w:lang w:eastAsia="zh-CN"/>
              </w:rPr>
              <w:t>。</w:t>
            </w:r>
          </w:p>
        </w:tc>
      </w:tr>
      <w:tr>
        <w:tblPrEx>
          <w:tblLayout w:type="fixed"/>
          <w:tblCellMar>
            <w:top w:w="0" w:type="dxa"/>
            <w:left w:w="0" w:type="dxa"/>
            <w:bottom w:w="0" w:type="dxa"/>
            <w:right w:w="0" w:type="dxa"/>
          </w:tblCellMar>
        </w:tblPrEx>
        <w:trPr>
          <w:gridAfter w:val="1"/>
          <w:wAfter w:w="1660" w:type="dxa"/>
          <w:trHeight w:val="83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1660" w:type="dxa"/>
          <w:trHeight w:val="7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服务市场主体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全覆盖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全覆盖</w:t>
            </w:r>
          </w:p>
        </w:tc>
      </w:tr>
      <w:tr>
        <w:tblPrEx>
          <w:tblLayout w:type="fixed"/>
          <w:tblCellMar>
            <w:top w:w="0" w:type="dxa"/>
            <w:left w:w="0" w:type="dxa"/>
            <w:bottom w:w="0" w:type="dxa"/>
            <w:right w:w="0" w:type="dxa"/>
          </w:tblCellMar>
        </w:tblPrEx>
        <w:trPr>
          <w:gridAfter w:val="1"/>
          <w:wAfter w:w="1660" w:type="dxa"/>
          <w:trHeight w:val="8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实现多证合一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7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完成商事制度改革及实现“多证合一”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2019年12月31日前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2019年12月31日前</w:t>
            </w:r>
          </w:p>
        </w:tc>
        <w:tc>
          <w:tcPr>
            <w:tcW w:w="1660" w:type="dxa"/>
            <w:vAlign w:val="center"/>
          </w:tcPr>
          <w:p>
            <w:pPr>
              <w:widowControl/>
              <w:jc w:val="center"/>
              <w:textAlignment w:val="center"/>
            </w:pPr>
          </w:p>
        </w:tc>
      </w:tr>
      <w:tr>
        <w:tblPrEx>
          <w:tblLayout w:type="fixed"/>
          <w:tblCellMar>
            <w:top w:w="0" w:type="dxa"/>
            <w:left w:w="0" w:type="dxa"/>
            <w:bottom w:w="0" w:type="dxa"/>
            <w:right w:w="0" w:type="dxa"/>
          </w:tblCellMar>
        </w:tblPrEx>
        <w:trPr>
          <w:gridAfter w:val="1"/>
          <w:wAfter w:w="1660" w:type="dxa"/>
          <w:trHeight w:val="7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实现多证合一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5万元</w:t>
            </w:r>
          </w:p>
        </w:tc>
      </w:tr>
      <w:tr>
        <w:tblPrEx>
          <w:tblLayout w:type="fixed"/>
          <w:tblCellMar>
            <w:top w:w="0" w:type="dxa"/>
            <w:left w:w="0" w:type="dxa"/>
            <w:bottom w:w="0" w:type="dxa"/>
            <w:right w:w="0" w:type="dxa"/>
          </w:tblCellMar>
        </w:tblPrEx>
        <w:trPr>
          <w:gridAfter w:val="1"/>
          <w:wAfter w:w="1660" w:type="dxa"/>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“智慧工商”的市场主体登记、企业的“多证合一”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gridAfter w:val="1"/>
          <w:wAfter w:w="1660" w:type="dxa"/>
          <w:trHeight w:val="4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更好地服务市场主体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gridAfter w:val="1"/>
          <w:wAfter w:w="1660" w:type="dxa"/>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eastAsia="仿宋_GB2312" w:cs="Times New Roman"/>
                <w:spacing w:val="-4"/>
                <w:sz w:val="24"/>
                <w:szCs w:val="24"/>
                <w:lang w:val="en-US" w:eastAsia="zh-CN"/>
              </w:rPr>
              <w:t xml:space="preserve"> 鼓励大众创业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 大力提高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 大力提高</w:t>
            </w:r>
          </w:p>
        </w:tc>
      </w:tr>
      <w:tr>
        <w:tblPrEx>
          <w:tblLayout w:type="fixed"/>
          <w:tblCellMar>
            <w:top w:w="0" w:type="dxa"/>
            <w:left w:w="0" w:type="dxa"/>
            <w:bottom w:w="0" w:type="dxa"/>
            <w:right w:w="0" w:type="dxa"/>
          </w:tblCellMar>
        </w:tblPrEx>
        <w:trPr>
          <w:gridAfter w:val="1"/>
          <w:wAfter w:w="1660" w:type="dxa"/>
          <w:trHeight w:val="63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99％</w:t>
            </w:r>
          </w:p>
        </w:tc>
      </w:tr>
      <w:tr>
        <w:tblPrEx>
          <w:tblLayout w:type="fixed"/>
          <w:tblCellMar>
            <w:top w:w="0" w:type="dxa"/>
            <w:left w:w="0" w:type="dxa"/>
            <w:bottom w:w="0" w:type="dxa"/>
            <w:right w:w="0" w:type="dxa"/>
          </w:tblCellMar>
        </w:tblPrEx>
        <w:trPr>
          <w:gridAfter w:val="1"/>
          <w:wAfter w:w="1660" w:type="dxa"/>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eastAsia="zh-CN"/>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lang w:eastAsia="zh-CN"/>
              </w:rPr>
              <w:t>项</w:t>
            </w:r>
            <w:r>
              <w:rPr>
                <w:rFonts w:hint="eastAsia" w:ascii="宋体" w:hAnsi="宋体" w:cs="宋体"/>
                <w:b/>
                <w:bCs/>
                <w:color w:val="000000"/>
                <w:kern w:val="0"/>
                <w:sz w:val="36"/>
                <w:szCs w:val="36"/>
              </w:rPr>
              <w:t>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专用仪器设备购置</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巴中市特种设备监督检验所</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w:t>
            </w: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w:t>
            </w:r>
          </w:p>
        </w:tc>
      </w:tr>
      <w:tr>
        <w:tblPrEx>
          <w:tblLayout w:type="fixed"/>
          <w:tblCellMar>
            <w:top w:w="0" w:type="dxa"/>
            <w:left w:w="0" w:type="dxa"/>
            <w:bottom w:w="0" w:type="dxa"/>
            <w:right w:w="0" w:type="dxa"/>
          </w:tblCellMar>
        </w:tblPrEx>
        <w:trPr>
          <w:gridAfter w:val="1"/>
          <w:wAfter w:w="1660" w:type="dxa"/>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60" w:type="dxa"/>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gridAfter w:val="1"/>
          <w:wAfter w:w="1660" w:type="dxa"/>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按计划逐步购置高精度检测设备，提高检验检测准确性，提高技术保管能力，确保特种设备安全生产</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eastAsia="zh-CN"/>
              </w:rPr>
              <w:t>已</w:t>
            </w:r>
            <w:r>
              <w:rPr>
                <w:rFonts w:hint="eastAsia" w:ascii="宋体" w:hAnsi="宋体" w:cs="宋体"/>
                <w:color w:val="000000"/>
                <w:sz w:val="24"/>
              </w:rPr>
              <w:t>购置高精度检测设备，提高检验检测准确性，确保特种设备安全生产</w:t>
            </w:r>
            <w:r>
              <w:rPr>
                <w:rFonts w:hint="eastAsia" w:ascii="宋体" w:hAnsi="宋体" w:cs="宋体"/>
                <w:color w:val="000000"/>
                <w:sz w:val="24"/>
                <w:lang w:eastAsia="zh-CN"/>
              </w:rPr>
              <w:t>。</w:t>
            </w:r>
          </w:p>
        </w:tc>
      </w:tr>
      <w:tr>
        <w:tblPrEx>
          <w:tblLayout w:type="fixed"/>
          <w:tblCellMar>
            <w:top w:w="0" w:type="dxa"/>
            <w:left w:w="0" w:type="dxa"/>
            <w:bottom w:w="0" w:type="dxa"/>
            <w:right w:w="0" w:type="dxa"/>
          </w:tblCellMar>
        </w:tblPrEx>
        <w:trPr>
          <w:gridAfter w:val="1"/>
          <w:wAfter w:w="1660" w:type="dxa"/>
          <w:trHeight w:val="83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gridAfter w:val="1"/>
          <w:wAfter w:w="1660" w:type="dxa"/>
          <w:trHeight w:val="7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购置检验检测设备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8台</w:t>
            </w:r>
          </w:p>
        </w:tc>
      </w:tr>
      <w:tr>
        <w:tblPrEx>
          <w:tblLayout w:type="fixed"/>
          <w:tblCellMar>
            <w:top w:w="0" w:type="dxa"/>
            <w:left w:w="0" w:type="dxa"/>
            <w:bottom w:w="0" w:type="dxa"/>
            <w:right w:w="0" w:type="dxa"/>
          </w:tblCellMar>
        </w:tblPrEx>
        <w:trPr>
          <w:gridAfter w:val="1"/>
          <w:wAfter w:w="1660" w:type="dxa"/>
          <w:trHeight w:val="8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bCs/>
                <w:sz w:val="18"/>
                <w:szCs w:val="18"/>
                <w:lang w:val="en-US" w:eastAsia="zh-CN"/>
              </w:rPr>
              <w:t>符合各类《电梯监督检验和定期检验规则》《起重机械定期检验规则》《起重机械安装改造重大修理监督检验规则》《场(厂)内专用机动车辆安全技术监察规程》要求等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 达到规定标准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符合标准 </w:t>
            </w:r>
          </w:p>
        </w:tc>
      </w:tr>
      <w:tr>
        <w:tblPrEx>
          <w:tblLayout w:type="fixed"/>
          <w:tblCellMar>
            <w:top w:w="0" w:type="dxa"/>
            <w:left w:w="0" w:type="dxa"/>
            <w:bottom w:w="0" w:type="dxa"/>
            <w:right w:w="0" w:type="dxa"/>
          </w:tblCellMar>
        </w:tblPrEx>
        <w:trPr>
          <w:gridAfter w:val="1"/>
          <w:wAfter w:w="1660" w:type="dxa"/>
          <w:trHeight w:val="7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购置设备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2020年12月31日前</w:t>
            </w:r>
          </w:p>
        </w:tc>
      </w:tr>
      <w:tr>
        <w:tblPrEx>
          <w:tblLayout w:type="fixed"/>
          <w:tblCellMar>
            <w:top w:w="0" w:type="dxa"/>
            <w:left w:w="0" w:type="dxa"/>
            <w:bottom w:w="0" w:type="dxa"/>
            <w:right w:w="0" w:type="dxa"/>
          </w:tblCellMar>
        </w:tblPrEx>
        <w:trPr>
          <w:gridAfter w:val="1"/>
          <w:wAfter w:w="1660" w:type="dxa"/>
          <w:trHeight w:val="7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 xml:space="preserve"> 检验检测设备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75万元</w:t>
            </w:r>
          </w:p>
        </w:tc>
      </w:tr>
      <w:tr>
        <w:tblPrEx>
          <w:tblLayout w:type="fixed"/>
          <w:tblCellMar>
            <w:top w:w="0" w:type="dxa"/>
            <w:left w:w="0" w:type="dxa"/>
            <w:bottom w:w="0" w:type="dxa"/>
            <w:right w:w="0" w:type="dxa"/>
          </w:tblCellMar>
        </w:tblPrEx>
        <w:trPr>
          <w:gridAfter w:val="1"/>
          <w:wAfter w:w="1660" w:type="dxa"/>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采用先进检验技术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提高检验检</w:t>
            </w:r>
            <w:r>
              <w:rPr>
                <w:rFonts w:hint="eastAsia" w:ascii="宋体" w:hAnsi="宋体" w:cs="宋体"/>
                <w:color w:val="000000"/>
                <w:sz w:val="24"/>
                <w:lang w:eastAsia="zh-CN"/>
              </w:rPr>
              <w:t>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提高检验检</w:t>
            </w:r>
            <w:r>
              <w:rPr>
                <w:rFonts w:hint="eastAsia" w:ascii="宋体" w:hAnsi="宋体" w:cs="宋体"/>
                <w:color w:val="000000"/>
                <w:sz w:val="24"/>
                <w:lang w:eastAsia="zh-CN"/>
              </w:rPr>
              <w:t>水平</w:t>
            </w:r>
          </w:p>
        </w:tc>
      </w:tr>
      <w:tr>
        <w:tblPrEx>
          <w:tblLayout w:type="fixed"/>
          <w:tblCellMar>
            <w:top w:w="0" w:type="dxa"/>
            <w:left w:w="0" w:type="dxa"/>
            <w:bottom w:w="0" w:type="dxa"/>
            <w:right w:w="0" w:type="dxa"/>
          </w:tblCellMar>
        </w:tblPrEx>
        <w:trPr>
          <w:gridAfter w:val="1"/>
          <w:wAfter w:w="1660" w:type="dxa"/>
          <w:trHeight w:val="4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1"/>
                <w:szCs w:val="21"/>
                <w:lang w:eastAsia="zh-CN"/>
              </w:rPr>
              <w:t>提高检验检测准确性，降低设备风险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0次</w:t>
            </w:r>
          </w:p>
        </w:tc>
      </w:tr>
      <w:tr>
        <w:tblPrEx>
          <w:tblLayout w:type="fixed"/>
          <w:tblCellMar>
            <w:top w:w="0" w:type="dxa"/>
            <w:left w:w="0" w:type="dxa"/>
            <w:bottom w:w="0" w:type="dxa"/>
            <w:right w:w="0" w:type="dxa"/>
          </w:tblCellMar>
        </w:tblPrEx>
        <w:trPr>
          <w:gridAfter w:val="1"/>
          <w:wAfter w:w="1660" w:type="dxa"/>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eastAsia="仿宋_GB2312" w:cs="Times New Roman"/>
                <w:spacing w:val="-4"/>
                <w:sz w:val="24"/>
                <w:szCs w:val="24"/>
                <w:lang w:val="en-US" w:eastAsia="zh-CN"/>
              </w:rPr>
              <w:t xml:space="preserve"> 提高检验检测准确性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gridAfter w:val="1"/>
          <w:wAfter w:w="1660" w:type="dxa"/>
          <w:trHeight w:val="63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96％</w:t>
            </w:r>
          </w:p>
        </w:tc>
      </w:tr>
    </w:tbl>
    <w:p>
      <w:pPr>
        <w:spacing w:line="580" w:lineRule="exact"/>
        <w:ind w:left="630"/>
        <w:rPr>
          <w:rFonts w:hint="eastAsia" w:ascii="仿宋" w:hAnsi="仿宋" w:eastAsia="仿宋" w:cs="仿宋"/>
          <w:b/>
          <w:bCs/>
          <w:sz w:val="32"/>
          <w:szCs w:val="32"/>
        </w:rPr>
      </w:pPr>
      <w:r>
        <w:rPr>
          <w:rFonts w:hint="eastAsia" w:ascii="仿宋" w:hAnsi="仿宋" w:eastAsia="仿宋" w:cs="仿宋"/>
          <w:b/>
          <w:bCs/>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巴中市市场监督管理局</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市本级食品安全抽检经费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市级食品安全抽检</w:t>
      </w:r>
      <w:r>
        <w:rPr>
          <w:rFonts w:hint="eastAsia" w:ascii="仿宋_GB2312" w:hAnsi="仿宋_GB2312" w:eastAsia="仿宋_GB2312" w:cs="仿宋_GB2312"/>
          <w:sz w:val="32"/>
          <w:szCs w:val="32"/>
        </w:rPr>
        <w:t>项目2019年绩效评价报告》见附件（附件2）。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59" w:name="_Toc15396613"/>
      <w:bookmarkStart w:id="60"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4"/>
        <w:spacing w:line="560" w:lineRule="exact"/>
        <w:ind w:firstLine="640" w:firstLineChars="200"/>
        <w:rPr>
          <w:rFonts w:ascii="仿宋_GB2312" w:eastAsia="仿宋_GB2312" w:cs="黑体"/>
          <w:sz w:val="32"/>
          <w:szCs w:val="32"/>
        </w:rPr>
      </w:pPr>
    </w:p>
    <w:p>
      <w:pPr>
        <w:spacing w:line="600" w:lineRule="exact"/>
        <w:jc w:val="center"/>
        <w:outlineLvl w:val="0"/>
        <w:rPr>
          <w:rStyle w:val="26"/>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62"/>
    </w:p>
    <w:p>
      <w:pPr>
        <w:spacing w:line="60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附件1</w:t>
      </w:r>
    </w:p>
    <w:p>
      <w:pPr>
        <w:pStyle w:val="2"/>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方正大标宋简体" w:hAnsi="华文中宋" w:eastAsia="方正大标宋简体"/>
          <w:b/>
          <w:sz w:val="44"/>
          <w:szCs w:val="44"/>
        </w:rPr>
      </w:pPr>
      <w:r>
        <w:rPr>
          <w:rFonts w:hint="eastAsia" w:ascii="方正大标宋简体" w:hAnsi="华文中宋" w:eastAsia="方正大标宋简体"/>
          <w:b/>
          <w:sz w:val="44"/>
          <w:szCs w:val="44"/>
        </w:rPr>
        <w:t>巴中市</w:t>
      </w:r>
      <w:r>
        <w:rPr>
          <w:rFonts w:hint="eastAsia" w:ascii="方正大标宋简体" w:hAnsi="华文中宋" w:eastAsia="方正大标宋简体"/>
          <w:b/>
          <w:sz w:val="44"/>
          <w:szCs w:val="44"/>
          <w:lang w:eastAsia="zh-CN"/>
        </w:rPr>
        <w:t>市场</w:t>
      </w:r>
      <w:r>
        <w:rPr>
          <w:rFonts w:hint="eastAsia" w:ascii="方正大标宋简体" w:hAnsi="华文中宋" w:eastAsia="方正大标宋简体"/>
          <w:b/>
          <w:sz w:val="44"/>
          <w:szCs w:val="44"/>
        </w:rPr>
        <w:t>监督管理局</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方正大标宋简体" w:hAnsi="华文中宋" w:eastAsia="方正大标宋简体"/>
          <w:b/>
          <w:sz w:val="44"/>
          <w:szCs w:val="44"/>
        </w:rPr>
      </w:pPr>
      <w:r>
        <w:rPr>
          <w:rFonts w:hint="eastAsia" w:ascii="方正大标宋简体" w:hAnsi="华文中宋" w:eastAsia="方正大标宋简体"/>
          <w:b/>
          <w:sz w:val="44"/>
          <w:szCs w:val="44"/>
          <w:lang w:eastAsia="zh-CN"/>
        </w:rPr>
        <w:t>关于</w:t>
      </w:r>
      <w:r>
        <w:rPr>
          <w:rFonts w:hint="eastAsia" w:ascii="方正大标宋简体" w:hAnsi="华文中宋" w:eastAsia="方正大标宋简体"/>
          <w:b/>
          <w:sz w:val="44"/>
          <w:szCs w:val="44"/>
        </w:rPr>
        <w:t>201</w:t>
      </w:r>
      <w:r>
        <w:rPr>
          <w:rFonts w:hint="eastAsia" w:ascii="方正大标宋简体" w:hAnsi="华文中宋" w:eastAsia="方正大标宋简体"/>
          <w:b/>
          <w:sz w:val="44"/>
          <w:szCs w:val="44"/>
          <w:lang w:val="en-US" w:eastAsia="zh-CN"/>
        </w:rPr>
        <w:t>9</w:t>
      </w:r>
      <w:r>
        <w:rPr>
          <w:rFonts w:hint="eastAsia" w:ascii="方正大标宋简体" w:hAnsi="华文中宋" w:eastAsia="方正大标宋简体"/>
          <w:b/>
          <w:sz w:val="44"/>
          <w:szCs w:val="44"/>
        </w:rPr>
        <w:t>年部门</w:t>
      </w:r>
      <w:r>
        <w:rPr>
          <w:rFonts w:hint="eastAsia" w:ascii="方正大标宋简体" w:hAnsi="华文中宋" w:eastAsia="方正大标宋简体"/>
          <w:b/>
          <w:sz w:val="44"/>
          <w:szCs w:val="44"/>
          <w:lang w:eastAsia="zh-CN"/>
        </w:rPr>
        <w:t>整体支出绩效评价的</w:t>
      </w:r>
      <w:r>
        <w:rPr>
          <w:rFonts w:hint="eastAsia" w:ascii="方正大标宋简体" w:hAnsi="华文中宋" w:eastAsia="方正大标宋简体"/>
          <w:b/>
          <w:sz w:val="44"/>
          <w:szCs w:val="44"/>
        </w:rPr>
        <w:t>报告</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黑体" w:hAnsi="华文中宋" w:eastAsia="黑体"/>
          <w:sz w:val="32"/>
          <w:szCs w:val="32"/>
        </w:rPr>
      </w:pPr>
      <w:r>
        <w:rPr>
          <w:rFonts w:hint="eastAsia" w:ascii="黑体" w:hAnsi="华文中宋" w:eastAsia="黑体"/>
          <w:sz w:val="32"/>
          <w:szCs w:val="32"/>
        </w:rPr>
        <w:t>部门</w:t>
      </w:r>
      <w:r>
        <w:rPr>
          <w:rFonts w:hint="eastAsia" w:ascii="黑体" w:hAnsi="华文中宋" w:eastAsia="黑体"/>
          <w:sz w:val="32"/>
          <w:szCs w:val="32"/>
          <w:lang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textAlignment w:val="auto"/>
        <w:outlineLvl w:val="9"/>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　　</w:t>
      </w:r>
      <w:r>
        <w:rPr>
          <w:rFonts w:hint="eastAsia" w:ascii="楷体" w:hAnsi="楷体" w:eastAsia="楷体" w:cs="楷体"/>
          <w:b/>
          <w:bCs/>
          <w:sz w:val="32"/>
          <w:szCs w:val="32"/>
          <w:lang w:val="en-US" w:eastAsia="zh-CN"/>
        </w:rPr>
        <w:t>（一）机构组成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 w:eastAsia="仿宋_GB2312"/>
          <w:sz w:val="32"/>
          <w:szCs w:val="32"/>
        </w:rPr>
      </w:pPr>
      <w:r>
        <w:rPr>
          <w:rFonts w:hint="eastAsia" w:ascii="仿宋" w:hAnsi="仿宋" w:eastAsia="仿宋" w:cs="仿宋"/>
          <w:sz w:val="32"/>
          <w:szCs w:val="32"/>
          <w:lang w:val="en-US" w:eastAsia="zh-CN"/>
        </w:rPr>
        <w:t>巴中市市场监督管理局是由原工商局、质监局、食药监局整体合并后新组建，内设31个科室，其中：</w:t>
      </w:r>
      <w:r>
        <w:rPr>
          <w:rFonts w:hint="eastAsia" w:ascii="仿宋_GB2312" w:hAnsi="仿宋" w:eastAsia="仿宋_GB2312"/>
          <w:sz w:val="32"/>
          <w:szCs w:val="32"/>
        </w:rPr>
        <w:t>办公室、综合</w:t>
      </w:r>
      <w:r>
        <w:rPr>
          <w:rFonts w:hint="eastAsia" w:ascii="仿宋_GB2312" w:hAnsi="仿宋" w:eastAsia="仿宋_GB2312"/>
          <w:sz w:val="32"/>
          <w:szCs w:val="32"/>
          <w:lang w:eastAsia="zh-CN"/>
        </w:rPr>
        <w:t>规划</w:t>
      </w:r>
      <w:r>
        <w:rPr>
          <w:rFonts w:hint="eastAsia" w:ascii="仿宋_GB2312" w:hAnsi="仿宋" w:eastAsia="仿宋_GB2312"/>
          <w:sz w:val="32"/>
          <w:szCs w:val="32"/>
        </w:rPr>
        <w:t>科（产业发展科）、政策法规科</w:t>
      </w:r>
      <w:r>
        <w:rPr>
          <w:rFonts w:hint="eastAsia" w:ascii="仿宋_GB2312" w:hAnsi="仿宋" w:eastAsia="仿宋_GB2312"/>
          <w:sz w:val="32"/>
          <w:szCs w:val="32"/>
          <w:lang w:eastAsia="zh-CN"/>
        </w:rPr>
        <w:t>、企业监督管理科、信用监督管理科、反垄断与反不正当竞争科（规范直销与打击传销办公室）</w:t>
      </w:r>
      <w:r>
        <w:rPr>
          <w:rFonts w:hint="eastAsia" w:ascii="仿宋_GB2312" w:hAnsi="仿宋" w:eastAsia="仿宋_GB2312"/>
          <w:sz w:val="32"/>
          <w:szCs w:val="32"/>
        </w:rPr>
        <w:t>、</w:t>
      </w:r>
      <w:r>
        <w:rPr>
          <w:rFonts w:hint="eastAsia" w:ascii="仿宋_GB2312" w:hAnsi="仿宋" w:eastAsia="仿宋_GB2312"/>
          <w:sz w:val="32"/>
          <w:szCs w:val="32"/>
          <w:lang w:eastAsia="zh-CN"/>
        </w:rPr>
        <w:t>价格监督检查科、消费者权益保护科、网络交易监督管理科、广告监督管理科、质量发展科、产品质量安全监督管理科、食品安全协调科、</w:t>
      </w:r>
      <w:r>
        <w:rPr>
          <w:rFonts w:hint="eastAsia" w:ascii="仿宋_GB2312" w:hAnsi="仿宋" w:eastAsia="仿宋_GB2312"/>
          <w:sz w:val="32"/>
          <w:szCs w:val="32"/>
        </w:rPr>
        <w:t>食品生产</w:t>
      </w:r>
      <w:r>
        <w:rPr>
          <w:rFonts w:hint="eastAsia" w:ascii="仿宋_GB2312" w:hAnsi="仿宋" w:eastAsia="仿宋_GB2312"/>
          <w:sz w:val="32"/>
          <w:szCs w:val="32"/>
          <w:lang w:eastAsia="zh-CN"/>
        </w:rPr>
        <w:t>安全监督管理科</w:t>
      </w:r>
      <w:r>
        <w:rPr>
          <w:rFonts w:hint="eastAsia" w:ascii="仿宋_GB2312" w:hAnsi="仿宋" w:eastAsia="仿宋_GB2312"/>
          <w:sz w:val="32"/>
          <w:szCs w:val="32"/>
        </w:rPr>
        <w:t>、食品流通</w:t>
      </w:r>
      <w:r>
        <w:rPr>
          <w:rFonts w:hint="eastAsia" w:ascii="仿宋_GB2312" w:hAnsi="仿宋" w:eastAsia="仿宋_GB2312"/>
          <w:sz w:val="32"/>
          <w:szCs w:val="32"/>
          <w:lang w:eastAsia="zh-CN"/>
        </w:rPr>
        <w:t>与特殊食品安全监督管理</w:t>
      </w:r>
      <w:r>
        <w:rPr>
          <w:rFonts w:hint="eastAsia" w:ascii="仿宋_GB2312" w:hAnsi="仿宋" w:eastAsia="仿宋_GB2312"/>
          <w:sz w:val="32"/>
          <w:szCs w:val="32"/>
        </w:rPr>
        <w:t>科、餐饮服务</w:t>
      </w:r>
      <w:r>
        <w:rPr>
          <w:rFonts w:hint="eastAsia" w:ascii="仿宋_GB2312" w:hAnsi="仿宋" w:eastAsia="仿宋_GB2312"/>
          <w:sz w:val="32"/>
          <w:szCs w:val="32"/>
          <w:lang w:eastAsia="zh-CN"/>
        </w:rPr>
        <w:t>安全监督管理</w:t>
      </w:r>
      <w:r>
        <w:rPr>
          <w:rFonts w:hint="eastAsia" w:ascii="仿宋_GB2312" w:hAnsi="仿宋" w:eastAsia="仿宋_GB2312"/>
          <w:sz w:val="32"/>
          <w:szCs w:val="32"/>
        </w:rPr>
        <w:t>科、</w:t>
      </w:r>
      <w:r>
        <w:rPr>
          <w:rFonts w:hint="eastAsia" w:ascii="仿宋_GB2312" w:hAnsi="仿宋" w:eastAsia="仿宋_GB2312"/>
          <w:sz w:val="32"/>
          <w:szCs w:val="32"/>
          <w:lang w:eastAsia="zh-CN"/>
        </w:rPr>
        <w:t>特种设备安全监察科、计量科、标准化科、科技与认证认可监督管理科、知识产权科、药品监督管理科、</w:t>
      </w:r>
      <w:r>
        <w:rPr>
          <w:rFonts w:hint="eastAsia" w:ascii="仿宋_GB2312" w:hAnsi="仿宋" w:eastAsia="仿宋_GB2312"/>
          <w:sz w:val="32"/>
          <w:szCs w:val="32"/>
        </w:rPr>
        <w:t>医疗器械监</w:t>
      </w:r>
      <w:r>
        <w:rPr>
          <w:rFonts w:hint="eastAsia" w:ascii="仿宋_GB2312" w:hAnsi="仿宋" w:eastAsia="仿宋_GB2312"/>
          <w:sz w:val="32"/>
          <w:szCs w:val="32"/>
          <w:lang w:eastAsia="zh-CN"/>
        </w:rPr>
        <w:t>督管理</w:t>
      </w:r>
      <w:r>
        <w:rPr>
          <w:rFonts w:hint="eastAsia" w:ascii="仿宋_GB2312" w:hAnsi="仿宋" w:eastAsia="仿宋_GB2312"/>
          <w:sz w:val="32"/>
          <w:szCs w:val="32"/>
        </w:rPr>
        <w:t>科、化妆品</w:t>
      </w:r>
      <w:r>
        <w:rPr>
          <w:rFonts w:hint="eastAsia" w:ascii="仿宋_GB2312" w:hAnsi="仿宋" w:eastAsia="仿宋_GB2312"/>
          <w:sz w:val="32"/>
          <w:szCs w:val="32"/>
          <w:lang w:eastAsia="zh-CN"/>
        </w:rPr>
        <w:t>监督管理</w:t>
      </w:r>
      <w:r>
        <w:rPr>
          <w:rFonts w:hint="eastAsia" w:ascii="仿宋_GB2312" w:hAnsi="仿宋" w:eastAsia="仿宋_GB2312"/>
          <w:sz w:val="32"/>
          <w:szCs w:val="32"/>
        </w:rPr>
        <w:t>科、</w:t>
      </w:r>
      <w:r>
        <w:rPr>
          <w:rFonts w:hint="eastAsia" w:ascii="仿宋_GB2312" w:hAnsi="仿宋" w:eastAsia="仿宋_GB2312"/>
          <w:sz w:val="32"/>
          <w:szCs w:val="32"/>
          <w:lang w:eastAsia="zh-CN"/>
        </w:rPr>
        <w:t>安全抽检监测</w:t>
      </w:r>
      <w:r>
        <w:rPr>
          <w:rFonts w:hint="eastAsia" w:ascii="仿宋_GB2312" w:hAnsi="仿宋" w:eastAsia="仿宋_GB2312"/>
          <w:sz w:val="32"/>
          <w:szCs w:val="32"/>
        </w:rPr>
        <w:t>科、</w:t>
      </w:r>
      <w:r>
        <w:rPr>
          <w:rFonts w:hint="eastAsia" w:ascii="仿宋_GB2312" w:hAnsi="仿宋" w:eastAsia="仿宋_GB2312"/>
          <w:sz w:val="32"/>
          <w:szCs w:val="32"/>
          <w:lang w:eastAsia="zh-CN"/>
        </w:rPr>
        <w:t>民营经济发展</w:t>
      </w:r>
      <w:r>
        <w:rPr>
          <w:rFonts w:hint="eastAsia" w:ascii="仿宋_GB2312" w:hAnsi="仿宋" w:eastAsia="仿宋_GB2312"/>
          <w:sz w:val="32"/>
          <w:szCs w:val="32"/>
        </w:rPr>
        <w:t>科、</w:t>
      </w:r>
      <w:r>
        <w:rPr>
          <w:rFonts w:hint="eastAsia" w:ascii="仿宋_GB2312" w:hAnsi="仿宋" w:eastAsia="仿宋_GB2312"/>
          <w:sz w:val="32"/>
          <w:szCs w:val="32"/>
          <w:lang w:eastAsia="zh-CN"/>
        </w:rPr>
        <w:t>非公经济组织党建工作指导科、行政审批科、应急处置与宣传科、财务科、人事科。下属行政单位</w:t>
      </w:r>
      <w:r>
        <w:rPr>
          <w:rFonts w:hint="eastAsia" w:ascii="仿宋_GB2312" w:hAnsi="仿宋" w:eastAsia="仿宋_GB2312"/>
          <w:sz w:val="32"/>
          <w:szCs w:val="32"/>
          <w:lang w:val="en-US" w:eastAsia="zh-CN"/>
        </w:rPr>
        <w:t>2个（市市场监管局直属分局、市市场监管局经开区分局），下属直属</w:t>
      </w:r>
      <w:r>
        <w:rPr>
          <w:rFonts w:hint="eastAsia" w:ascii="仿宋_GB2312" w:hAnsi="仿宋" w:eastAsia="仿宋_GB2312"/>
          <w:sz w:val="32"/>
          <w:szCs w:val="32"/>
        </w:rPr>
        <w:t>事业单位</w:t>
      </w:r>
      <w:r>
        <w:rPr>
          <w:rFonts w:hint="eastAsia" w:ascii="仿宋_GB2312" w:hAnsi="仿宋" w:eastAsia="仿宋_GB2312"/>
          <w:sz w:val="32"/>
          <w:szCs w:val="32"/>
          <w:lang w:val="en-US" w:eastAsia="zh-CN"/>
        </w:rPr>
        <w:t>3个（巴中市计量检定测试所、巴中市</w:t>
      </w:r>
      <w:r>
        <w:rPr>
          <w:rFonts w:hint="eastAsia" w:ascii="仿宋_GB2312" w:hAnsi="仿宋" w:eastAsia="仿宋_GB2312"/>
          <w:color w:val="auto"/>
          <w:sz w:val="32"/>
          <w:szCs w:val="32"/>
          <w:lang w:val="en-US" w:eastAsia="zh-CN"/>
        </w:rPr>
        <w:t>特种设备监督</w:t>
      </w:r>
      <w:r>
        <w:rPr>
          <w:rFonts w:hint="eastAsia" w:hAnsi="仿宋"/>
          <w:color w:val="auto"/>
          <w:sz w:val="32"/>
          <w:szCs w:val="32"/>
          <w:lang w:val="en-US" w:eastAsia="zh-CN"/>
        </w:rPr>
        <w:t>检验</w:t>
      </w:r>
      <w:r>
        <w:rPr>
          <w:rFonts w:hint="eastAsia" w:ascii="仿宋_GB2312" w:hAnsi="仿宋" w:eastAsia="仿宋_GB2312"/>
          <w:color w:val="auto"/>
          <w:sz w:val="32"/>
          <w:szCs w:val="32"/>
          <w:lang w:val="en-US" w:eastAsia="zh-CN"/>
        </w:rPr>
        <w:t>所</w:t>
      </w:r>
      <w:r>
        <w:rPr>
          <w:rFonts w:hint="eastAsia" w:ascii="仿宋_GB2312" w:hAnsi="仿宋" w:eastAsia="仿宋_GB2312"/>
          <w:sz w:val="32"/>
          <w:szCs w:val="32"/>
          <w:lang w:val="en-US" w:eastAsia="zh-CN"/>
        </w:rPr>
        <w:t>、</w:t>
      </w:r>
      <w:r>
        <w:rPr>
          <w:rFonts w:hint="eastAsia" w:ascii="仿宋_GB2312" w:hAnsi="仿宋" w:eastAsia="仿宋_GB2312"/>
          <w:sz w:val="32"/>
          <w:szCs w:val="32"/>
        </w:rPr>
        <w:t>巴中市</w:t>
      </w:r>
      <w:r>
        <w:rPr>
          <w:rFonts w:hint="eastAsia" w:ascii="仿宋_GB2312" w:hAnsi="仿宋" w:eastAsia="仿宋_GB2312"/>
          <w:sz w:val="32"/>
          <w:szCs w:val="32"/>
          <w:lang w:eastAsia="zh-CN"/>
        </w:rPr>
        <w:t>食品</w:t>
      </w:r>
      <w:r>
        <w:rPr>
          <w:rFonts w:hint="eastAsia" w:ascii="仿宋_GB2312" w:hAnsi="仿宋" w:eastAsia="仿宋_GB2312"/>
          <w:sz w:val="32"/>
          <w:szCs w:val="32"/>
        </w:rPr>
        <w:t>药品</w:t>
      </w:r>
      <w:r>
        <w:rPr>
          <w:rFonts w:hint="eastAsia" w:ascii="仿宋_GB2312" w:hAnsi="仿宋" w:eastAsia="仿宋_GB2312"/>
          <w:sz w:val="32"/>
          <w:szCs w:val="32"/>
          <w:lang w:eastAsia="zh-CN"/>
        </w:rPr>
        <w:t>安全监测信息</w:t>
      </w:r>
      <w:r>
        <w:rPr>
          <w:rFonts w:hint="eastAsia" w:ascii="仿宋_GB2312" w:hAnsi="仿宋" w:eastAsia="仿宋_GB2312"/>
          <w:sz w:val="32"/>
          <w:szCs w:val="32"/>
        </w:rPr>
        <w:t>中心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w:t>
      </w:r>
      <w:r>
        <w:rPr>
          <w:rFonts w:hint="eastAsia" w:ascii="仿宋_GB2312" w:hAnsi="仿宋" w:eastAsia="仿宋_GB2312"/>
          <w:sz w:val="32"/>
          <w:szCs w:val="32"/>
        </w:rPr>
        <w:t>行政执法类事业单位</w:t>
      </w:r>
      <w:r>
        <w:rPr>
          <w:rFonts w:hint="eastAsia" w:ascii="仿宋_GB2312" w:hAnsi="仿宋" w:eastAsia="仿宋_GB2312"/>
          <w:sz w:val="32"/>
          <w:szCs w:val="32"/>
          <w:lang w:val="en-US" w:eastAsia="zh-CN"/>
        </w:rPr>
        <w:t>1个（</w:t>
      </w:r>
      <w:r>
        <w:rPr>
          <w:rFonts w:hint="eastAsia" w:ascii="仿宋_GB2312" w:hAnsi="仿宋" w:eastAsia="仿宋_GB2312"/>
          <w:sz w:val="32"/>
          <w:szCs w:val="32"/>
        </w:rPr>
        <w:t>巴中市</w:t>
      </w:r>
      <w:r>
        <w:rPr>
          <w:rFonts w:hint="eastAsia" w:ascii="仿宋_GB2312" w:hAnsi="仿宋" w:eastAsia="仿宋_GB2312"/>
          <w:sz w:val="32"/>
          <w:szCs w:val="32"/>
          <w:lang w:eastAsia="zh-CN"/>
        </w:rPr>
        <w:t>市场</w:t>
      </w:r>
      <w:r>
        <w:rPr>
          <w:rFonts w:hint="eastAsia" w:ascii="仿宋_GB2312" w:hAnsi="仿宋" w:eastAsia="仿宋_GB2312"/>
          <w:sz w:val="32"/>
          <w:szCs w:val="32"/>
        </w:rPr>
        <w:t>监督</w:t>
      </w:r>
      <w:r>
        <w:rPr>
          <w:rFonts w:hint="eastAsia" w:ascii="仿宋_GB2312" w:hAnsi="仿宋" w:eastAsia="仿宋_GB2312"/>
          <w:sz w:val="32"/>
          <w:szCs w:val="32"/>
          <w:lang w:eastAsia="zh-CN"/>
        </w:rPr>
        <w:t>管理</w:t>
      </w:r>
      <w:r>
        <w:rPr>
          <w:rFonts w:hint="eastAsia" w:ascii="仿宋_GB2312" w:hAnsi="仿宋" w:eastAsia="仿宋_GB2312"/>
          <w:sz w:val="32"/>
          <w:szCs w:val="32"/>
        </w:rPr>
        <w:t>稽查支队</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（二）机构职能</w:t>
      </w:r>
    </w:p>
    <w:p>
      <w:pPr>
        <w:pStyle w:val="25"/>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lang w:val="en-US" w:eastAsia="zh-CN"/>
        </w:rPr>
        <w:t>　　1.</w:t>
      </w:r>
      <w:r>
        <w:rPr>
          <w:rFonts w:hint="eastAsia" w:ascii="仿宋_GB2312" w:hAnsi="仿宋_GB2312" w:eastAsia="仿宋_GB2312" w:cs="仿宋_GB2312"/>
          <w:sz w:val="32"/>
          <w:szCs w:val="32"/>
        </w:rPr>
        <w:t>负责全市市场综合监督管理</w:t>
      </w:r>
      <w:bookmarkStart w:id="77" w:name="_GoBack"/>
      <w:bookmarkEnd w:id="77"/>
      <w:r>
        <w:rPr>
          <w:rFonts w:hint="eastAsia" w:ascii="仿宋_GB2312" w:hAnsi="仿宋_GB2312" w:eastAsia="仿宋_GB2312" w:cs="仿宋_GB2312"/>
          <w:sz w:val="32"/>
          <w:szCs w:val="32"/>
        </w:rPr>
        <w:t>。贯彻执行国家和省市场监督管理的方针、政策和有关法律法规,拟订相关规范性文件和措施,经批准后监督实施。组织实施质量强市、食品安全、标准化和知识产权战略,拟订并组织实施全市食品安全等规划,规范和维护市场秩序,营造诚实守信、公平竞争的市场环境。</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w:t>
      </w:r>
      <w:r>
        <w:rPr>
          <w:rFonts w:hint="eastAsia" w:ascii="仿宋_GB2312" w:hAnsi="仿宋_GB2312" w:eastAsia="仿宋_GB2312" w:cs="仿宋_GB2312"/>
          <w:sz w:val="32"/>
          <w:szCs w:val="32"/>
        </w:rPr>
        <w:t>负责全市市场主体统一登记注册。负责指导全市各类企业、农民专业合作社和从事经营活动的单位、个体工商户等市场主体的登记注册和监督管理工作。建立市场主体信息公示和共享机制,依法公示和共享有关信息,加强信用监管，推动市场主体信用体系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w:t>
      </w:r>
      <w:r>
        <w:rPr>
          <w:rFonts w:hint="eastAsia" w:ascii="仿宋_GB2312" w:hAnsi="仿宋_GB2312" w:eastAsia="仿宋_GB2312" w:cs="仿宋_GB2312"/>
          <w:sz w:val="32"/>
          <w:szCs w:val="32"/>
        </w:rPr>
        <w:t>负责组织和指导全市市场监督管理综合执法工作。指导全市市场监管综合执法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队</w:t>
      </w:r>
      <w:r>
        <w:rPr>
          <w:rFonts w:hint="eastAsia" w:ascii="仿宋_GB2312" w:hAnsi="仿宋_GB2312" w:eastAsia="仿宋_GB2312" w:cs="仿宋_GB2312"/>
          <w:color w:val="000000" w:themeColor="text1"/>
          <w:sz w:val="32"/>
          <w:szCs w:val="32"/>
          <w14:textFill>
            <w14:solidFill>
              <w14:schemeClr w14:val="tx1"/>
            </w14:solidFill>
          </w14:textFill>
        </w:rPr>
        <w:t>伍</w:t>
      </w:r>
      <w:r>
        <w:rPr>
          <w:rFonts w:hint="eastAsia" w:ascii="仿宋_GB2312" w:hAnsi="仿宋_GB2312" w:eastAsia="仿宋_GB2312" w:cs="仿宋_GB2312"/>
          <w:sz w:val="32"/>
          <w:szCs w:val="32"/>
        </w:rPr>
        <w:t>整合和建设,推动实行统一的市场监管。组织查处和督办大案要案、疑难案件、跨区域案件。规范市场监督管理行政执法行为。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4.</w:t>
      </w:r>
      <w:r>
        <w:rPr>
          <w:rFonts w:hint="eastAsia" w:ascii="仿宋_GB2312" w:hAnsi="仿宋_GB2312" w:eastAsia="仿宋_GB2312" w:cs="仿宋_GB2312"/>
          <w:sz w:val="32"/>
          <w:szCs w:val="32"/>
        </w:rPr>
        <w:t>负责全市反垄断相关工作。统筹推进竞争政策实施,组织实施公平竞争审查制度根据省市场监督管理局委托，开展相关反垄断调查工作,指导本市企业在国外的反垄断应诉工作。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5.</w:t>
      </w:r>
      <w:r>
        <w:rPr>
          <w:rFonts w:hint="eastAsia" w:ascii="仿宋_GB2312" w:hAnsi="仿宋_GB2312" w:eastAsia="仿宋_GB2312" w:cs="仿宋_GB2312"/>
          <w:sz w:val="32"/>
          <w:szCs w:val="32"/>
        </w:rPr>
        <w:t>负责监督管理全市市场秩序。依法监督管理市场交易、网络商品交易及有关服务的行为。组织指导查处价格收费违法违规、不正当竞争、违法直销、传销、侵犯商标专利知识产权和制售假冒伪劣行为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指导广告业发展,监督管理广告活动。依法查处无照生产经营和相关无证生产经营行为。指导市保护消费者权益委员会开展消费维权工作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6.</w:t>
      </w:r>
      <w:r>
        <w:rPr>
          <w:rFonts w:hint="eastAsia" w:ascii="仿宋_GB2312" w:hAnsi="仿宋_GB2312" w:eastAsia="仿宋_GB2312" w:cs="仿宋_GB2312"/>
          <w:sz w:val="32"/>
          <w:szCs w:val="32"/>
        </w:rPr>
        <w:t>负责全市宏观质量管理。拟订并组织实施质量发展的制度措施。统筹全市质量基础设施建设与应用。会同有关部门组织实施重大工程设备质量监理制度,组织重大产品质量事故调查，贯彻实施缺陷产品召回制度,监督管理产品防伪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7.</w:t>
      </w:r>
      <w:r>
        <w:rPr>
          <w:rFonts w:hint="eastAsia" w:ascii="仿宋_GB2312" w:hAnsi="仿宋_GB2312" w:eastAsia="仿宋_GB2312" w:cs="仿宋_GB2312"/>
          <w:sz w:val="32"/>
          <w:szCs w:val="32"/>
        </w:rPr>
        <w:t>负责全市产品质量安全监督管理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负责产品质量监督抽查和风险监控工作,组织实施质量分级制度、质量安全追溯制度。负责本区域内工业产品生产许可证监督管理。负责纤维质量监督工作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8.</w:t>
      </w:r>
      <w:r>
        <w:rPr>
          <w:rFonts w:hint="eastAsia" w:ascii="仿宋_GB2312" w:hAnsi="仿宋_GB2312" w:eastAsia="仿宋_GB2312" w:cs="仿宋_GB2312"/>
          <w:sz w:val="32"/>
          <w:szCs w:val="32"/>
        </w:rPr>
        <w:t>负责全市特种设备安全监督管理。综合管理特种设备安全监察、监督工作,监督检查高耗能特种设备节能标准和锅炉产品环境保护标准的执行情况。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9.</w:t>
      </w:r>
      <w:r>
        <w:rPr>
          <w:rFonts w:hint="eastAsia" w:ascii="仿宋_GB2312" w:hAnsi="仿宋_GB2312" w:eastAsia="仿宋_GB2312" w:cs="仿宋_GB2312"/>
          <w:sz w:val="32"/>
          <w:szCs w:val="32"/>
        </w:rPr>
        <w:t>负责全市食品安全监督管理综合协调。统筹指导全市食品安全</w:t>
      </w:r>
      <w:r>
        <w:rPr>
          <w:rFonts w:hint="eastAsia" w:ascii="仿宋_GB2312" w:hAnsi="仿宋_GB2312" w:eastAsia="仿宋_GB2312" w:cs="仿宋_GB2312"/>
          <w:color w:val="FF0000"/>
          <w:sz w:val="32"/>
          <w:szCs w:val="32"/>
          <w:lang w:val="en-US" w:eastAsia="zh-CN"/>
        </w:rPr>
        <w:t>工</w:t>
      </w:r>
      <w:r>
        <w:rPr>
          <w:rFonts w:hint="eastAsia" w:ascii="仿宋_GB2312" w:hAnsi="仿宋_GB2312" w:eastAsia="仿宋_GB2312" w:cs="仿宋_GB2312"/>
          <w:sz w:val="32"/>
          <w:szCs w:val="32"/>
        </w:rPr>
        <w:t>作。负责食品安全应急体系建设,依法组织、指导全市食品安全事件应急处置和调查处理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落实食品安全重要信息直报制度。承担市食品安全委员会日常工作。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10.</w:t>
      </w:r>
      <w:r>
        <w:rPr>
          <w:rFonts w:hint="eastAsia" w:ascii="仿宋_GB2312" w:hAnsi="仿宋_GB2312" w:eastAsia="仿宋_GB2312" w:cs="仿宋_GB2312"/>
          <w:sz w:val="32"/>
          <w:szCs w:val="32"/>
        </w:rPr>
        <w:t>负责全市食品安全监督管理。建立覆盖食品生产、流通、消费全过程的监督检查制度和隐患排查治理机制并组织实施,防范区域性、系统性食品安全风险。推动建立食品生产经营者落实主体责任机制,指导督促食品安全追溯体系建设。指导督促食品生产经营企业的安全生产工作,组织开展食品安全监督抽检、风险监测、核查处置和风险预警、风险交流工作。组织实施特殊食品的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11.</w:t>
      </w:r>
      <w:r>
        <w:rPr>
          <w:rFonts w:hint="eastAsia" w:ascii="仿宋_GB2312" w:hAnsi="仿宋_GB2312" w:eastAsia="仿宋_GB2312" w:cs="仿宋_GB2312"/>
          <w:sz w:val="32"/>
          <w:szCs w:val="32"/>
        </w:rPr>
        <w:t>负责统一管理全市计量工作。推行国家法定计量单位,执行国家计量制度,管理计量器具及量值传递和比对工作。 规范、监督商品量和计量行为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12.</w:t>
      </w:r>
      <w:r>
        <w:rPr>
          <w:rFonts w:hint="eastAsia" w:ascii="仿宋_GB2312" w:hAnsi="仿宋_GB2312" w:eastAsia="仿宋_GB2312" w:cs="仿宋_GB2312"/>
          <w:sz w:val="32"/>
          <w:szCs w:val="32"/>
        </w:rPr>
        <w:t>负责统一管理全市标准化工作。依法承担草拟区域 性地方标准及区域性地方标准统一计划、统一编号、统一发布等工作和团体标准的管理工作。依法协调指导区县地方标准、团体标准制定工作。依法组织地方标准的贯彻实施和实施情况进行监督检查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13.</w:t>
      </w:r>
      <w:r>
        <w:rPr>
          <w:rFonts w:hint="eastAsia" w:ascii="仿宋_GB2312" w:hAnsi="仿宋_GB2312" w:eastAsia="仿宋_GB2312" w:cs="仿宋_GB2312"/>
          <w:sz w:val="32"/>
          <w:szCs w:val="32"/>
        </w:rPr>
        <w:t>负责统一管理全市检验检测</w:t>
      </w:r>
      <w:r>
        <w:rPr>
          <w:rFonts w:hint="eastAsia" w:ascii="仿宋_GB2312" w:hAnsi="仿宋_GB2312" w:eastAsia="仿宋_GB2312" w:cs="仿宋_GB2312"/>
          <w:color w:val="FF0000"/>
          <w:sz w:val="32"/>
          <w:szCs w:val="32"/>
          <w:lang w:val="en-US" w:eastAsia="zh-CN"/>
        </w:rPr>
        <w:t>工</w:t>
      </w:r>
      <w:r>
        <w:rPr>
          <w:rFonts w:hint="eastAsia" w:ascii="仿宋_GB2312" w:hAnsi="仿宋_GB2312" w:eastAsia="仿宋_GB2312" w:cs="仿宋_GB2312"/>
          <w:sz w:val="32"/>
          <w:szCs w:val="32"/>
        </w:rPr>
        <w:t>作。规范检验检测市 场,完善检验检测体系,指导协调检验检测行业发展。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14.</w:t>
      </w:r>
      <w:r>
        <w:rPr>
          <w:rFonts w:hint="eastAsia" w:ascii="仿宋_GB2312" w:hAnsi="仿宋_GB2312" w:eastAsia="仿宋_GB2312" w:cs="仿宋_GB2312"/>
          <w:sz w:val="32"/>
          <w:szCs w:val="32"/>
        </w:rPr>
        <w:t>负责统一管理全市认证认可工作。监督管理认证认 可和合格评定工作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15.</w:t>
      </w:r>
      <w:r>
        <w:rPr>
          <w:rFonts w:hint="eastAsia" w:ascii="仿宋_GB2312" w:hAnsi="仿宋_GB2312" w:eastAsia="仿宋_GB2312" w:cs="仿宋_GB2312"/>
          <w:sz w:val="32"/>
          <w:szCs w:val="32"/>
        </w:rPr>
        <w:t>负责市场监督管理科技和信息化建设、新闻宣传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16.</w:t>
      </w:r>
      <w:r>
        <w:rPr>
          <w:rFonts w:hint="eastAsia" w:ascii="仿宋_GB2312" w:hAnsi="仿宋_GB2312" w:eastAsia="仿宋_GB2312" w:cs="仿宋_GB2312"/>
          <w:sz w:val="32"/>
          <w:szCs w:val="32"/>
        </w:rPr>
        <w:t>负责知识产权保护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负责组织指导商标、专利执</w:t>
      </w:r>
      <w:r>
        <w:rPr>
          <w:rFonts w:hint="eastAsia" w:ascii="仿宋_GB2312" w:hAnsi="仿宋_GB2312" w:eastAsia="仿宋_GB2312" w:cs="仿宋_GB2312"/>
          <w:sz w:val="32"/>
          <w:szCs w:val="32"/>
          <w:lang w:eastAsia="zh-CN"/>
        </w:rPr>
        <w:t>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17.</w:t>
      </w:r>
      <w:r>
        <w:rPr>
          <w:rFonts w:hint="eastAsia" w:ascii="仿宋_GB2312" w:hAnsi="仿宋_GB2312" w:eastAsia="仿宋_GB2312" w:cs="仿宋_GB2312"/>
          <w:sz w:val="32"/>
          <w:szCs w:val="32"/>
        </w:rPr>
        <w:t>负责促进全市民营经济发展。负责全市民营经济发展工作的任务制定、调查研究、统筹协调、督促落实及民营企业合法权益维护。在市委组织部指导下,指导全市市场监督管理部门配合党委组织部门开展小微企业、个体工商户、专业市场的党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18.</w:t>
      </w:r>
      <w:r>
        <w:rPr>
          <w:rFonts w:hint="eastAsia" w:ascii="仿宋_GB2312" w:hAnsi="仿宋_GB2312" w:eastAsia="仿宋_GB2312" w:cs="仿宋_GB2312"/>
          <w:sz w:val="32"/>
          <w:szCs w:val="32"/>
        </w:rPr>
        <w:t>负责贯彻落实执行国家、省有关药品(含中药、民族药,下同)、医疗器械和化妆品监督管理的方针政策和法律法规。负责药品零售、医疗器械经营的安全监测、许可、检查和处罚,以及化妆品经营和药品、医疗器械使用环节质量的安全监测、检查和处罚,参与省药监局组织的监督检查。指导县区药品、医疗器械和化妆品监督管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19.</w:t>
      </w:r>
      <w:r>
        <w:rPr>
          <w:rFonts w:hint="eastAsia" w:ascii="仿宋_GB2312" w:hAnsi="仿宋_GB2312" w:eastAsia="仿宋_GB2312" w:cs="仿宋_GB2312"/>
          <w:sz w:val="32"/>
          <w:szCs w:val="32"/>
        </w:rPr>
        <w:t>贯彻落实国家、省、市食品医药产业发展有关政策,承担牵头组织实施生物医药发展工作,配合有关部门推动道地药</w:t>
      </w:r>
      <w:r>
        <w:rPr>
          <w:rFonts w:hint="eastAsia" w:ascii="仿宋_GB2312" w:hAnsi="仿宋_GB2312" w:eastAsia="仿宋_GB2312" w:cs="仿宋_GB2312"/>
          <w:sz w:val="32"/>
          <w:szCs w:val="32"/>
          <w:lang w:eastAsia="zh-CN"/>
        </w:rPr>
        <w:t>材</w:t>
      </w:r>
      <w:r>
        <w:rPr>
          <w:rFonts w:hint="eastAsia" w:ascii="仿宋_GB2312" w:hAnsi="仿宋_GB2312" w:eastAsia="仿宋_GB2312" w:cs="仿宋_GB2312"/>
          <w:sz w:val="32"/>
          <w:szCs w:val="32"/>
        </w:rPr>
        <w:t>、食品饮料发展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w:t>
      </w:r>
      <w:r>
        <w:rPr>
          <w:rFonts w:hint="eastAsia" w:ascii="仿宋_GB2312" w:hAnsi="仿宋_GB2312" w:eastAsia="仿宋_GB2312" w:cs="仿宋_GB2312"/>
          <w:sz w:val="32"/>
          <w:szCs w:val="32"/>
        </w:rPr>
        <w:t>负责职责范围内的安全生产和职业健康、生态环境 保护审批服务便民化等工作。</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　　21.</w:t>
      </w:r>
      <w:r>
        <w:rPr>
          <w:rFonts w:hint="eastAsia" w:ascii="仿宋_GB2312" w:hAnsi="仿宋_GB2312" w:eastAsia="仿宋_GB2312" w:cs="仿宋_GB2312"/>
          <w:sz w:val="32"/>
          <w:szCs w:val="32"/>
        </w:rPr>
        <w:t>完成市委、市政府交办的其他任务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（三）人员概况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　　截止</w:t>
      </w:r>
      <w:r>
        <w:rPr>
          <w:rFonts w:hint="eastAsia" w:ascii="仿宋_GB2312" w:hAnsi="仿宋" w:eastAsia="仿宋_GB2312"/>
          <w:sz w:val="32"/>
          <w:szCs w:val="32"/>
          <w:lang w:val="en-US" w:eastAsia="zh-CN"/>
        </w:rPr>
        <w:t>2019年12月31日，</w:t>
      </w:r>
      <w:r>
        <w:rPr>
          <w:rFonts w:hint="eastAsia" w:ascii="仿宋_GB2312" w:hAnsi="仿宋" w:eastAsia="仿宋_GB2312"/>
          <w:sz w:val="32"/>
          <w:szCs w:val="32"/>
        </w:rPr>
        <w:t>行政编制</w:t>
      </w:r>
      <w:r>
        <w:rPr>
          <w:rFonts w:hint="eastAsia" w:ascii="仿宋_GB2312" w:hAnsi="仿宋" w:eastAsia="仿宋_GB2312"/>
          <w:sz w:val="32"/>
          <w:szCs w:val="32"/>
          <w:lang w:val="en-US" w:eastAsia="zh-CN"/>
        </w:rPr>
        <w:t>110</w:t>
      </w:r>
      <w:r>
        <w:rPr>
          <w:rFonts w:hint="eastAsia" w:ascii="仿宋_GB2312" w:hAnsi="仿宋" w:eastAsia="仿宋_GB2312"/>
          <w:sz w:val="32"/>
          <w:szCs w:val="32"/>
        </w:rPr>
        <w:t>人、</w:t>
      </w:r>
      <w:r>
        <w:rPr>
          <w:rFonts w:hint="eastAsia" w:ascii="仿宋_GB2312" w:hAnsi="仿宋" w:eastAsia="仿宋_GB2312"/>
          <w:sz w:val="32"/>
          <w:szCs w:val="32"/>
          <w:lang w:eastAsia="zh-CN"/>
        </w:rPr>
        <w:t>机关工勤</w:t>
      </w:r>
      <w:r>
        <w:rPr>
          <w:rFonts w:hint="eastAsia" w:ascii="仿宋_GB2312" w:hAnsi="仿宋" w:eastAsia="仿宋_GB2312"/>
          <w:sz w:val="32"/>
          <w:szCs w:val="32"/>
        </w:rPr>
        <w:t>编制</w:t>
      </w:r>
      <w:r>
        <w:rPr>
          <w:rFonts w:hint="eastAsia" w:ascii="仿宋_GB2312" w:hAnsi="仿宋" w:eastAsia="仿宋_GB2312"/>
          <w:sz w:val="32"/>
          <w:szCs w:val="32"/>
          <w:lang w:val="en-US" w:eastAsia="zh-CN"/>
        </w:rPr>
        <w:t>13人，事业人员10</w:t>
      </w:r>
      <w:r>
        <w:rPr>
          <w:rFonts w:hint="eastAsia" w:ascii="仿宋_GB2312" w:hAnsi="仿宋" w:eastAsia="仿宋_GB2312"/>
          <w:sz w:val="32"/>
          <w:szCs w:val="32"/>
        </w:rPr>
        <w:t>人，</w:t>
      </w:r>
      <w:r>
        <w:rPr>
          <w:rFonts w:hint="eastAsia" w:ascii="仿宋_GB2312" w:hAnsi="仿宋" w:eastAsia="仿宋_GB2312"/>
          <w:sz w:val="32"/>
          <w:szCs w:val="32"/>
          <w:lang w:val="en-US" w:eastAsia="zh-CN"/>
        </w:rPr>
        <w:t>2019年末</w:t>
      </w:r>
      <w:r>
        <w:rPr>
          <w:rFonts w:hint="eastAsia" w:ascii="仿宋_GB2312" w:hAnsi="仿宋" w:eastAsia="仿宋_GB2312"/>
          <w:sz w:val="32"/>
          <w:szCs w:val="32"/>
        </w:rPr>
        <w:t>实有行政人员</w:t>
      </w:r>
      <w:r>
        <w:rPr>
          <w:rFonts w:hint="eastAsia" w:ascii="仿宋_GB2312" w:hAnsi="仿宋" w:eastAsia="仿宋_GB2312"/>
          <w:sz w:val="32"/>
          <w:szCs w:val="32"/>
          <w:lang w:val="en-US" w:eastAsia="zh-CN"/>
        </w:rPr>
        <w:t>121</w:t>
      </w:r>
      <w:r>
        <w:rPr>
          <w:rFonts w:hint="eastAsia" w:ascii="仿宋_GB2312" w:hAnsi="仿宋" w:eastAsia="仿宋_GB2312"/>
          <w:sz w:val="32"/>
          <w:szCs w:val="32"/>
        </w:rPr>
        <w:t>人</w:t>
      </w:r>
      <w:r>
        <w:rPr>
          <w:rFonts w:hint="eastAsia" w:ascii="仿宋_GB2312" w:hAnsi="仿宋" w:eastAsia="仿宋_GB2312"/>
          <w:sz w:val="32"/>
          <w:szCs w:val="32"/>
          <w:lang w:eastAsia="zh-CN"/>
        </w:rPr>
        <w:t>，机关工勤人员</w:t>
      </w:r>
      <w:r>
        <w:rPr>
          <w:rFonts w:hint="eastAsia" w:ascii="仿宋_GB2312" w:hAnsi="仿宋" w:eastAsia="仿宋_GB2312"/>
          <w:sz w:val="32"/>
          <w:szCs w:val="32"/>
          <w:lang w:val="en-US" w:eastAsia="zh-CN"/>
        </w:rPr>
        <w:t>19人，</w:t>
      </w:r>
      <w:r>
        <w:rPr>
          <w:rFonts w:hint="eastAsia" w:ascii="仿宋_GB2312" w:hAnsi="仿宋" w:eastAsia="仿宋_GB2312"/>
          <w:sz w:val="32"/>
          <w:szCs w:val="32"/>
          <w:lang w:eastAsia="zh-CN"/>
        </w:rPr>
        <w:t>事业人员</w:t>
      </w:r>
      <w:r>
        <w:rPr>
          <w:rFonts w:hint="eastAsia" w:ascii="仿宋_GB2312" w:hAnsi="仿宋" w:eastAsia="仿宋_GB2312"/>
          <w:sz w:val="32"/>
          <w:szCs w:val="32"/>
          <w:lang w:val="en-US" w:eastAsia="zh-CN"/>
        </w:rPr>
        <w:t>10人。</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　　二、部门财政资金收支情况</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textAlignment w:val="auto"/>
        <w:outlineLvl w:val="9"/>
        <w:rPr>
          <w:rFonts w:hint="eastAsia"/>
          <w:lang w:val="en-US" w:eastAsia="zh-CN"/>
        </w:rPr>
      </w:pPr>
      <w:r>
        <w:rPr>
          <w:rFonts w:hint="eastAsia" w:ascii="楷体" w:hAnsi="楷体" w:eastAsia="楷体" w:cs="楷体"/>
          <w:sz w:val="32"/>
          <w:szCs w:val="32"/>
          <w:lang w:val="en-US" w:eastAsia="zh-CN"/>
        </w:rPr>
        <w:t>　　（一）部门财政资金收入情况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　　</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w:t>
      </w:r>
      <w:r>
        <w:rPr>
          <w:rFonts w:hint="eastAsia" w:ascii="仿宋_GB2312" w:hAnsi="仿宋" w:eastAsia="仿宋_GB2312"/>
          <w:sz w:val="32"/>
          <w:szCs w:val="32"/>
          <w:lang w:eastAsia="zh-CN"/>
        </w:rPr>
        <w:t>各项</w:t>
      </w:r>
      <w:r>
        <w:rPr>
          <w:rFonts w:hint="eastAsia" w:ascii="仿宋_GB2312" w:hAnsi="仿宋" w:eastAsia="仿宋_GB2312"/>
          <w:sz w:val="32"/>
          <w:szCs w:val="32"/>
        </w:rPr>
        <w:t>财政拨款收入</w:t>
      </w:r>
      <w:r>
        <w:rPr>
          <w:rFonts w:hint="eastAsia" w:ascii="仿宋_GB2312" w:hAnsi="仿宋" w:eastAsia="仿宋_GB2312"/>
          <w:sz w:val="32"/>
          <w:szCs w:val="32"/>
          <w:lang w:val="en-US" w:eastAsia="zh-CN"/>
        </w:rPr>
        <w:t>6515.31万</w:t>
      </w:r>
      <w:r>
        <w:rPr>
          <w:rFonts w:hint="eastAsia" w:ascii="仿宋_GB2312" w:hAnsi="仿宋" w:eastAsia="仿宋_GB2312"/>
          <w:sz w:val="32"/>
          <w:szCs w:val="32"/>
        </w:rPr>
        <w:t>元，</w:t>
      </w:r>
      <w:r>
        <w:rPr>
          <w:rFonts w:hint="eastAsia" w:ascii="仿宋_GB2312" w:hAnsi="仿宋" w:eastAsia="仿宋_GB2312"/>
          <w:sz w:val="32"/>
          <w:szCs w:val="32"/>
          <w:lang w:eastAsia="zh-CN"/>
        </w:rPr>
        <w:t>占</w:t>
      </w:r>
      <w:r>
        <w:rPr>
          <w:rFonts w:hint="eastAsia" w:ascii="仿宋_GB2312" w:hAnsi="仿宋" w:eastAsia="仿宋_GB2312"/>
          <w:sz w:val="32"/>
          <w:szCs w:val="32"/>
        </w:rPr>
        <w:t>总收入</w:t>
      </w:r>
      <w:r>
        <w:rPr>
          <w:rFonts w:hint="eastAsia" w:ascii="仿宋_GB2312" w:hAnsi="仿宋" w:eastAsia="仿宋_GB2312"/>
          <w:sz w:val="32"/>
          <w:szCs w:val="32"/>
          <w:lang w:val="en-US" w:eastAsia="zh-CN"/>
        </w:rPr>
        <w:t>7473.46万</w:t>
      </w:r>
      <w:r>
        <w:rPr>
          <w:rFonts w:hint="eastAsia" w:ascii="仿宋_GB2312" w:hAnsi="仿宋" w:eastAsia="仿宋_GB2312"/>
          <w:sz w:val="32"/>
          <w:szCs w:val="32"/>
        </w:rPr>
        <w:t>元</w:t>
      </w:r>
      <w:r>
        <w:rPr>
          <w:rFonts w:hint="eastAsia" w:ascii="仿宋_GB2312" w:hAnsi="仿宋" w:eastAsia="仿宋_GB2312"/>
          <w:sz w:val="32"/>
          <w:szCs w:val="32"/>
          <w:lang w:eastAsia="zh-CN"/>
        </w:rPr>
        <w:t>的</w:t>
      </w:r>
      <w:r>
        <w:rPr>
          <w:rFonts w:hint="eastAsia" w:ascii="仿宋_GB2312" w:hAnsi="仿宋" w:eastAsia="仿宋_GB2312"/>
          <w:sz w:val="32"/>
          <w:szCs w:val="32"/>
          <w:lang w:val="en-US" w:eastAsia="zh-CN"/>
        </w:rPr>
        <w:t>87%，其中：一般公共服务支出5684.13万元，占总收入76%；社会保障与就业支出385.31万元，占总收入5%；卫生健康支出198.06万元，占总收入3%；住房公积金246.11万元，占总收入3%。</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（二）部门财政资金支出情况</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年度各项支出6236.1万元，占总支出83.4%，其中：一般公共服务支出5417.14万元，占总支出7473.46万元72%；社会保障和就业支出376.53万元，占总支出5%；卫生健康支出197.75万元，占总支出3%；住房公积金242.98万元，占总支出3.4%。</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三、部门整体预算效管理情况</w:t>
      </w:r>
    </w:p>
    <w:p>
      <w:pPr>
        <w:pStyle w:val="2"/>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（一）部门预算管理情况</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textAlignment w:val="auto"/>
        <w:outlineLvl w:val="9"/>
        <w:rPr>
          <w:rFonts w:hint="eastAsia"/>
          <w:lang w:val="en-US" w:eastAsia="zh-CN"/>
        </w:rPr>
      </w:pPr>
      <w:r>
        <w:rPr>
          <w:rFonts w:hint="eastAsia"/>
          <w:lang w:val="en-US" w:eastAsia="zh-CN"/>
        </w:rPr>
        <w:t>　　一是为继续深化单位综合预算改革，将部门所有收入和支出纳入综合预算，坚持量入为出的原则，结合单位业务工作、年度目标工作任务、厉行节约等相关要求，科学、合理地编制年度支出预算，真实反映年度经费需求。二是对照年度单位重点工作，编制单位整体支出绩效目标申报表，其中年度主要支出包括单位年初在编在岗人员工资、津补贴和各类保险费用支出、人均按财政口径标准纳入预算公用经费支出、为保障单位日常工作正常运转，按单位实际人员和工作量的大小，运转类和发展类项目支出等各类项目支出，根据年度单位的职能职责和总体目标任务，年度内完成数量指标、质量指标、时效指标、成本指标据细精准地预算到人到事，最终能达到的指标值，这些项目产生的效益指标中经济效益、社会效益、生态效益、可持续影响的各项指标值实实在在，最终实现服务对象满意度指标达标。三是绩效目标一旦形成，全面纳入绩效管理，建立健全单位资金和绩效管理内控制度，按资金和项目管理要求及项目实施进度严格审核把关后再申报用款计划和支付资金，并适时对所有的预算执行和绩效项目目标进行全方面、全过程、常态化的监督管理，实现了财政性资金管控全覆盖。四是年度末，单位对上年整体支出全面开展一次自评，将评价结果报送同级财政部门，将整体支出评价情况纳入决算报告，客观和公正地分析预算执行情况、绩效目标实现程度、存在的问题和加强管理的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（二）结果应用情况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w:t>
      </w:r>
      <w:r>
        <w:rPr>
          <w:rFonts w:hint="eastAsia" w:ascii="仿宋_GB2312" w:hAnsi="仿宋" w:eastAsia="仿宋_GB2312"/>
          <w:b/>
          <w:bCs/>
          <w:sz w:val="32"/>
          <w:szCs w:val="32"/>
          <w:lang w:val="en-US" w:eastAsia="zh-CN"/>
        </w:rPr>
        <w:t>1.加强政府性债务管理。</w:t>
      </w:r>
      <w:r>
        <w:rPr>
          <w:rFonts w:hint="eastAsia" w:ascii="仿宋_GB2312" w:hAnsi="仿宋" w:eastAsia="仿宋_GB2312"/>
          <w:sz w:val="32"/>
          <w:szCs w:val="32"/>
          <w:lang w:val="en-US" w:eastAsia="zh-CN"/>
        </w:rPr>
        <w:t>新组建市市场监督管理局后，及时组织专人对原三个局的资产负债情况进行了全面的盘点和核实、清理，帐面上没有反映政府性债务，同时我们一贯坚持常态化债务风险监控，按上级有关规定，不举债搞发展，不变相举债，促进单位健康良性发展。</w:t>
      </w:r>
    </w:p>
    <w:p>
      <w:pPr>
        <w:pStyle w:val="2"/>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hAnsi="仿宋"/>
          <w:sz w:val="32"/>
          <w:szCs w:val="32"/>
          <w:lang w:val="en-US" w:eastAsia="zh-CN"/>
        </w:rPr>
      </w:pPr>
      <w:r>
        <w:rPr>
          <w:rFonts w:hint="eastAsia" w:ascii="仿宋_GB2312" w:hAnsi="仿宋"/>
          <w:sz w:val="32"/>
          <w:szCs w:val="32"/>
          <w:lang w:val="en-US" w:eastAsia="zh-CN"/>
        </w:rPr>
        <w:t>　</w:t>
      </w:r>
      <w:r>
        <w:rPr>
          <w:rFonts w:hint="eastAsia" w:ascii="仿宋_GB2312" w:hAnsi="仿宋"/>
          <w:b/>
          <w:bCs/>
          <w:sz w:val="32"/>
          <w:szCs w:val="32"/>
          <w:lang w:val="en-US" w:eastAsia="zh-CN"/>
        </w:rPr>
        <w:t>　2.加强政府采购实施。</w:t>
      </w:r>
      <w:r>
        <w:rPr>
          <w:rFonts w:hint="eastAsia" w:ascii="仿宋_GB2312" w:hAnsi="仿宋"/>
          <w:sz w:val="32"/>
          <w:szCs w:val="32"/>
          <w:lang w:val="en-US" w:eastAsia="zh-CN"/>
        </w:rPr>
        <w:t>严格执行《政府采购法》，凡年初预算计划实施政府采购，根据单位实际工作需要，各科室上报采购申请表且在政府采购范围内的，经研究决定后统一纳入年度预算采购计划一并实施，不超预算、无预算执行。</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3.加强“三公”经费使用管理。</w:t>
      </w:r>
      <w:r>
        <w:rPr>
          <w:rFonts w:hint="eastAsia" w:ascii="仿宋" w:hAnsi="仿宋" w:eastAsia="仿宋" w:cs="仿宋"/>
          <w:sz w:val="32"/>
          <w:szCs w:val="32"/>
          <w:lang w:val="en-US" w:eastAsia="zh-CN"/>
        </w:rPr>
        <w:t>严格落实中央八项、省委政府十项和市委政府九项及其实施细则精神，严格预算执行，从源头上加强“三公”经费使用管理。</w:t>
      </w:r>
      <w:r>
        <w:rPr>
          <w:rFonts w:hint="eastAsia" w:ascii="仿宋" w:hAnsi="仿宋" w:eastAsia="仿宋" w:cs="仿宋"/>
          <w:b/>
          <w:bCs/>
          <w:sz w:val="32"/>
          <w:szCs w:val="32"/>
          <w:lang w:val="en-US" w:eastAsia="zh-CN"/>
        </w:rPr>
        <w:t>一是公务接待管理。</w:t>
      </w:r>
      <w:r>
        <w:rPr>
          <w:rFonts w:hint="eastAsia" w:ascii="仿宋" w:hAnsi="仿宋" w:eastAsia="仿宋" w:cs="仿宋"/>
          <w:sz w:val="32"/>
          <w:szCs w:val="32"/>
          <w:lang w:val="en-US" w:eastAsia="zh-CN"/>
        </w:rPr>
        <w:t>执行《巴中市党政机关国内公务接待管理实施细则》，做到“三单”齐全，按标准、定范围、核人员，按时报帐。</w:t>
      </w:r>
      <w:r>
        <w:rPr>
          <w:rFonts w:hint="eastAsia" w:ascii="仿宋" w:hAnsi="仿宋" w:eastAsia="仿宋" w:cs="仿宋"/>
          <w:b/>
          <w:bCs/>
          <w:sz w:val="32"/>
          <w:szCs w:val="32"/>
          <w:lang w:val="en-US" w:eastAsia="zh-CN"/>
        </w:rPr>
        <w:t>二是公务用车管理。</w:t>
      </w:r>
      <w:r>
        <w:rPr>
          <w:rFonts w:hint="eastAsia" w:ascii="仿宋" w:hAnsi="仿宋" w:eastAsia="仿宋" w:cs="仿宋"/>
          <w:sz w:val="32"/>
          <w:szCs w:val="32"/>
          <w:lang w:val="en-US" w:eastAsia="zh-CN"/>
        </w:rPr>
        <w:t>新组建市场监管局后，严格车辆编制管理，严格控制燃油、修理费用，实行定点维修、定点加油、统一保险，严格执行出车审批制度。</w:t>
      </w:r>
      <w:r>
        <w:rPr>
          <w:rFonts w:hint="eastAsia" w:ascii="仿宋" w:hAnsi="仿宋" w:eastAsia="仿宋" w:cs="仿宋"/>
          <w:b/>
          <w:bCs/>
          <w:sz w:val="32"/>
          <w:szCs w:val="32"/>
          <w:lang w:val="en-US" w:eastAsia="zh-CN"/>
        </w:rPr>
        <w:t>三是因公出国（境）管理。</w:t>
      </w:r>
      <w:r>
        <w:rPr>
          <w:rFonts w:hint="eastAsia" w:ascii="仿宋" w:hAnsi="仿宋" w:eastAsia="仿宋" w:cs="仿宋"/>
          <w:sz w:val="32"/>
          <w:szCs w:val="32"/>
          <w:lang w:val="en-US" w:eastAsia="zh-CN"/>
        </w:rPr>
        <w:t>2019年单位人员</w:t>
      </w:r>
      <w:r>
        <w:rPr>
          <w:rFonts w:hint="eastAsia" w:ascii="仿宋" w:hAnsi="仿宋" w:eastAsia="仿宋" w:cs="仿宋"/>
          <w:color w:val="auto"/>
          <w:sz w:val="32"/>
          <w:szCs w:val="32"/>
          <w:lang w:val="en-US" w:eastAsia="zh-CN"/>
        </w:rPr>
        <w:t>无</w:t>
      </w:r>
      <w:r>
        <w:rPr>
          <w:rFonts w:hint="eastAsia" w:ascii="仿宋" w:hAnsi="仿宋" w:eastAsia="仿宋" w:cs="仿宋"/>
          <w:sz w:val="32"/>
          <w:szCs w:val="32"/>
          <w:lang w:val="en-US" w:eastAsia="zh-CN"/>
        </w:rPr>
        <w:t>因公出国，也未安排预算。</w:t>
      </w: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w:t>
      </w:r>
      <w:r>
        <w:rPr>
          <w:rFonts w:hint="eastAsia" w:ascii="仿宋_GB2312" w:hAnsi="仿宋" w:eastAsia="仿宋_GB2312"/>
          <w:b/>
          <w:bCs/>
          <w:sz w:val="32"/>
          <w:szCs w:val="32"/>
          <w:lang w:val="en-US" w:eastAsia="zh-CN"/>
        </w:rPr>
        <w:t>4.加强资产管理。</w:t>
      </w:r>
      <w:r>
        <w:rPr>
          <w:rFonts w:hint="eastAsia" w:ascii="仿宋_GB2312" w:hAnsi="仿宋" w:eastAsia="仿宋_GB2312"/>
          <w:sz w:val="32"/>
          <w:szCs w:val="32"/>
          <w:lang w:val="en-US" w:eastAsia="zh-CN"/>
        </w:rPr>
        <w:t>为规范和加强单位国有资产管理，确保国有资产安全性和完整性。</w:t>
      </w:r>
      <w:r>
        <w:rPr>
          <w:rFonts w:hint="eastAsia" w:ascii="仿宋_GB2312" w:hAnsi="仿宋" w:eastAsia="仿宋_GB2312"/>
          <w:b/>
          <w:bCs/>
          <w:sz w:val="32"/>
          <w:szCs w:val="32"/>
          <w:lang w:val="en-US" w:eastAsia="zh-CN"/>
        </w:rPr>
        <w:t>一是统一购置。</w:t>
      </w:r>
      <w:r>
        <w:rPr>
          <w:rFonts w:hint="eastAsia" w:ascii="仿宋_GB2312" w:hAnsi="仿宋" w:eastAsia="仿宋_GB2312"/>
          <w:sz w:val="32"/>
          <w:szCs w:val="32"/>
          <w:lang w:val="en-US" w:eastAsia="zh-CN"/>
        </w:rPr>
        <w:t>新组建局后，确因工作急需配备的，事前申请，达到固定资产标准的，经政府采购程序实施完后，一律由办公室统一保管，需求人签字认领，建立台账。</w:t>
      </w:r>
      <w:r>
        <w:rPr>
          <w:rFonts w:hint="eastAsia" w:ascii="仿宋_GB2312" w:hAnsi="仿宋" w:eastAsia="仿宋_GB2312"/>
          <w:b/>
          <w:bCs/>
          <w:sz w:val="32"/>
          <w:szCs w:val="32"/>
          <w:lang w:val="en-US" w:eastAsia="zh-CN"/>
        </w:rPr>
        <w:t>二是定期盘点。</w:t>
      </w:r>
      <w:r>
        <w:rPr>
          <w:rFonts w:hint="eastAsia" w:ascii="仿宋_GB2312" w:hAnsi="仿宋" w:eastAsia="仿宋_GB2312"/>
          <w:sz w:val="32"/>
          <w:szCs w:val="32"/>
          <w:lang w:val="en-US" w:eastAsia="zh-CN"/>
        </w:rPr>
        <w:t>实行定期清查盘点，对各领导干部办公室、各科室的所有使用的实有资产进行了全面清点登记，对年度内新增及由于年限已久、维修成本高的按规定程序报审，防止国有资产流失。</w:t>
      </w:r>
      <w:r>
        <w:rPr>
          <w:rFonts w:hint="eastAsia" w:ascii="仿宋_GB2312" w:hAnsi="仿宋" w:eastAsia="仿宋_GB2312"/>
          <w:b/>
          <w:bCs/>
          <w:sz w:val="32"/>
          <w:szCs w:val="32"/>
          <w:lang w:val="en-US" w:eastAsia="zh-CN"/>
        </w:rPr>
        <w:t>三是及时变更。</w:t>
      </w:r>
      <w:r>
        <w:rPr>
          <w:rFonts w:hint="eastAsia" w:ascii="仿宋_GB2312" w:hAnsi="仿宋" w:eastAsia="仿宋_GB2312"/>
          <w:sz w:val="32"/>
          <w:szCs w:val="32"/>
          <w:lang w:val="en-US" w:eastAsia="zh-CN"/>
        </w:rPr>
        <w:t>因人员离职、调动、退休后，在信息系统中及时变更卡片信息。</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
          <w:sz w:val="32"/>
          <w:szCs w:val="32"/>
          <w:lang w:val="en-US" w:eastAsia="zh-CN"/>
        </w:rPr>
      </w:pPr>
      <w:r>
        <w:rPr>
          <w:rFonts w:hint="eastAsia" w:ascii="仿宋_GB2312" w:hAnsi="仿宋"/>
          <w:sz w:val="32"/>
          <w:szCs w:val="32"/>
          <w:lang w:val="en-US" w:eastAsia="zh-CN"/>
        </w:rPr>
        <w:t>　　</w:t>
      </w:r>
      <w:r>
        <w:rPr>
          <w:rFonts w:hint="eastAsia" w:ascii="仿宋_GB2312" w:hAnsi="仿宋"/>
          <w:b/>
          <w:bCs/>
          <w:sz w:val="32"/>
          <w:szCs w:val="32"/>
          <w:lang w:val="en-US" w:eastAsia="zh-CN"/>
        </w:rPr>
        <w:t>5.加强信息公开。</w:t>
      </w:r>
      <w:r>
        <w:rPr>
          <w:rFonts w:hint="eastAsia" w:ascii="仿宋_GB2312" w:hAnsi="仿宋"/>
          <w:sz w:val="32"/>
          <w:szCs w:val="32"/>
          <w:lang w:val="en-US" w:eastAsia="zh-CN"/>
        </w:rPr>
        <w:t>严格按照预算法、政府信息公开条例等规定，将本单位批复的部门预决算及报表在规定时间内、在规定的网站向社会公开，全面接受监督。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　6.依法接受审计和财政监督。</w:t>
      </w:r>
      <w:r>
        <w:rPr>
          <w:rFonts w:hint="eastAsia" w:ascii="仿宋" w:hAnsi="仿宋" w:eastAsia="仿宋" w:cs="仿宋"/>
          <w:sz w:val="32"/>
          <w:szCs w:val="32"/>
          <w:lang w:val="en-US" w:eastAsia="zh-CN"/>
        </w:rPr>
        <w:t>牢固树立法制观念，视财经纪律为高压线，严格执行财经纪律，强化会计监督，防范风险隐患，自觉、依法接受审计和财政监督。去年来接受了市财政局关于2018年食品抽检经费的绩效评价和2019年民营经济发展专项资金审计，今年来接受了市审计局疫情防控资金专项审计和省审计厅疑点数据核实调查取证工作；接受市财政局疫情防控资金专项检查和专项资金使用的督查，增强政策的执行力，确保财政性资金规范管理、高效使用。</w:t>
      </w:r>
    </w:p>
    <w:p>
      <w:pPr>
        <w:pStyle w:val="2"/>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黑体" w:hAnsi="黑体" w:eastAsia="黑体" w:cs="黑体"/>
          <w:lang w:val="en-US" w:eastAsia="zh-CN"/>
        </w:rPr>
      </w:pPr>
      <w:r>
        <w:rPr>
          <w:rFonts w:hint="eastAsia" w:ascii="黑体" w:hAnsi="黑体" w:eastAsia="黑体" w:cs="黑体"/>
          <w:sz w:val="32"/>
          <w:szCs w:val="32"/>
          <w:lang w:val="en-US" w:eastAsia="zh-CN"/>
        </w:rPr>
        <w:t>　　四、评价结论</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left="0" w:leftChars="0" w:firstLine="480" w:firstLineChars="150"/>
        <w:textAlignment w:val="auto"/>
        <w:outlineLvl w:val="9"/>
        <w:rPr>
          <w:rFonts w:hint="eastAsia"/>
          <w:bCs/>
          <w:sz w:val="32"/>
          <w:szCs w:val="32"/>
        </w:rPr>
      </w:pPr>
      <w:r>
        <w:rPr>
          <w:rFonts w:hint="eastAsia"/>
          <w:bCs/>
          <w:sz w:val="32"/>
          <w:szCs w:val="32"/>
        </w:rPr>
        <w:t>通过</w:t>
      </w:r>
      <w:r>
        <w:rPr>
          <w:rFonts w:hint="eastAsia"/>
          <w:bCs/>
          <w:sz w:val="32"/>
          <w:szCs w:val="32"/>
          <w:lang w:eastAsia="zh-CN"/>
        </w:rPr>
        <w:t>对所有项目进行绩效自评，年度</w:t>
      </w:r>
      <w:r>
        <w:rPr>
          <w:rFonts w:hint="eastAsia"/>
          <w:bCs/>
          <w:sz w:val="32"/>
          <w:szCs w:val="32"/>
        </w:rPr>
        <w:t>项目</w:t>
      </w:r>
      <w:r>
        <w:rPr>
          <w:rFonts w:hint="eastAsia"/>
          <w:bCs/>
          <w:sz w:val="32"/>
          <w:szCs w:val="32"/>
          <w:lang w:eastAsia="zh-CN"/>
        </w:rPr>
        <w:t>全面、高效实施</w:t>
      </w:r>
      <w:r>
        <w:rPr>
          <w:rFonts w:hint="eastAsia"/>
          <w:bCs/>
          <w:sz w:val="32"/>
          <w:szCs w:val="32"/>
        </w:rPr>
        <w:t>，</w:t>
      </w:r>
      <w:r>
        <w:rPr>
          <w:rFonts w:hint="eastAsia"/>
          <w:bCs/>
          <w:sz w:val="32"/>
          <w:szCs w:val="32"/>
          <w:lang w:eastAsia="zh-CN"/>
        </w:rPr>
        <w:t>严肃了财经纪律，</w:t>
      </w:r>
      <w:r>
        <w:rPr>
          <w:rFonts w:hint="eastAsia"/>
          <w:bCs/>
          <w:sz w:val="32"/>
          <w:szCs w:val="32"/>
        </w:rPr>
        <w:t>强化了资金管理，</w:t>
      </w:r>
      <w:r>
        <w:rPr>
          <w:rFonts w:hint="eastAsia"/>
          <w:bCs/>
          <w:sz w:val="32"/>
          <w:szCs w:val="32"/>
          <w:lang w:eastAsia="zh-CN"/>
        </w:rPr>
        <w:t>加强会计核算</w:t>
      </w:r>
      <w:r>
        <w:rPr>
          <w:rFonts w:hint="eastAsia"/>
          <w:bCs/>
          <w:sz w:val="32"/>
          <w:szCs w:val="32"/>
        </w:rPr>
        <w:t>，充分发挥了资金的使用效益。</w:t>
      </w:r>
      <w:r>
        <w:rPr>
          <w:rFonts w:hint="eastAsia"/>
          <w:bCs/>
          <w:sz w:val="32"/>
          <w:szCs w:val="32"/>
          <w:lang w:eastAsia="zh-CN"/>
        </w:rPr>
        <w:t>各项数量、质量、成本效益、公众满意度指标值全部达到预期效果，</w:t>
      </w:r>
      <w:r>
        <w:rPr>
          <w:rFonts w:hint="eastAsia"/>
          <w:bCs/>
          <w:sz w:val="32"/>
          <w:szCs w:val="32"/>
        </w:rPr>
        <w:t>较好地保障了全市</w:t>
      </w:r>
      <w:r>
        <w:rPr>
          <w:rFonts w:hint="eastAsia"/>
          <w:bCs/>
          <w:sz w:val="32"/>
          <w:szCs w:val="32"/>
          <w:lang w:eastAsia="zh-CN"/>
        </w:rPr>
        <w:t>公众健康</w:t>
      </w:r>
      <w:r>
        <w:rPr>
          <w:rFonts w:hint="eastAsia"/>
          <w:bCs/>
          <w:sz w:val="32"/>
          <w:szCs w:val="32"/>
        </w:rPr>
        <w:t>安全，提升了全市人民群众健康指数，带来了良好的经济效益和社会效益。</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巴中市市场监督管理局</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spacing w:val="-20"/>
          <w:sz w:val="44"/>
          <w:szCs w:val="44"/>
          <w:lang w:val="en-US" w:eastAsia="zh-CN"/>
        </w:rPr>
      </w:pPr>
      <w:r>
        <w:rPr>
          <w:rFonts w:hint="eastAsia" w:ascii="黑体" w:hAnsi="黑体" w:eastAsia="黑体" w:cs="黑体"/>
          <w:spacing w:val="-20"/>
          <w:sz w:val="44"/>
          <w:szCs w:val="44"/>
          <w:lang w:val="en-US" w:eastAsia="zh-CN"/>
        </w:rPr>
        <w:t>关于2019年市级食品安全抽检监测经费</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spacing w:val="-20"/>
          <w:sz w:val="44"/>
          <w:szCs w:val="44"/>
          <w:lang w:val="en-US" w:eastAsia="zh-CN"/>
        </w:rPr>
      </w:pPr>
      <w:r>
        <w:rPr>
          <w:rFonts w:hint="eastAsia" w:ascii="黑体" w:hAnsi="黑体" w:eastAsia="黑体" w:cs="黑体"/>
          <w:spacing w:val="-20"/>
          <w:sz w:val="44"/>
          <w:szCs w:val="44"/>
          <w:lang w:val="en-US" w:eastAsia="zh-CN"/>
        </w:rPr>
        <w:t>绩效评价的报告</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6"/>
        </w:numPr>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　　（一）项目基本情况</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bCs w:val="0"/>
          <w:sz w:val="32"/>
          <w:szCs w:val="32"/>
          <w:lang w:val="en-US" w:eastAsia="zh-CN"/>
        </w:rPr>
      </w:pPr>
      <w:r>
        <w:rPr>
          <w:rFonts w:hint="eastAsia" w:ascii="仿宋" w:hAnsi="仿宋" w:eastAsia="仿宋" w:cs="仿宋"/>
          <w:bCs/>
          <w:sz w:val="32"/>
          <w:szCs w:val="32"/>
          <w:lang w:val="en-US" w:eastAsia="zh-CN"/>
        </w:rPr>
        <w:t>　</w:t>
      </w:r>
      <w:r>
        <w:rPr>
          <w:rFonts w:hint="eastAsia" w:ascii="仿宋" w:hAnsi="仿宋" w:eastAsia="仿宋" w:cs="仿宋"/>
          <w:b/>
          <w:bCs w:val="0"/>
          <w:sz w:val="32"/>
          <w:szCs w:val="32"/>
          <w:lang w:val="en-US" w:eastAsia="zh-CN"/>
        </w:rPr>
        <w:t>　1.基本职能。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（1）负责全市市场综合监督管理工作。贯彻执行国家和省市场监督管理的方针、政策和有关法律法规，</w:t>
      </w:r>
      <w:r>
        <w:rPr>
          <w:rFonts w:hint="eastAsia" w:ascii="仿宋" w:hAnsi="仿宋" w:eastAsia="仿宋" w:cs="仿宋"/>
          <w:color w:val="333333"/>
          <w:kern w:val="0"/>
          <w:sz w:val="32"/>
          <w:szCs w:val="32"/>
          <w:shd w:val="clear" w:fill="FFFFFF"/>
          <w:lang w:val="en-US" w:eastAsia="zh-CN" w:bidi="ar"/>
        </w:rPr>
        <w:t>拟订相关规范性文件和措施，经批准后监督实施</w:t>
      </w:r>
      <w:r>
        <w:rPr>
          <w:rFonts w:hint="eastAsia" w:ascii="仿宋" w:hAnsi="仿宋" w:eastAsia="仿宋" w:cs="仿宋"/>
          <w:color w:val="333333"/>
          <w:kern w:val="0"/>
          <w:sz w:val="32"/>
          <w:szCs w:val="32"/>
          <w:lang w:val="en-US" w:eastAsia="zh-CN" w:bidi="ar"/>
        </w:rPr>
        <w:t>。组织实施质量强市、食品安全、标准化和知识产权战略，拟订并组织实施全市食品安全等规划，规范和维护市场秩序，营造诚实守信、公平竞争的市场环境。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2）负责全市市场主体统一登记注册。负责和指导全市各类企业、农民专业合作社和从事经营活动的单位、个体工商户等市场主体的登记注册和监督管理工作。建立市场主体信息公示和共享机制，依法公示和共享有关信息，加强信用监管，推动市场主体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3）负责组织和指导全市市场监督管理综合执法工作。指导全市市场监管综合执法队伍整合和建设，推动实行统一的市场监管。组织查处和督办大案要案、疑难案件、跨区域案件。规范市场监督管理行政执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（4）负责全市反垄断相关工作。统筹推进竞争政策实施，组织实施公平竞争审查制度。根据省市场监督管理局委托，开展相关反垄断调查工作，指导本市企业在国外的反垄断应诉工作。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5）负责监督管理全市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指导市保护消费者权益委员会开展消费维权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6）负责全市宏观质量管理。拟订并组织实施质量发展的制度措施。统筹全市质量基础设施建设与应用。会同有关部门组织实施重大工程设备质量监理制度，组织重大产品质量事故调查，贯彻实施缺陷产品召回制度，监督管理产品防伪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（7）负责全市产品质量安全监督管理。负责产品质量监督抽查和风险监控工作，组织实施质量分级制度、质量安全追溯制度。负责工业产品生产许可管理。负责纤维质量监督工作。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（8）负责全市特种设备安全监督管理。综合管理特种设备安全监察、监督工作，监督检查高耗能特种设备节能标准和锅炉产品环境保护标准的执行情况。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（9）负责全市食品安全监督管理综合协调。统筹指导全市食品安全工作。负责食品安全应急体系建设，依法组织、指导全</w:t>
      </w:r>
      <w:r>
        <w:rPr>
          <w:rFonts w:hint="eastAsia" w:ascii="仿宋" w:hAnsi="仿宋" w:eastAsia="仿宋" w:cs="仿宋"/>
          <w:color w:val="000000"/>
          <w:kern w:val="0"/>
          <w:sz w:val="32"/>
          <w:szCs w:val="32"/>
          <w:lang w:val="en-US" w:eastAsia="zh-CN" w:bidi="ar"/>
        </w:rPr>
        <w:t>市食品安全事件</w:t>
      </w:r>
      <w:r>
        <w:rPr>
          <w:rFonts w:hint="eastAsia" w:ascii="仿宋" w:hAnsi="仿宋" w:eastAsia="仿宋" w:cs="仿宋"/>
          <w:color w:val="333333"/>
          <w:kern w:val="0"/>
          <w:sz w:val="32"/>
          <w:szCs w:val="32"/>
          <w:lang w:val="en-US" w:eastAsia="zh-CN" w:bidi="ar"/>
        </w:rPr>
        <w:t>应急处置和调查处理工作。落实食品安全重要信息直报制度。承担市食品安全委员会日常工作。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10）负责全市食品安全监督管理。建立覆盖食品生产、流通、消费全过程的监督检查制度和隐患排查治理机制并组织实施，防范区域性、系统性食品安全风险。推动建立食品生产经营者落实主体责任机制，指导督促食品安全追溯体系建设。指导督促食品生产经营企业的安全生产工作，组织开展食品安全监督抽检、风险监测、核查处置和风险预警、风险交流工作。组织实施特殊食品的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（11）负责统一管理全市计量工作。推行国家法定计量单位，执行国家计量制度，管理计量器具及量值传递和比对工作。规范、监督商品量和计量行为。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12）负责统一管理全市标准化工作。依法承担草拟区域性地方标准及区域性地方标准统一计划、统一编号、统一发布等工作和团体标准的管理工作。依法协调指导区县地方标准、团体标准制定工作。依法组织地方标准的贯彻实施和实施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（13）负责统一管理全市检验检测工作。规范检验检测市场，完善检验检测体系，指导协调检验检测行业发展。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（14）负责统一管理全市认证认可工作。监督管理认证认可和合格评定工作。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（15）负责市场监督管理科技和信息化建设、新闻宣传。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（16）负责知识产权保护，负责组织指导商标、专利执法工作。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17）负责促进全市民营经济发展。负责全市民营经济发展工作的任务制定、调查研究、统筹协调、督促落实及民营企业合法权益维护。在市委组织部指导下，指导全市市场监督管理部门配合党委组织部门开展小微企业、个体工商户、专业市场的党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18）负责贯彻落实执行国家、省有关药品（含中药、民族药，下同）、医疗器械和化妆品监督管理的方针政策和法律法规。负责药品零售、医疗器械经营的安全监测、许可、检查和处罚，以及化妆品经营和药品、医疗器械使用环节质量的安全监测、检查和处罚，参与省药监局组织的监督检查。指导县区药品、医疗器械和化妆品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（19）贯彻落实国家、省、市食品医药产业发展有关政策，</w:t>
      </w:r>
      <w:r>
        <w:rPr>
          <w:rFonts w:hint="eastAsia" w:ascii="仿宋" w:hAnsi="仿宋" w:eastAsia="仿宋" w:cs="仿宋"/>
          <w:color w:val="000000"/>
          <w:kern w:val="0"/>
          <w:sz w:val="32"/>
          <w:szCs w:val="32"/>
          <w:lang w:val="en-US" w:eastAsia="zh-CN" w:bidi="ar"/>
        </w:rPr>
        <w:t>承担牵头组织实施生物医药发展工作，配合有关部门推动道地药材、食品饮料发展。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color w:val="333333"/>
          <w:sz w:val="21"/>
          <w:szCs w:val="21"/>
        </w:rPr>
      </w:pPr>
      <w:r>
        <w:rPr>
          <w:rFonts w:hint="eastAsia" w:ascii="仿宋" w:hAnsi="仿宋" w:eastAsia="仿宋" w:cs="仿宋"/>
          <w:color w:val="333333"/>
          <w:kern w:val="0"/>
          <w:sz w:val="32"/>
          <w:szCs w:val="32"/>
          <w:lang w:val="en-US" w:eastAsia="zh-CN" w:bidi="ar"/>
        </w:rPr>
        <w:t>　　（20）负责职责范围内的安全生产和职业健康、生态环境保护、审批服务便民化等工作。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bCs/>
          <w:sz w:val="32"/>
          <w:szCs w:val="32"/>
          <w:lang w:val="en-US" w:eastAsia="zh-CN"/>
        </w:rPr>
      </w:pPr>
      <w:r>
        <w:rPr>
          <w:rFonts w:hint="eastAsia" w:ascii="仿宋" w:hAnsi="仿宋" w:eastAsia="仿宋" w:cs="仿宋"/>
          <w:color w:val="333333"/>
          <w:kern w:val="0"/>
          <w:sz w:val="32"/>
          <w:szCs w:val="32"/>
          <w:lang w:val="en-US" w:eastAsia="zh-CN" w:bidi="ar"/>
        </w:rPr>
        <w:t>　　（21）完成市委、市政府交办的其他任务。</w:t>
      </w:r>
    </w:p>
    <w:p>
      <w:pPr>
        <w:keepNext w:val="0"/>
        <w:keepLines w:val="0"/>
        <w:pageBreakBefore w:val="0"/>
        <w:widowControl w:val="0"/>
        <w:numPr>
          <w:ilvl w:val="0"/>
          <w:numId w:val="0"/>
        </w:numPr>
        <w:kinsoku/>
        <w:wordWrap/>
        <w:overflowPunct/>
        <w:topLinePunct w:val="0"/>
        <w:autoSpaceDE/>
        <w:autoSpaceDN/>
        <w:bidi w:val="0"/>
        <w:spacing w:line="560" w:lineRule="exact"/>
        <w:ind w:firstLine="642"/>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2.项目立项、资金申报的依据。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2"/>
        <w:textAlignment w:val="auto"/>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根据</w:t>
      </w:r>
      <w:r>
        <w:rPr>
          <w:rFonts w:hint="eastAsia" w:ascii="仿宋" w:hAnsi="仿宋" w:eastAsia="仿宋" w:cs="仿宋"/>
          <w:b w:val="0"/>
          <w:i w:val="0"/>
          <w:caps w:val="0"/>
          <w:color w:val="333333"/>
          <w:spacing w:val="0"/>
          <w:sz w:val="32"/>
          <w:szCs w:val="32"/>
          <w:shd w:val="clear" w:fill="FFFFFF"/>
        </w:rPr>
        <w:t>《“十三五”国家食品安全规划》</w:t>
      </w:r>
      <w:r>
        <w:rPr>
          <w:rFonts w:hint="eastAsia" w:ascii="仿宋" w:hAnsi="仿宋" w:eastAsia="仿宋" w:cs="仿宋"/>
          <w:b w:val="0"/>
          <w:i w:val="0"/>
          <w:caps w:val="0"/>
          <w:color w:val="333333"/>
          <w:spacing w:val="0"/>
          <w:sz w:val="32"/>
          <w:szCs w:val="32"/>
          <w:shd w:val="clear" w:fill="FFFFFF"/>
          <w:lang w:val="en-US" w:eastAsia="zh-CN"/>
        </w:rPr>
        <w:t>中“</w:t>
      </w:r>
      <w:r>
        <w:rPr>
          <w:rFonts w:hint="eastAsia" w:ascii="仿宋" w:hAnsi="仿宋" w:eastAsia="仿宋" w:cs="仿宋"/>
          <w:b w:val="0"/>
          <w:i w:val="0"/>
          <w:caps w:val="0"/>
          <w:color w:val="333333"/>
          <w:spacing w:val="0"/>
          <w:sz w:val="32"/>
          <w:szCs w:val="32"/>
          <w:shd w:val="clear" w:fill="FFFFFF"/>
        </w:rPr>
        <w:t>国家统一安排计划、各地区各有关部门分别组织实施的食品检验量达到每年4份/千人。</w:t>
      </w:r>
      <w:r>
        <w:rPr>
          <w:rFonts w:hint="eastAsia" w:ascii="仿宋" w:hAnsi="仿宋" w:eastAsia="仿宋" w:cs="仿宋"/>
          <w:b w:val="0"/>
          <w:i w:val="0"/>
          <w:caps w:val="0"/>
          <w:color w:val="333333"/>
          <w:spacing w:val="0"/>
          <w:sz w:val="32"/>
          <w:szCs w:val="32"/>
          <w:shd w:val="clear" w:fill="FFFFFF"/>
          <w:lang w:val="en-US" w:eastAsia="zh-CN"/>
        </w:rPr>
        <w:t>其中，各省（区、市）组织的主要针对农药兽药残留的食品检验量不低于每年2份/千人”的要求，依据历年市级食品安全抽检监测品种批次的完成情况及资金使用情况，合理申报预算2019年食品安全抽检监测专项经费并认真组织实施，以保障全市人民饮食安全。</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w:t>
      </w:r>
      <w:r>
        <w:rPr>
          <w:rFonts w:hint="eastAsia" w:ascii="仿宋" w:hAnsi="仿宋" w:eastAsia="仿宋" w:cs="仿宋"/>
          <w:b/>
          <w:bCs/>
          <w:i w:val="0"/>
          <w:caps w:val="0"/>
          <w:color w:val="333333"/>
          <w:spacing w:val="0"/>
          <w:sz w:val="32"/>
          <w:szCs w:val="32"/>
          <w:shd w:val="clear" w:fill="FFFFFF"/>
          <w:lang w:val="en-US" w:eastAsia="zh-CN"/>
        </w:rPr>
        <w:t>3.资金管理办法制定情况，资金支持具体项目的条件、范围与支持方式概况。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一是严格按照《四川省财政厅　四川省市场监督管理局关于印发&lt;四川省市场监管专项资金管理办法&gt;的通知》（川财行</w:t>
      </w:r>
      <w:r>
        <w:rPr>
          <w:rFonts w:hint="eastAsia" w:ascii="宋体" w:hAnsi="宋体" w:eastAsia="宋体" w:cs="宋体"/>
          <w:b w:val="0"/>
          <w:i w:val="0"/>
          <w:caps w:val="0"/>
          <w:color w:val="333333"/>
          <w:spacing w:val="0"/>
          <w:sz w:val="32"/>
          <w:szCs w:val="32"/>
          <w:shd w:val="clear" w:fill="FFFFFF"/>
          <w:lang w:val="en-US" w:eastAsia="zh-CN"/>
        </w:rPr>
        <w:t>〔2019〕74号</w:t>
      </w:r>
      <w:r>
        <w:rPr>
          <w:rFonts w:hint="eastAsia" w:ascii="仿宋" w:hAnsi="仿宋" w:eastAsia="仿宋" w:cs="仿宋"/>
          <w:b w:val="0"/>
          <w:i w:val="0"/>
          <w:caps w:val="0"/>
          <w:color w:val="333333"/>
          <w:spacing w:val="0"/>
          <w:sz w:val="32"/>
          <w:szCs w:val="32"/>
          <w:shd w:val="clear" w:fill="FFFFFF"/>
          <w:lang w:val="en-US" w:eastAsia="zh-CN"/>
        </w:rPr>
        <w:t>）及《四川省财政厅　四川省市场监督管理局　四川省药品监督管理局关于印发&lt;中央食品药品监管补助资金管理实施细则》（川财行</w:t>
      </w:r>
      <w:r>
        <w:rPr>
          <w:rFonts w:hint="eastAsia" w:ascii="宋体" w:hAnsi="宋体" w:eastAsia="宋体" w:cs="宋体"/>
          <w:b w:val="0"/>
          <w:i w:val="0"/>
          <w:caps w:val="0"/>
          <w:color w:val="333333"/>
          <w:spacing w:val="0"/>
          <w:sz w:val="32"/>
          <w:szCs w:val="32"/>
          <w:shd w:val="clear" w:fill="FFFFFF"/>
          <w:lang w:val="en-US" w:eastAsia="zh-CN"/>
        </w:rPr>
        <w:t>〔2019〕94号</w:t>
      </w:r>
      <w:r>
        <w:rPr>
          <w:rFonts w:hint="eastAsia" w:ascii="仿宋" w:hAnsi="仿宋" w:eastAsia="仿宋" w:cs="仿宋"/>
          <w:b w:val="0"/>
          <w:i w:val="0"/>
          <w:caps w:val="0"/>
          <w:color w:val="333333"/>
          <w:spacing w:val="0"/>
          <w:sz w:val="32"/>
          <w:szCs w:val="32"/>
          <w:shd w:val="clear" w:fill="FFFFFF"/>
          <w:lang w:val="en-US" w:eastAsia="zh-CN"/>
        </w:rPr>
        <w:t>）、局机关《财务管理制度》及《内控管理制度》、《政府采购法》等有关财经法律法规；二是主要是针对全市食品抽检情况进行全面监督抽样监测，追加预算为抽检工作经费主要用于市食品抽检工作中委托业务费、差旅费、办公费、公务车辆运行费等。三是资金最终通过国库支付中心直接到中标单位。</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　　4.资金分配的原则及考虑因素。</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资金分配主要采取据实据效法和因素法、项目法等进行分配。一是据实据效法。根据项目任务、成本补偿（补助）标准、绩效评价结果、监管工作配合度等共同确定。二是因素法。包括基本因素、业务因素、绩效因素、监管工作配合度和财力因素等经权重计算后确定。三是项目法。根据相关规划、年度计划、项目审核，按工作量计算确定项目承</w:t>
      </w:r>
      <w:r>
        <w:rPr>
          <w:rFonts w:hint="eastAsia" w:ascii="仿宋" w:hAnsi="仿宋" w:eastAsia="仿宋" w:cs="仿宋"/>
          <w:b w:val="0"/>
          <w:i w:val="0"/>
          <w:caps w:val="0"/>
          <w:color w:val="FF0000"/>
          <w:spacing w:val="0"/>
          <w:sz w:val="32"/>
          <w:szCs w:val="32"/>
          <w:shd w:val="clear" w:fill="FFFFFF"/>
          <w:lang w:val="en-US" w:eastAsia="zh-CN"/>
        </w:rPr>
        <w:t>担</w:t>
      </w:r>
      <w:r>
        <w:rPr>
          <w:rFonts w:hint="eastAsia" w:ascii="仿宋" w:hAnsi="仿宋" w:eastAsia="仿宋" w:cs="仿宋"/>
          <w:b w:val="0"/>
          <w:i w:val="0"/>
          <w:caps w:val="0"/>
          <w:color w:val="333333"/>
          <w:spacing w:val="0"/>
          <w:sz w:val="32"/>
          <w:szCs w:val="32"/>
          <w:shd w:val="clear" w:fill="FFFFFF"/>
          <w:lang w:val="en-US" w:eastAsia="zh-CN"/>
        </w:rPr>
        <w:t>单位实际资金需求，采取直接补助方式安排。</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楷体" w:hAnsi="楷体" w:eastAsia="楷体" w:cs="楷体"/>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w:t>
      </w:r>
      <w:r>
        <w:rPr>
          <w:rFonts w:hint="eastAsia" w:ascii="楷体" w:hAnsi="楷体" w:eastAsia="楷体" w:cs="楷体"/>
          <w:b w:val="0"/>
          <w:i w:val="0"/>
          <w:caps w:val="0"/>
          <w:color w:val="333333"/>
          <w:spacing w:val="0"/>
          <w:sz w:val="32"/>
          <w:szCs w:val="32"/>
          <w:shd w:val="clear" w:fill="FFFFFF"/>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lang w:eastAsia="zh-CN"/>
        </w:rPr>
      </w:pPr>
      <w:r>
        <w:rPr>
          <w:rFonts w:hint="eastAsia" w:ascii="仿宋" w:hAnsi="仿宋" w:eastAsia="仿宋" w:cs="仿宋"/>
          <w:b/>
          <w:bCs/>
          <w:i w:val="0"/>
          <w:caps w:val="0"/>
          <w:color w:val="333333"/>
          <w:spacing w:val="0"/>
          <w:sz w:val="32"/>
          <w:szCs w:val="32"/>
          <w:shd w:val="clear" w:fill="FFFFFF"/>
          <w:lang w:val="en-US" w:eastAsia="zh-CN"/>
        </w:rPr>
        <w:t>1.项目主要内容。</w:t>
      </w:r>
      <w:r>
        <w:rPr>
          <w:rFonts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9年</w:t>
      </w:r>
      <w:r>
        <w:rPr>
          <w:rFonts w:hint="eastAsia" w:ascii="仿宋_GB2312" w:hAnsi="仿宋_GB2312" w:eastAsia="仿宋_GB2312" w:cs="仿宋_GB2312"/>
          <w:bCs/>
          <w:sz w:val="32"/>
          <w:szCs w:val="32"/>
        </w:rPr>
        <w:t>结合本市实际，科学计划、构建机制、规范行为、深挖数据，始终坚持以问题为导向，紧紧围绕高风险产品、食品“潜规则”等开展抽检</w:t>
      </w:r>
      <w:r>
        <w:rPr>
          <w:rFonts w:hint="eastAsia" w:ascii="仿宋_GB2312" w:hAnsi="仿宋_GB2312" w:eastAsia="仿宋_GB2312" w:cs="仿宋_GB2312"/>
          <w:bCs/>
          <w:sz w:val="32"/>
          <w:szCs w:val="32"/>
          <w:lang w:eastAsia="zh-CN"/>
        </w:rPr>
        <w:t>监测</w:t>
      </w:r>
      <w:r>
        <w:rPr>
          <w:rFonts w:hint="eastAsia" w:ascii="仿宋_GB2312" w:hAnsi="仿宋_GB2312" w:eastAsia="仿宋_GB2312" w:cs="仿宋_GB2312"/>
          <w:bCs/>
          <w:sz w:val="32"/>
          <w:szCs w:val="32"/>
        </w:rPr>
        <w:t>工作</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val="en-US" w:eastAsia="zh-CN"/>
        </w:rPr>
        <w:t>2.项目实现的具体绩效目标。</w:t>
      </w:r>
      <w:r>
        <w:rPr>
          <w:rFonts w:hint="eastAsia" w:ascii="仿宋_GB2312" w:hAnsi="仿宋_GB2312" w:eastAsia="仿宋_GB2312" w:cs="仿宋_GB2312"/>
          <w:sz w:val="32"/>
          <w:szCs w:val="32"/>
        </w:rPr>
        <w:t>全市201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年计划实施市级食品安全</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抽检</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在2019年12月31日前</w:t>
      </w:r>
      <w:r>
        <w:rPr>
          <w:rFonts w:hint="eastAsia" w:ascii="仿宋_GB2312" w:hAnsi="仿宋_GB2312" w:eastAsia="仿宋_GB2312" w:cs="仿宋_GB2312"/>
          <w:sz w:val="32"/>
          <w:szCs w:val="32"/>
          <w:lang w:eastAsia="zh-CN"/>
        </w:rPr>
        <w:t>全部完成抽检监测工作。</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3" w:firstLineChars="200"/>
        <w:textAlignment w:val="auto"/>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3.项目资金申报相符性。</w:t>
      </w:r>
      <w:r>
        <w:rPr>
          <w:rFonts w:hint="eastAsia" w:ascii="仿宋" w:hAnsi="仿宋" w:eastAsia="仿宋" w:cs="仿宋"/>
          <w:bCs/>
          <w:sz w:val="32"/>
          <w:szCs w:val="32"/>
          <w:lang w:val="en-US" w:eastAsia="zh-CN"/>
        </w:rPr>
        <w:t>按照年度计划申报市级食品抽检的内容与具体实施内容相符、申报目标是</w:t>
      </w:r>
      <w:r>
        <w:rPr>
          <w:rFonts w:hint="eastAsia" w:ascii="仿宋" w:hAnsi="仿宋" w:eastAsia="仿宋" w:cs="仿宋"/>
          <w:bCs/>
          <w:color w:val="FF0000"/>
          <w:sz w:val="32"/>
          <w:szCs w:val="32"/>
          <w:lang w:val="en-US" w:eastAsia="zh-CN"/>
        </w:rPr>
        <w:t>否</w:t>
      </w:r>
      <w:r>
        <w:rPr>
          <w:rFonts w:hint="eastAsia" w:ascii="仿宋" w:hAnsi="仿宋" w:eastAsia="仿宋" w:cs="仿宋"/>
          <w:bCs/>
          <w:sz w:val="32"/>
          <w:szCs w:val="32"/>
          <w:lang w:val="en-US" w:eastAsia="zh-CN"/>
        </w:rPr>
        <w:t>合理可行，关乎全市公众食品安全，着力解决的一件民生实事。</w:t>
      </w:r>
    </w:p>
    <w:p>
      <w:pPr>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eastAsia" w:ascii="黑体" w:hAnsi="黑体" w:eastAsia="黑体" w:cs="黑体"/>
          <w:b w:val="0"/>
          <w:i w:val="0"/>
          <w:caps w:val="0"/>
          <w:color w:val="333333"/>
          <w:spacing w:val="0"/>
          <w:sz w:val="32"/>
          <w:szCs w:val="32"/>
          <w:shd w:val="clear" w:fill="FFFFFF"/>
          <w:lang w:val="en-US" w:eastAsia="zh-CN"/>
        </w:rPr>
      </w:pPr>
      <w:r>
        <w:rPr>
          <w:rFonts w:hint="eastAsia" w:ascii="黑体" w:hAnsi="黑体" w:eastAsia="黑体" w:cs="黑体"/>
          <w:b w:val="0"/>
          <w:i w:val="0"/>
          <w:caps w:val="0"/>
          <w:color w:val="333333"/>
          <w:spacing w:val="0"/>
          <w:sz w:val="32"/>
          <w:szCs w:val="32"/>
          <w:shd w:val="clear" w:fill="FFFFFF"/>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Cs/>
          <w:sz w:val="32"/>
          <w:szCs w:val="32"/>
          <w:lang w:val="en-US" w:eastAsia="zh-CN"/>
        </w:rPr>
      </w:pPr>
      <w:r>
        <w:rPr>
          <w:rFonts w:hint="eastAsia" w:ascii="楷体" w:hAnsi="楷体" w:eastAsia="楷体" w:cs="楷体"/>
          <w:bCs/>
          <w:sz w:val="32"/>
          <w:szCs w:val="32"/>
          <w:lang w:val="en-US" w:eastAsia="zh-CN"/>
        </w:rPr>
        <w:t>（一）项目资金申报及批复情况。</w:t>
      </w:r>
      <w:r>
        <w:rPr>
          <w:rFonts w:hint="eastAsia" w:ascii="仿宋" w:hAnsi="仿宋" w:eastAsia="仿宋" w:cs="仿宋"/>
          <w:bCs/>
          <w:sz w:val="32"/>
          <w:szCs w:val="32"/>
        </w:rPr>
        <w:t>严格执行《预算法》，按市财政局出台的</w:t>
      </w:r>
      <w:r>
        <w:rPr>
          <w:rFonts w:hint="eastAsia" w:ascii="仿宋" w:hAnsi="仿宋" w:eastAsia="仿宋" w:cs="仿宋"/>
          <w:bCs/>
          <w:sz w:val="32"/>
          <w:szCs w:val="32"/>
          <w:lang w:val="en-US" w:eastAsia="zh-CN"/>
        </w:rPr>
        <w:t>2019年</w:t>
      </w:r>
      <w:r>
        <w:rPr>
          <w:rFonts w:hint="eastAsia" w:ascii="仿宋" w:hAnsi="仿宋" w:eastAsia="仿宋" w:cs="仿宋"/>
          <w:bCs/>
          <w:sz w:val="32"/>
          <w:szCs w:val="32"/>
        </w:rPr>
        <w:t>部门预算编制办法规定程序编制</w:t>
      </w:r>
      <w:r>
        <w:rPr>
          <w:rFonts w:hint="eastAsia" w:ascii="仿宋" w:hAnsi="仿宋" w:eastAsia="仿宋" w:cs="仿宋"/>
          <w:bCs/>
          <w:sz w:val="32"/>
          <w:szCs w:val="32"/>
          <w:lang w:eastAsia="zh-CN"/>
        </w:rPr>
        <w:t>部门综合</w:t>
      </w:r>
      <w:r>
        <w:rPr>
          <w:rFonts w:hint="eastAsia" w:ascii="仿宋" w:hAnsi="仿宋" w:eastAsia="仿宋" w:cs="仿宋"/>
          <w:bCs/>
          <w:sz w:val="32"/>
          <w:szCs w:val="32"/>
        </w:rPr>
        <w:t>预算</w:t>
      </w:r>
      <w:r>
        <w:rPr>
          <w:rFonts w:hint="eastAsia" w:ascii="仿宋" w:hAnsi="仿宋" w:eastAsia="仿宋" w:cs="仿宋"/>
          <w:bCs/>
          <w:sz w:val="32"/>
          <w:szCs w:val="32"/>
          <w:lang w:eastAsia="zh-CN"/>
        </w:rPr>
        <w:t>。</w:t>
      </w:r>
      <w:r>
        <w:rPr>
          <w:rFonts w:hint="eastAsia" w:ascii="仿宋" w:hAnsi="仿宋" w:eastAsia="仿宋" w:cs="仿宋"/>
          <w:b/>
          <w:bCs w:val="0"/>
          <w:sz w:val="32"/>
          <w:szCs w:val="32"/>
          <w:lang w:eastAsia="zh-CN"/>
        </w:rPr>
        <w:t>一是</w:t>
      </w:r>
      <w:r>
        <w:rPr>
          <w:rFonts w:hint="eastAsia" w:ascii="仿宋" w:hAnsi="仿宋" w:eastAsia="仿宋" w:cs="仿宋"/>
          <w:bCs/>
          <w:sz w:val="32"/>
          <w:szCs w:val="32"/>
          <w:lang w:eastAsia="zh-CN"/>
        </w:rPr>
        <w:t>预算申报程序。</w:t>
      </w:r>
      <w:r>
        <w:rPr>
          <w:rFonts w:hint="eastAsia" w:ascii="仿宋" w:hAnsi="仿宋" w:eastAsia="仿宋" w:cs="仿宋"/>
          <w:bCs/>
          <w:sz w:val="32"/>
          <w:szCs w:val="32"/>
          <w:lang w:val="en-US" w:eastAsia="zh-CN"/>
        </w:rPr>
        <w:t>根据市财政局关于申报全市重点项目工作实行“一事一议”规定，</w:t>
      </w:r>
      <w:r>
        <w:rPr>
          <w:rFonts w:hint="eastAsia" w:ascii="仿宋" w:hAnsi="仿宋" w:eastAsia="仿宋" w:cs="仿宋"/>
          <w:bCs/>
          <w:sz w:val="32"/>
          <w:szCs w:val="32"/>
        </w:rPr>
        <w:t>先由</w:t>
      </w:r>
      <w:r>
        <w:rPr>
          <w:rFonts w:hint="eastAsia" w:ascii="仿宋" w:hAnsi="仿宋" w:eastAsia="仿宋" w:cs="仿宋"/>
          <w:bCs/>
          <w:sz w:val="32"/>
          <w:szCs w:val="32"/>
          <w:lang w:val="en-US" w:eastAsia="zh-CN"/>
        </w:rPr>
        <w:t>局</w:t>
      </w:r>
      <w:r>
        <w:rPr>
          <w:rFonts w:hint="eastAsia" w:ascii="仿宋" w:hAnsi="仿宋" w:eastAsia="仿宋" w:cs="仿宋"/>
          <w:bCs/>
          <w:sz w:val="32"/>
          <w:szCs w:val="32"/>
        </w:rPr>
        <w:t>食品抽验相关科室</w:t>
      </w:r>
      <w:r>
        <w:rPr>
          <w:rFonts w:hint="eastAsia" w:ascii="仿宋" w:hAnsi="仿宋" w:eastAsia="仿宋" w:cs="仿宋"/>
          <w:bCs/>
          <w:sz w:val="32"/>
          <w:szCs w:val="32"/>
          <w:lang w:val="en-US" w:eastAsia="zh-CN"/>
        </w:rPr>
        <w:t>根据年初目标工作任务，</w:t>
      </w:r>
      <w:r>
        <w:rPr>
          <w:rFonts w:hint="eastAsia" w:ascii="仿宋" w:hAnsi="仿宋" w:eastAsia="仿宋" w:cs="仿宋"/>
          <w:bCs/>
          <w:sz w:val="32"/>
          <w:szCs w:val="32"/>
        </w:rPr>
        <w:t>提出</w:t>
      </w:r>
      <w:r>
        <w:rPr>
          <w:rFonts w:hint="eastAsia" w:ascii="仿宋" w:hAnsi="仿宋" w:eastAsia="仿宋" w:cs="仿宋"/>
          <w:bCs/>
          <w:sz w:val="32"/>
          <w:szCs w:val="32"/>
          <w:lang w:val="en-US" w:eastAsia="zh-CN"/>
        </w:rPr>
        <w:t>市本级</w:t>
      </w:r>
      <w:r>
        <w:rPr>
          <w:rFonts w:hint="eastAsia" w:ascii="仿宋" w:hAnsi="仿宋" w:eastAsia="仿宋" w:cs="仿宋"/>
          <w:bCs/>
          <w:sz w:val="32"/>
          <w:szCs w:val="32"/>
        </w:rPr>
        <w:t>专项抽验所需</w:t>
      </w:r>
      <w:r>
        <w:rPr>
          <w:rFonts w:hint="eastAsia" w:ascii="仿宋" w:hAnsi="仿宋" w:eastAsia="仿宋" w:cs="仿宋"/>
          <w:bCs/>
          <w:sz w:val="32"/>
          <w:szCs w:val="32"/>
          <w:lang w:val="en-US" w:eastAsia="zh-CN"/>
        </w:rPr>
        <w:t>专项</w:t>
      </w:r>
      <w:r>
        <w:rPr>
          <w:rFonts w:hint="eastAsia" w:ascii="仿宋" w:hAnsi="仿宋" w:eastAsia="仿宋" w:cs="仿宋"/>
          <w:bCs/>
          <w:sz w:val="32"/>
          <w:szCs w:val="32"/>
        </w:rPr>
        <w:t>经费</w:t>
      </w:r>
      <w:r>
        <w:rPr>
          <w:rFonts w:hint="eastAsia" w:ascii="仿宋" w:hAnsi="仿宋" w:eastAsia="仿宋" w:cs="仿宋"/>
          <w:bCs/>
          <w:sz w:val="32"/>
          <w:szCs w:val="32"/>
          <w:lang w:val="en-US" w:eastAsia="zh-CN"/>
        </w:rPr>
        <w:t>实施</w:t>
      </w:r>
      <w:r>
        <w:rPr>
          <w:rFonts w:hint="eastAsia" w:ascii="仿宋" w:hAnsi="仿宋" w:eastAsia="仿宋" w:cs="仿宋"/>
          <w:bCs/>
          <w:sz w:val="32"/>
          <w:szCs w:val="32"/>
        </w:rPr>
        <w:t>方案，</w:t>
      </w:r>
      <w:r>
        <w:rPr>
          <w:rFonts w:hint="eastAsia" w:ascii="仿宋" w:hAnsi="仿宋" w:eastAsia="仿宋" w:cs="仿宋"/>
          <w:bCs/>
          <w:sz w:val="32"/>
          <w:szCs w:val="32"/>
          <w:lang w:val="en-US" w:eastAsia="zh-CN"/>
        </w:rPr>
        <w:t>按照“任务栏、时间栏、标准值、成绩单”规范编制好“巴中市2019年市级部门申请项目资金绩效目标”，</w:t>
      </w:r>
      <w:r>
        <w:rPr>
          <w:rFonts w:hint="eastAsia" w:ascii="仿宋" w:hAnsi="仿宋" w:eastAsia="仿宋" w:cs="仿宋"/>
          <w:bCs/>
          <w:sz w:val="32"/>
          <w:szCs w:val="32"/>
        </w:rPr>
        <w:t>财务科依法依规</w:t>
      </w:r>
      <w:r>
        <w:rPr>
          <w:rFonts w:hint="eastAsia" w:ascii="仿宋" w:hAnsi="仿宋" w:eastAsia="仿宋" w:cs="仿宋"/>
          <w:bCs/>
          <w:sz w:val="32"/>
          <w:szCs w:val="32"/>
          <w:lang w:val="en-US" w:eastAsia="zh-CN"/>
        </w:rPr>
        <w:t>初步审定抽检科</w:t>
      </w:r>
      <w:r>
        <w:rPr>
          <w:rFonts w:hint="eastAsia" w:ascii="仿宋" w:hAnsi="仿宋" w:eastAsia="仿宋" w:cs="仿宋"/>
          <w:bCs/>
          <w:sz w:val="32"/>
          <w:szCs w:val="32"/>
        </w:rPr>
        <w:t>编制</w:t>
      </w:r>
      <w:r>
        <w:rPr>
          <w:rFonts w:hint="eastAsia" w:ascii="仿宋" w:hAnsi="仿宋" w:eastAsia="仿宋" w:cs="仿宋"/>
          <w:bCs/>
          <w:sz w:val="32"/>
          <w:szCs w:val="32"/>
          <w:lang w:val="en-US" w:eastAsia="zh-CN"/>
        </w:rPr>
        <w:t>的绩效目标表</w:t>
      </w:r>
      <w:r>
        <w:rPr>
          <w:rFonts w:hint="eastAsia" w:ascii="仿宋" w:hAnsi="仿宋" w:eastAsia="仿宋" w:cs="仿宋"/>
          <w:bCs/>
          <w:sz w:val="32"/>
          <w:szCs w:val="32"/>
        </w:rPr>
        <w:t>，再经局集体决策</w:t>
      </w:r>
      <w:r>
        <w:rPr>
          <w:rFonts w:hint="eastAsia" w:ascii="仿宋" w:hAnsi="仿宋" w:eastAsia="仿宋" w:cs="仿宋"/>
          <w:bCs/>
          <w:sz w:val="32"/>
          <w:szCs w:val="32"/>
          <w:lang w:val="en-US" w:eastAsia="zh-CN"/>
        </w:rPr>
        <w:t>后按《巴中市市级财政资金审批管理规程》有关要求，向市人民政府提出经费预算申请</w:t>
      </w:r>
      <w:r>
        <w:rPr>
          <w:rFonts w:hint="eastAsia" w:ascii="仿宋" w:hAnsi="仿宋" w:eastAsia="仿宋" w:cs="仿宋"/>
          <w:bCs/>
          <w:sz w:val="32"/>
          <w:szCs w:val="32"/>
        </w:rPr>
        <w:t>，</w:t>
      </w:r>
      <w:r>
        <w:rPr>
          <w:rFonts w:hint="eastAsia" w:ascii="仿宋" w:hAnsi="仿宋" w:eastAsia="仿宋" w:cs="仿宋"/>
          <w:bCs/>
          <w:sz w:val="32"/>
          <w:szCs w:val="32"/>
          <w:lang w:val="en-US" w:eastAsia="zh-CN"/>
        </w:rPr>
        <w:t>市财政局相关业务科室根据市人民政府领导签批意见，具体核实后送财政局办公会议审定</w:t>
      </w:r>
      <w:r>
        <w:rPr>
          <w:rFonts w:hint="eastAsia" w:ascii="仿宋" w:hAnsi="仿宋" w:eastAsia="仿宋" w:cs="仿宋"/>
          <w:bCs/>
          <w:sz w:val="32"/>
          <w:szCs w:val="32"/>
        </w:rPr>
        <w:t>。</w:t>
      </w:r>
      <w:r>
        <w:rPr>
          <w:rFonts w:hint="eastAsia" w:ascii="仿宋" w:hAnsi="仿宋" w:eastAsia="仿宋" w:cs="仿宋"/>
          <w:b/>
          <w:bCs w:val="0"/>
          <w:sz w:val="32"/>
          <w:szCs w:val="32"/>
          <w:lang w:eastAsia="zh-CN"/>
        </w:rPr>
        <w:t>二是</w:t>
      </w:r>
      <w:r>
        <w:rPr>
          <w:rFonts w:hint="eastAsia" w:ascii="仿宋" w:hAnsi="仿宋" w:eastAsia="仿宋" w:cs="仿宋"/>
          <w:bCs/>
          <w:sz w:val="32"/>
          <w:szCs w:val="32"/>
          <w:lang w:eastAsia="zh-CN"/>
        </w:rPr>
        <w:t>预算批复情况。</w:t>
      </w:r>
      <w:r>
        <w:rPr>
          <w:rFonts w:hint="eastAsia" w:ascii="仿宋" w:hAnsi="仿宋" w:eastAsia="仿宋" w:cs="仿宋"/>
          <w:bCs/>
          <w:sz w:val="32"/>
          <w:szCs w:val="32"/>
          <w:lang w:val="en-US" w:eastAsia="zh-CN"/>
        </w:rPr>
        <w:t>此项追加</w:t>
      </w:r>
      <w:r>
        <w:rPr>
          <w:rFonts w:hint="eastAsia" w:ascii="仿宋" w:hAnsi="仿宋" w:eastAsia="仿宋" w:cs="仿宋"/>
          <w:bCs/>
          <w:sz w:val="32"/>
          <w:szCs w:val="32"/>
        </w:rPr>
        <w:t>预算</w:t>
      </w:r>
      <w:r>
        <w:rPr>
          <w:rFonts w:hint="eastAsia" w:ascii="仿宋" w:hAnsi="仿宋" w:eastAsia="仿宋" w:cs="仿宋"/>
          <w:bCs/>
          <w:sz w:val="32"/>
          <w:szCs w:val="32"/>
          <w:lang w:eastAsia="zh-CN"/>
        </w:rPr>
        <w:t>于</w:t>
      </w:r>
      <w:r>
        <w:rPr>
          <w:rFonts w:hint="eastAsia" w:ascii="仿宋" w:hAnsi="仿宋" w:eastAsia="仿宋" w:cs="仿宋"/>
          <w:bCs/>
          <w:sz w:val="32"/>
          <w:szCs w:val="32"/>
          <w:lang w:val="en-US" w:eastAsia="zh-CN"/>
        </w:rPr>
        <w:t>2019年4月</w:t>
      </w:r>
      <w:r>
        <w:rPr>
          <w:rFonts w:hint="eastAsia" w:ascii="仿宋" w:hAnsi="仿宋" w:eastAsia="仿宋" w:cs="仿宋"/>
          <w:bCs/>
          <w:sz w:val="32"/>
          <w:szCs w:val="32"/>
          <w:lang w:eastAsia="zh-CN"/>
        </w:rPr>
        <w:t>经过市财政局预算专委会审核和市人大常委会决议后，</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9</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21日</w:t>
      </w:r>
      <w:r>
        <w:rPr>
          <w:rFonts w:hint="eastAsia" w:ascii="仿宋" w:hAnsi="仿宋" w:eastAsia="仿宋" w:cs="仿宋"/>
          <w:bCs/>
          <w:sz w:val="32"/>
          <w:szCs w:val="32"/>
          <w:lang w:eastAsia="zh-CN"/>
        </w:rPr>
        <w:t>正式</w:t>
      </w:r>
      <w:r>
        <w:rPr>
          <w:rFonts w:hint="eastAsia" w:ascii="仿宋" w:hAnsi="仿宋" w:eastAsia="仿宋" w:cs="仿宋"/>
          <w:bCs/>
          <w:sz w:val="32"/>
          <w:szCs w:val="32"/>
          <w:lang w:val="en-US" w:eastAsia="zh-CN"/>
        </w:rPr>
        <w:t>追加我</w:t>
      </w:r>
      <w:r>
        <w:rPr>
          <w:rFonts w:hint="eastAsia" w:ascii="仿宋" w:hAnsi="仿宋" w:eastAsia="仿宋" w:cs="仿宋"/>
          <w:bCs/>
          <w:sz w:val="32"/>
          <w:szCs w:val="32"/>
        </w:rPr>
        <w:t>局</w:t>
      </w:r>
      <w:r>
        <w:rPr>
          <w:rFonts w:hint="eastAsia" w:ascii="仿宋" w:hAnsi="仿宋" w:eastAsia="仿宋" w:cs="仿宋"/>
          <w:bCs/>
          <w:sz w:val="32"/>
          <w:szCs w:val="32"/>
          <w:lang w:val="en-US" w:eastAsia="zh-CN"/>
        </w:rPr>
        <w:t>2019年市级</w:t>
      </w:r>
      <w:r>
        <w:rPr>
          <w:rFonts w:hint="eastAsia" w:ascii="仿宋" w:hAnsi="仿宋" w:eastAsia="仿宋" w:cs="仿宋"/>
          <w:bCs/>
          <w:sz w:val="32"/>
          <w:szCs w:val="32"/>
        </w:rPr>
        <w:t>食品抽验专项经费</w:t>
      </w:r>
      <w:r>
        <w:rPr>
          <w:rFonts w:hint="eastAsia" w:ascii="仿宋" w:hAnsi="仿宋" w:eastAsia="仿宋" w:cs="仿宋"/>
          <w:bCs/>
          <w:sz w:val="32"/>
          <w:szCs w:val="32"/>
          <w:lang w:val="en-US" w:eastAsia="zh-CN"/>
        </w:rPr>
        <w:t>80</w:t>
      </w:r>
      <w:r>
        <w:rPr>
          <w:rFonts w:hint="eastAsia" w:ascii="仿宋" w:hAnsi="仿宋" w:eastAsia="仿宋" w:cs="仿宋"/>
          <w:bCs/>
          <w:sz w:val="32"/>
          <w:szCs w:val="32"/>
        </w:rPr>
        <w:t>万元</w:t>
      </w:r>
      <w:r>
        <w:rPr>
          <w:rFonts w:hint="eastAsia" w:ascii="仿宋" w:hAnsi="仿宋" w:eastAsia="仿宋" w:cs="仿宋"/>
          <w:bCs/>
          <w:sz w:val="32"/>
          <w:szCs w:val="32"/>
          <w:lang w:eastAsia="zh-CN"/>
        </w:rPr>
        <w:t>（巴财</w:t>
      </w: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2019</w:t>
      </w:r>
      <w:r>
        <w:rPr>
          <w:rFonts w:hint="eastAsia" w:ascii="宋体" w:hAnsi="宋体" w:eastAsia="宋体" w:cs="宋体"/>
          <w:bCs/>
          <w:sz w:val="32"/>
          <w:szCs w:val="32"/>
          <w:lang w:eastAsia="zh-CN"/>
        </w:rPr>
        <w:t>〕第</w:t>
      </w:r>
      <w:r>
        <w:rPr>
          <w:rFonts w:hint="eastAsia" w:ascii="宋体" w:hAnsi="宋体" w:eastAsia="宋体" w:cs="宋体"/>
          <w:bCs/>
          <w:sz w:val="32"/>
          <w:szCs w:val="32"/>
          <w:lang w:val="en-US" w:eastAsia="zh-CN"/>
        </w:rPr>
        <w:t>21号</w:t>
      </w:r>
      <w:r>
        <w:rPr>
          <w:rFonts w:hint="eastAsia" w:ascii="仿宋" w:hAnsi="仿宋" w:eastAsia="仿宋" w:cs="仿宋"/>
          <w:bCs/>
          <w:sz w:val="32"/>
          <w:szCs w:val="32"/>
          <w:lang w:eastAsia="zh-CN"/>
        </w:rPr>
        <w:t>）</w:t>
      </w:r>
      <w:r>
        <w:rPr>
          <w:rFonts w:hint="eastAsia" w:ascii="仿宋" w:hAnsi="仿宋" w:eastAsia="仿宋" w:cs="仿宋"/>
          <w:bCs/>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（二）资金计划、到位及使用情况</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Cs/>
          <w:sz w:val="32"/>
          <w:szCs w:val="32"/>
        </w:rPr>
      </w:pPr>
      <w:r>
        <w:rPr>
          <w:rFonts w:hint="eastAsia" w:ascii="仿宋" w:hAnsi="仿宋" w:eastAsia="仿宋" w:cs="仿宋"/>
          <w:b/>
          <w:bCs w:val="0"/>
          <w:sz w:val="32"/>
          <w:szCs w:val="32"/>
          <w:lang w:val="en-US" w:eastAsia="zh-CN"/>
        </w:rPr>
        <w:t>1.</w:t>
      </w:r>
      <w:r>
        <w:rPr>
          <w:rFonts w:hint="eastAsia" w:ascii="仿宋" w:hAnsi="仿宋" w:eastAsia="仿宋" w:cs="仿宋"/>
          <w:b/>
          <w:sz w:val="32"/>
          <w:szCs w:val="32"/>
        </w:rPr>
        <w:t>资金计划。</w:t>
      </w:r>
      <w:r>
        <w:rPr>
          <w:rFonts w:hint="eastAsia" w:ascii="仿宋" w:hAnsi="仿宋" w:eastAsia="仿宋" w:cs="仿宋"/>
          <w:bCs/>
          <w:sz w:val="32"/>
          <w:szCs w:val="32"/>
        </w:rPr>
        <w:t>根据</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十三五</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国家食品安全规划，结合</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9</w:t>
      </w:r>
      <w:r>
        <w:rPr>
          <w:rFonts w:hint="eastAsia" w:ascii="仿宋" w:hAnsi="仿宋" w:eastAsia="仿宋" w:cs="仿宋"/>
          <w:bCs/>
          <w:sz w:val="32"/>
          <w:szCs w:val="32"/>
        </w:rPr>
        <w:t>年全市开展食品抽验工作需要，</w:t>
      </w:r>
      <w:r>
        <w:rPr>
          <w:rFonts w:hint="eastAsia" w:ascii="仿宋" w:hAnsi="仿宋" w:eastAsia="仿宋" w:cs="仿宋"/>
          <w:bCs/>
          <w:sz w:val="32"/>
          <w:szCs w:val="32"/>
          <w:lang w:val="en-US" w:eastAsia="zh-CN"/>
        </w:rPr>
        <w:t>相关业务科室按食品检验量达到每年4份/千人的要求，</w:t>
      </w:r>
      <w:r>
        <w:rPr>
          <w:rFonts w:hint="eastAsia" w:ascii="仿宋" w:hAnsi="仿宋" w:eastAsia="仿宋" w:cs="仿宋"/>
          <w:bCs/>
          <w:sz w:val="32"/>
          <w:szCs w:val="32"/>
        </w:rPr>
        <w:t>编报全年</w:t>
      </w:r>
      <w:r>
        <w:rPr>
          <w:rFonts w:hint="eastAsia" w:ascii="仿宋" w:hAnsi="仿宋" w:eastAsia="仿宋" w:cs="仿宋"/>
          <w:bCs/>
          <w:sz w:val="32"/>
          <w:szCs w:val="32"/>
          <w:lang w:val="en-US" w:eastAsia="zh-CN"/>
        </w:rPr>
        <w:t>全</w:t>
      </w:r>
      <w:r>
        <w:rPr>
          <w:rFonts w:hint="eastAsia" w:ascii="仿宋" w:hAnsi="仿宋" w:eastAsia="仿宋" w:cs="仿宋"/>
          <w:bCs/>
          <w:sz w:val="32"/>
          <w:szCs w:val="32"/>
        </w:rPr>
        <w:t>市</w:t>
      </w:r>
      <w:r>
        <w:rPr>
          <w:rFonts w:hint="eastAsia" w:ascii="仿宋" w:hAnsi="仿宋" w:eastAsia="仿宋" w:cs="仿宋"/>
          <w:bCs/>
          <w:sz w:val="32"/>
          <w:szCs w:val="32"/>
          <w:lang w:val="en-US" w:eastAsia="zh-CN"/>
        </w:rPr>
        <w:t>食品安全监督</w:t>
      </w:r>
      <w:r>
        <w:rPr>
          <w:rFonts w:hint="eastAsia" w:ascii="仿宋" w:hAnsi="仿宋" w:eastAsia="仿宋" w:cs="仿宋"/>
          <w:bCs/>
          <w:sz w:val="32"/>
          <w:szCs w:val="32"/>
        </w:rPr>
        <w:t>抽验所需</w:t>
      </w:r>
      <w:r>
        <w:rPr>
          <w:rFonts w:hint="eastAsia" w:ascii="仿宋" w:hAnsi="仿宋" w:eastAsia="仿宋" w:cs="仿宋"/>
          <w:bCs/>
          <w:sz w:val="32"/>
          <w:szCs w:val="32"/>
          <w:lang w:val="en-US" w:eastAsia="zh-CN"/>
        </w:rPr>
        <w:t>专项</w:t>
      </w:r>
      <w:r>
        <w:rPr>
          <w:rFonts w:hint="eastAsia" w:ascii="仿宋" w:hAnsi="仿宋" w:eastAsia="仿宋" w:cs="仿宋"/>
          <w:bCs/>
          <w:sz w:val="32"/>
          <w:szCs w:val="32"/>
        </w:rPr>
        <w:t>经费</w:t>
      </w:r>
      <w:r>
        <w:rPr>
          <w:rFonts w:hint="eastAsia" w:ascii="仿宋" w:hAnsi="仿宋" w:eastAsia="仿宋" w:cs="仿宋"/>
          <w:bCs/>
          <w:sz w:val="32"/>
          <w:szCs w:val="32"/>
          <w:lang w:val="en-US" w:eastAsia="zh-CN"/>
        </w:rPr>
        <w:t>120</w:t>
      </w:r>
      <w:r>
        <w:rPr>
          <w:rFonts w:hint="eastAsia" w:ascii="仿宋" w:hAnsi="仿宋" w:eastAsia="仿宋" w:cs="仿宋"/>
          <w:bCs/>
          <w:sz w:val="32"/>
          <w:szCs w:val="32"/>
        </w:rPr>
        <w:t>万元。</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643" w:firstLineChars="200"/>
        <w:textAlignment w:val="auto"/>
        <w:rPr>
          <w:rFonts w:hint="eastAsia" w:eastAsia="仿宋_GB2312"/>
          <w:bCs/>
          <w:sz w:val="32"/>
          <w:szCs w:val="32"/>
          <w:lang w:eastAsia="zh-CN"/>
        </w:rPr>
      </w:pPr>
      <w:r>
        <w:rPr>
          <w:rFonts w:hint="eastAsia"/>
          <w:b/>
          <w:sz w:val="32"/>
          <w:szCs w:val="32"/>
          <w:lang w:val="en-US" w:eastAsia="zh-CN"/>
        </w:rPr>
        <w:t>2.</w:t>
      </w:r>
      <w:r>
        <w:rPr>
          <w:rFonts w:hint="eastAsia"/>
          <w:b/>
          <w:sz w:val="32"/>
          <w:szCs w:val="32"/>
        </w:rPr>
        <w:t>资金到位。</w:t>
      </w:r>
      <w:r>
        <w:rPr>
          <w:rFonts w:hint="eastAsia"/>
          <w:bCs/>
          <w:sz w:val="32"/>
          <w:szCs w:val="32"/>
          <w:lang w:eastAsia="zh-CN"/>
        </w:rPr>
        <w:t>从</w:t>
      </w:r>
      <w:r>
        <w:rPr>
          <w:rFonts w:hint="eastAsia"/>
          <w:bCs/>
          <w:sz w:val="32"/>
          <w:szCs w:val="32"/>
        </w:rPr>
        <w:t>201</w:t>
      </w:r>
      <w:r>
        <w:rPr>
          <w:rFonts w:hint="eastAsia"/>
          <w:bCs/>
          <w:sz w:val="32"/>
          <w:szCs w:val="32"/>
          <w:lang w:val="en-US" w:eastAsia="zh-CN"/>
        </w:rPr>
        <w:t>9</w:t>
      </w:r>
      <w:r>
        <w:rPr>
          <w:rFonts w:hint="eastAsia"/>
          <w:bCs/>
          <w:sz w:val="32"/>
          <w:szCs w:val="32"/>
        </w:rPr>
        <w:t>年决算表中</w:t>
      </w:r>
      <w:r>
        <w:rPr>
          <w:rFonts w:hint="eastAsia"/>
          <w:bCs/>
          <w:sz w:val="32"/>
          <w:szCs w:val="32"/>
          <w:lang w:eastAsia="zh-CN"/>
        </w:rPr>
        <w:t>据实</w:t>
      </w:r>
      <w:r>
        <w:rPr>
          <w:rFonts w:hint="eastAsia"/>
          <w:bCs/>
          <w:sz w:val="32"/>
          <w:szCs w:val="32"/>
        </w:rPr>
        <w:t>反映出，市</w:t>
      </w:r>
      <w:r>
        <w:rPr>
          <w:rFonts w:hint="eastAsia"/>
          <w:bCs/>
          <w:sz w:val="32"/>
          <w:szCs w:val="32"/>
          <w:lang w:eastAsia="zh-CN"/>
        </w:rPr>
        <w:t>级</w:t>
      </w:r>
      <w:r>
        <w:rPr>
          <w:rFonts w:hint="eastAsia"/>
          <w:bCs/>
          <w:sz w:val="32"/>
          <w:szCs w:val="32"/>
        </w:rPr>
        <w:t>抽验经费</w:t>
      </w:r>
      <w:r>
        <w:rPr>
          <w:rFonts w:hint="eastAsia"/>
          <w:bCs/>
          <w:sz w:val="32"/>
          <w:szCs w:val="32"/>
          <w:lang w:val="en-US" w:eastAsia="zh-CN"/>
        </w:rPr>
        <w:t>于2019年6月追加</w:t>
      </w:r>
      <w:r>
        <w:rPr>
          <w:rFonts w:hint="eastAsia"/>
          <w:bCs/>
          <w:sz w:val="32"/>
          <w:szCs w:val="32"/>
        </w:rPr>
        <w:t>到位</w:t>
      </w:r>
      <w:r>
        <w:rPr>
          <w:rFonts w:hint="eastAsia"/>
          <w:bCs/>
          <w:sz w:val="32"/>
          <w:szCs w:val="32"/>
          <w:lang w:val="en-US" w:eastAsia="zh-CN"/>
        </w:rPr>
        <w:t>80</w:t>
      </w:r>
      <w:r>
        <w:rPr>
          <w:rFonts w:hint="eastAsia"/>
          <w:bCs/>
          <w:sz w:val="32"/>
          <w:szCs w:val="32"/>
        </w:rPr>
        <w:t>万元</w:t>
      </w:r>
      <w:r>
        <w:rPr>
          <w:rFonts w:hint="eastAsia"/>
          <w:bCs/>
          <w:sz w:val="32"/>
          <w:szCs w:val="32"/>
          <w:lang w:eastAsia="zh-CN"/>
        </w:rPr>
        <w:t>加上机改后抽检经费结转</w:t>
      </w:r>
      <w:r>
        <w:rPr>
          <w:rFonts w:hint="eastAsia"/>
          <w:bCs/>
          <w:sz w:val="32"/>
          <w:szCs w:val="32"/>
          <w:lang w:val="en-US" w:eastAsia="zh-CN"/>
        </w:rPr>
        <w:t>30多万元</w:t>
      </w:r>
      <w:r>
        <w:rPr>
          <w:rFonts w:hint="eastAsia"/>
          <w:bCs/>
          <w:sz w:val="32"/>
          <w:szCs w:val="32"/>
        </w:rPr>
        <w:t>。与年</w:t>
      </w:r>
      <w:r>
        <w:rPr>
          <w:rFonts w:hint="eastAsia"/>
          <w:bCs/>
          <w:sz w:val="32"/>
          <w:szCs w:val="32"/>
          <w:lang w:val="en-US" w:eastAsia="zh-CN"/>
        </w:rPr>
        <w:t>计划</w:t>
      </w:r>
      <w:r>
        <w:rPr>
          <w:rFonts w:hint="eastAsia"/>
          <w:bCs/>
          <w:sz w:val="32"/>
          <w:szCs w:val="32"/>
        </w:rPr>
        <w:t>申报</w:t>
      </w:r>
      <w:r>
        <w:rPr>
          <w:rFonts w:hint="eastAsia"/>
          <w:bCs/>
          <w:sz w:val="32"/>
          <w:szCs w:val="32"/>
          <w:lang w:eastAsia="zh-CN"/>
        </w:rPr>
        <w:t>数</w:t>
      </w:r>
      <w:r>
        <w:rPr>
          <w:rFonts w:hint="eastAsia"/>
          <w:bCs/>
          <w:sz w:val="32"/>
          <w:szCs w:val="32"/>
        </w:rPr>
        <w:t>相比</w:t>
      </w:r>
      <w:r>
        <w:rPr>
          <w:rFonts w:hint="eastAsia"/>
          <w:bCs/>
          <w:sz w:val="32"/>
          <w:szCs w:val="32"/>
          <w:lang w:val="en-US" w:eastAsia="zh-CN"/>
        </w:rPr>
        <w:t>到位率为100%</w:t>
      </w:r>
      <w:r>
        <w:rPr>
          <w:rFonts w:hint="eastAsia"/>
          <w:bCs/>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 w:hAnsi="仿宋" w:eastAsia="仿宋" w:cs="仿宋"/>
          <w:bCs/>
          <w:sz w:val="32"/>
          <w:szCs w:val="32"/>
        </w:rPr>
      </w:pPr>
      <w:r>
        <w:rPr>
          <w:rFonts w:hint="eastAsia" w:ascii="仿宋" w:hAnsi="仿宋" w:eastAsia="仿宋" w:cs="仿宋"/>
          <w:b/>
          <w:bCs/>
          <w:sz w:val="32"/>
          <w:szCs w:val="32"/>
          <w:lang w:val="en-US" w:eastAsia="zh-CN"/>
        </w:rPr>
        <w:t>3.资金使用。</w:t>
      </w:r>
      <w:r>
        <w:rPr>
          <w:rFonts w:hint="eastAsia" w:ascii="仿宋" w:hAnsi="仿宋" w:eastAsia="仿宋" w:cs="仿宋"/>
          <w:bCs/>
          <w:sz w:val="32"/>
          <w:szCs w:val="32"/>
        </w:rPr>
        <w:t>项目资金下达后，严格执行国库集中支付制度，按预算、按程序、按范围、按进度执行。具体说对抽验经费财务科分批次、分阶段，严格把关报帐审批程序，</w:t>
      </w:r>
      <w:r>
        <w:rPr>
          <w:rFonts w:hint="eastAsia" w:ascii="仿宋" w:hAnsi="仿宋" w:eastAsia="仿宋" w:cs="仿宋"/>
          <w:bCs/>
          <w:sz w:val="32"/>
          <w:szCs w:val="32"/>
          <w:lang w:val="en-US" w:eastAsia="zh-CN"/>
        </w:rPr>
        <w:t>对支出依据的合规合法性进行严格的审定后，</w:t>
      </w:r>
      <w:r>
        <w:rPr>
          <w:rFonts w:hint="eastAsia" w:ascii="仿宋" w:hAnsi="仿宋" w:eastAsia="仿宋" w:cs="仿宋"/>
          <w:bCs/>
          <w:sz w:val="32"/>
          <w:szCs w:val="32"/>
        </w:rPr>
        <w:t>通过巴中市财政国库支付中心以“财政直接支付申请书”方式拨付食品抽验专项经费</w:t>
      </w:r>
      <w:r>
        <w:rPr>
          <w:rFonts w:hint="eastAsia" w:ascii="仿宋" w:hAnsi="仿宋" w:eastAsia="仿宋" w:cs="仿宋"/>
          <w:bCs/>
          <w:sz w:val="32"/>
          <w:szCs w:val="32"/>
          <w:lang w:val="en-US" w:eastAsia="zh-CN"/>
        </w:rPr>
        <w:t>80</w:t>
      </w:r>
      <w:r>
        <w:rPr>
          <w:rFonts w:hint="eastAsia" w:ascii="仿宋" w:hAnsi="仿宋" w:eastAsia="仿宋" w:cs="仿宋"/>
          <w:bCs/>
          <w:sz w:val="32"/>
          <w:szCs w:val="32"/>
        </w:rPr>
        <w:t>万元，全部用于</w:t>
      </w:r>
      <w:r>
        <w:rPr>
          <w:rFonts w:hint="eastAsia" w:ascii="仿宋" w:hAnsi="仿宋" w:eastAsia="仿宋" w:cs="仿宋"/>
          <w:bCs/>
          <w:sz w:val="32"/>
          <w:szCs w:val="32"/>
          <w:lang w:val="en-US" w:eastAsia="zh-CN"/>
        </w:rPr>
        <w:t>食品</w:t>
      </w:r>
      <w:r>
        <w:rPr>
          <w:rFonts w:hint="eastAsia" w:ascii="仿宋" w:hAnsi="仿宋" w:eastAsia="仿宋" w:cs="仿宋"/>
          <w:bCs/>
          <w:sz w:val="32"/>
          <w:szCs w:val="32"/>
        </w:rPr>
        <w:t>抽验专项工作，没有</w:t>
      </w:r>
      <w:r>
        <w:rPr>
          <w:rFonts w:hint="eastAsia" w:ascii="仿宋" w:hAnsi="仿宋" w:eastAsia="仿宋" w:cs="仿宋"/>
          <w:bCs/>
          <w:sz w:val="32"/>
          <w:szCs w:val="32"/>
          <w:lang w:val="en-US" w:eastAsia="zh-CN"/>
        </w:rPr>
        <w:t>截留、挪用等</w:t>
      </w:r>
      <w:r>
        <w:rPr>
          <w:rFonts w:hint="eastAsia" w:ascii="仿宋" w:hAnsi="仿宋" w:eastAsia="仿宋" w:cs="仿宋"/>
          <w:bCs/>
          <w:sz w:val="32"/>
          <w:szCs w:val="32"/>
        </w:rPr>
        <w:t>现象发生。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（三）项目财务管理情况</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Cs/>
          <w:sz w:val="32"/>
          <w:szCs w:val="32"/>
        </w:rPr>
      </w:pPr>
      <w:r>
        <w:rPr>
          <w:rFonts w:hint="eastAsia"/>
          <w:bCs/>
          <w:sz w:val="32"/>
          <w:szCs w:val="32"/>
        </w:rPr>
        <w:t xml:space="preserve"> </w:t>
      </w:r>
      <w:r>
        <w:rPr>
          <w:rFonts w:hint="eastAsia"/>
          <w:bCs/>
          <w:sz w:val="32"/>
          <w:szCs w:val="32"/>
          <w:lang w:eastAsia="zh-CN"/>
        </w:rPr>
        <w:t>　　</w:t>
      </w:r>
      <w:r>
        <w:rPr>
          <w:rFonts w:hint="eastAsia" w:ascii="仿宋" w:hAnsi="仿宋" w:eastAsia="仿宋" w:cs="仿宋"/>
          <w:bCs/>
          <w:sz w:val="32"/>
          <w:szCs w:val="32"/>
        </w:rPr>
        <w:t>为加强</w:t>
      </w:r>
      <w:r>
        <w:rPr>
          <w:rFonts w:hint="eastAsia" w:ascii="仿宋" w:hAnsi="仿宋" w:eastAsia="仿宋" w:cs="仿宋"/>
          <w:bCs/>
          <w:sz w:val="32"/>
          <w:szCs w:val="32"/>
          <w:lang w:val="en-US" w:eastAsia="zh-CN"/>
        </w:rPr>
        <w:t>项目</w:t>
      </w:r>
      <w:r>
        <w:rPr>
          <w:rFonts w:hint="eastAsia" w:ascii="仿宋" w:hAnsi="仿宋" w:eastAsia="仿宋" w:cs="仿宋"/>
          <w:bCs/>
          <w:sz w:val="32"/>
          <w:szCs w:val="32"/>
        </w:rPr>
        <w:t>财务管理，保障资金安全，我局建立健全了单位的一系列财务管理制度</w:t>
      </w:r>
      <w:r>
        <w:rPr>
          <w:rFonts w:hint="eastAsia" w:ascii="仿宋" w:hAnsi="仿宋" w:eastAsia="仿宋" w:cs="仿宋"/>
          <w:bCs/>
          <w:sz w:val="32"/>
          <w:szCs w:val="32"/>
          <w:lang w:val="en-US" w:eastAsia="zh-CN"/>
        </w:rPr>
        <w:t>及内控制度</w:t>
      </w:r>
      <w:r>
        <w:rPr>
          <w:rFonts w:hint="eastAsia" w:ascii="仿宋" w:hAnsi="仿宋" w:eastAsia="仿宋" w:cs="仿宋"/>
          <w:bCs/>
          <w:sz w:val="32"/>
          <w:szCs w:val="32"/>
        </w:rPr>
        <w:t>，对所有项目资金严格执行财务管理制度，特别</w:t>
      </w:r>
      <w:r>
        <w:rPr>
          <w:rFonts w:hint="eastAsia" w:ascii="仿宋" w:hAnsi="仿宋" w:eastAsia="仿宋" w:cs="仿宋"/>
          <w:bCs/>
          <w:sz w:val="32"/>
          <w:szCs w:val="32"/>
          <w:lang w:eastAsia="zh-CN"/>
        </w:rPr>
        <w:t>是</w:t>
      </w:r>
      <w:r>
        <w:rPr>
          <w:rFonts w:hint="eastAsia" w:ascii="仿宋" w:hAnsi="仿宋" w:eastAsia="仿宋" w:cs="仿宋"/>
          <w:bCs/>
          <w:sz w:val="32"/>
          <w:szCs w:val="32"/>
        </w:rPr>
        <w:t>专项资金必须执行</w:t>
      </w:r>
      <w:r>
        <w:rPr>
          <w:rFonts w:hint="eastAsia" w:ascii="仿宋" w:hAnsi="仿宋" w:eastAsia="仿宋" w:cs="仿宋"/>
          <w:bCs/>
          <w:sz w:val="32"/>
          <w:szCs w:val="32"/>
          <w:lang w:eastAsia="zh-CN"/>
        </w:rPr>
        <w:t>中央和</w:t>
      </w:r>
      <w:r>
        <w:rPr>
          <w:rFonts w:hint="eastAsia" w:ascii="仿宋" w:hAnsi="仿宋" w:eastAsia="仿宋" w:cs="仿宋"/>
          <w:bCs/>
          <w:sz w:val="32"/>
          <w:szCs w:val="32"/>
          <w:lang w:val="en-US" w:eastAsia="zh-CN"/>
        </w:rPr>
        <w:t>省级</w:t>
      </w:r>
      <w:r>
        <w:rPr>
          <w:rFonts w:hint="eastAsia" w:ascii="仿宋" w:hAnsi="仿宋" w:eastAsia="仿宋" w:cs="仿宋"/>
          <w:bCs/>
          <w:sz w:val="32"/>
          <w:szCs w:val="32"/>
        </w:rPr>
        <w:t>项目资金管理办法，对于抽验工作所需资金在手续齐备的条件下第一时间拨付到委托抽验的检验</w:t>
      </w:r>
      <w:r>
        <w:rPr>
          <w:rFonts w:hint="eastAsia" w:ascii="仿宋" w:hAnsi="仿宋" w:eastAsia="仿宋" w:cs="仿宋"/>
          <w:bCs/>
          <w:sz w:val="32"/>
          <w:szCs w:val="32"/>
          <w:lang w:val="en-US" w:eastAsia="zh-CN"/>
        </w:rPr>
        <w:t>检测机构</w:t>
      </w:r>
      <w:r>
        <w:rPr>
          <w:rFonts w:hint="eastAsia" w:ascii="仿宋" w:hAnsi="仿宋" w:eastAsia="仿宋" w:cs="仿宋"/>
          <w:bCs/>
          <w:sz w:val="32"/>
          <w:szCs w:val="32"/>
        </w:rPr>
        <w:t>，因抽验工作需要所发生的一些差旅费、车辆运行费等及时解决，做到了对于项目资金的预算执行实行全方位、全过程、全公开，坚持专人做帐、专户管理、专账核算，接受监督，无挤占、截留、挪用</w:t>
      </w:r>
      <w:r>
        <w:rPr>
          <w:rFonts w:hint="eastAsia" w:ascii="仿宋" w:hAnsi="仿宋" w:eastAsia="仿宋" w:cs="仿宋"/>
          <w:bCs/>
          <w:sz w:val="32"/>
          <w:szCs w:val="32"/>
          <w:lang w:val="en-US" w:eastAsia="zh-CN"/>
        </w:rPr>
        <w:t>行为</w:t>
      </w:r>
      <w:r>
        <w:rPr>
          <w:rFonts w:hint="eastAsia" w:ascii="仿宋" w:hAnsi="仿宋" w:eastAsia="仿宋" w:cs="仿宋"/>
          <w:bCs/>
          <w:sz w:val="32"/>
          <w:szCs w:val="32"/>
        </w:rPr>
        <w:t>，确保了该专项资金依法、合理、规范使用。</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leftChars="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Cs/>
          <w:sz w:val="32"/>
          <w:szCs w:val="32"/>
          <w:lang w:eastAsia="zh-CN"/>
        </w:rPr>
      </w:pPr>
      <w:r>
        <w:rPr>
          <w:rFonts w:hint="eastAsia" w:ascii="楷体" w:hAnsi="楷体" w:eastAsia="楷体" w:cs="楷体"/>
          <w:bCs/>
          <w:sz w:val="32"/>
          <w:szCs w:val="32"/>
          <w:lang w:eastAsia="zh-CN"/>
        </w:rPr>
        <w:t>（一）项目组织架构及实施流程。</w:t>
      </w:r>
      <w:r>
        <w:rPr>
          <w:rFonts w:hint="eastAsia" w:ascii="仿宋" w:hAnsi="仿宋" w:eastAsia="仿宋" w:cs="仿宋"/>
          <w:bCs/>
          <w:sz w:val="32"/>
          <w:szCs w:val="32"/>
          <w:lang w:eastAsia="zh-CN"/>
        </w:rPr>
        <w:t>一是成立项目工作领导小组，相关科室具体实施；二是根据相关科室年初计划，制定方案，经“三重一大”决策程序后执行；三是项目实行政府采购，实行公开招投标；四是中标公示后，签订合同；五是项目实施；六是全过程监督；七是分批支付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Cs/>
          <w:sz w:val="32"/>
          <w:szCs w:val="32"/>
          <w:lang w:eastAsia="zh-CN"/>
        </w:rPr>
      </w:pPr>
      <w:r>
        <w:rPr>
          <w:rFonts w:hint="eastAsia" w:ascii="楷体" w:hAnsi="楷体" w:eastAsia="楷体" w:cs="楷体"/>
          <w:bCs/>
          <w:sz w:val="32"/>
          <w:szCs w:val="32"/>
          <w:lang w:eastAsia="zh-CN"/>
        </w:rPr>
        <w:t>（二）项目管理情况。</w:t>
      </w:r>
      <w:r>
        <w:rPr>
          <w:rFonts w:hint="eastAsia" w:ascii="仿宋" w:hAnsi="仿宋" w:eastAsia="仿宋" w:cs="仿宋"/>
          <w:bCs/>
          <w:sz w:val="32"/>
          <w:szCs w:val="32"/>
        </w:rPr>
        <w:t>根据四川省财政厅《政府向社会组织购买服务项目政府采购工作流程的通知》、四川省食品药品监督管理局《食品安全检验检测购买服务管理办法》、巴中市人民政府办公室《巴中市关于政府向社会力量购买服务管理办法（试行）》的有关规定</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32"/>
          <w:szCs w:val="32"/>
        </w:rPr>
      </w:pPr>
      <w:r>
        <w:rPr>
          <w:rFonts w:hint="eastAsia" w:ascii="楷体" w:hAnsi="楷体" w:eastAsia="楷体" w:cs="楷体"/>
          <w:bCs/>
          <w:sz w:val="32"/>
          <w:szCs w:val="32"/>
          <w:lang w:eastAsia="zh-CN"/>
        </w:rPr>
        <w:t>（三）项目监管情况。</w:t>
      </w:r>
      <w:r>
        <w:rPr>
          <w:rFonts w:hint="eastAsia" w:ascii="仿宋" w:hAnsi="仿宋" w:eastAsia="仿宋" w:cs="仿宋"/>
          <w:bCs/>
          <w:sz w:val="32"/>
          <w:szCs w:val="32"/>
          <w:lang w:val="en-US" w:eastAsia="zh-CN"/>
        </w:rPr>
        <w:t>单位成立了食品抽检采购工作领导小组，由财务科、抽检科等相关科室</w:t>
      </w:r>
      <w:r>
        <w:rPr>
          <w:rFonts w:hint="eastAsia" w:ascii="仿宋" w:hAnsi="仿宋" w:eastAsia="仿宋" w:cs="仿宋"/>
          <w:bCs/>
          <w:sz w:val="32"/>
          <w:szCs w:val="32"/>
        </w:rPr>
        <w:t>对食品抽检承检机构通过</w:t>
      </w:r>
      <w:r>
        <w:rPr>
          <w:rFonts w:hint="eastAsia" w:ascii="仿宋" w:hAnsi="仿宋" w:eastAsia="仿宋" w:cs="仿宋"/>
          <w:bCs/>
          <w:sz w:val="32"/>
          <w:szCs w:val="32"/>
          <w:lang w:val="en-US" w:eastAsia="zh-CN"/>
        </w:rPr>
        <w:t>公开招投标的方式按流程、按相关的管理制度全过程进行政府采购</w:t>
      </w:r>
      <w:r>
        <w:rPr>
          <w:rFonts w:hint="eastAsia" w:ascii="仿宋" w:hAnsi="仿宋" w:eastAsia="仿宋" w:cs="仿宋"/>
          <w:bCs/>
          <w:sz w:val="32"/>
          <w:szCs w:val="32"/>
          <w:lang w:eastAsia="zh-CN"/>
        </w:rPr>
        <w:t>，</w:t>
      </w:r>
      <w:r>
        <w:rPr>
          <w:rFonts w:hint="eastAsia" w:ascii="仿宋" w:hAnsi="仿宋" w:eastAsia="仿宋" w:cs="仿宋"/>
          <w:bCs/>
          <w:sz w:val="32"/>
          <w:szCs w:val="32"/>
        </w:rPr>
        <w:t>真实体现公开、公平、公正</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通过项目</w:t>
      </w:r>
      <w:r>
        <w:rPr>
          <w:rFonts w:hint="eastAsia" w:ascii="仿宋" w:hAnsi="仿宋" w:eastAsia="仿宋" w:cs="仿宋"/>
          <w:sz w:val="32"/>
          <w:szCs w:val="32"/>
        </w:rPr>
        <w:t>组织</w:t>
      </w:r>
      <w:r>
        <w:rPr>
          <w:rFonts w:hint="eastAsia" w:ascii="仿宋" w:hAnsi="仿宋" w:eastAsia="仿宋" w:cs="仿宋"/>
          <w:sz w:val="32"/>
          <w:szCs w:val="32"/>
          <w:lang w:val="en-US" w:eastAsia="zh-CN"/>
        </w:rPr>
        <w:t>实施，实现了</w:t>
      </w:r>
      <w:r>
        <w:rPr>
          <w:rFonts w:hint="eastAsia" w:ascii="仿宋" w:hAnsi="仿宋" w:eastAsia="仿宋" w:cs="仿宋"/>
          <w:sz w:val="32"/>
          <w:szCs w:val="32"/>
        </w:rPr>
        <w:t>市级监督抽检</w:t>
      </w:r>
      <w:r>
        <w:rPr>
          <w:rFonts w:hint="eastAsia" w:ascii="仿宋" w:hAnsi="仿宋" w:eastAsia="仿宋" w:cs="仿宋"/>
          <w:sz w:val="32"/>
          <w:szCs w:val="32"/>
          <w:lang w:val="en-US" w:eastAsia="zh-CN"/>
        </w:rPr>
        <w:t>10</w:t>
      </w:r>
      <w:r>
        <w:rPr>
          <w:rFonts w:hint="eastAsia" w:ascii="仿宋" w:hAnsi="仿宋" w:eastAsia="仿宋" w:cs="仿宋"/>
          <w:sz w:val="32"/>
          <w:szCs w:val="32"/>
        </w:rPr>
        <w:t>00批</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bCs/>
          <w:sz w:val="32"/>
          <w:szCs w:val="32"/>
        </w:rPr>
        <w:t>及时发现食品安全隐患，控制食品安全风险，全市食品安全总体状况继续保持有序、可控、稳中向好的局面。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四、目标及绩效完成情况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（一）目标任务完成情况。</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b/>
          <w:bCs w:val="0"/>
          <w:sz w:val="32"/>
          <w:szCs w:val="32"/>
          <w:lang w:val="en-US" w:eastAsia="zh-CN"/>
        </w:rPr>
        <w:t>1.目标任务量完成情况。</w:t>
      </w:r>
      <w:r>
        <w:rPr>
          <w:rFonts w:hint="eastAsia" w:ascii="仿宋_GB2312" w:hAnsi="仿宋_GB2312" w:eastAsia="仿宋_GB2312" w:cs="仿宋_GB2312"/>
          <w:sz w:val="32"/>
          <w:szCs w:val="32"/>
          <w:lang w:val="en-US" w:eastAsia="zh-CN"/>
        </w:rPr>
        <w:t>按年初既定的目标任务，年度完成了</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rPr>
        <w:t>监督抽检</w:t>
      </w:r>
      <w:r>
        <w:rPr>
          <w:rFonts w:hint="eastAsia" w:hAnsi="仿宋_GB2312" w:cs="仿宋_GB2312"/>
          <w:sz w:val="32"/>
          <w:szCs w:val="32"/>
          <w:lang w:val="en-US" w:eastAsia="zh-CN"/>
        </w:rPr>
        <w:t>10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val="en-US" w:eastAsia="zh-CN"/>
        </w:rPr>
        <w:t>同时还完成了</w:t>
      </w:r>
      <w:r>
        <w:rPr>
          <w:rFonts w:hint="eastAsia" w:ascii="仿宋_GB2312" w:hAnsi="仿宋_GB2312" w:eastAsia="仿宋_GB2312" w:cs="仿宋_GB2312"/>
          <w:sz w:val="32"/>
          <w:szCs w:val="32"/>
        </w:rPr>
        <w:t>市级食用农产品抽检255批次</w:t>
      </w:r>
      <w:r>
        <w:rPr>
          <w:rFonts w:hint="eastAsia" w:ascii="仿宋_GB2312" w:hAnsi="仿宋_GB2312" w:eastAsia="仿宋_GB2312" w:cs="仿宋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2.目标质量完成情况。</w:t>
      </w:r>
      <w:r>
        <w:rPr>
          <w:rFonts w:hint="eastAsia" w:ascii="仿宋" w:hAnsi="仿宋" w:eastAsia="仿宋" w:cs="仿宋"/>
          <w:bCs/>
          <w:sz w:val="32"/>
          <w:szCs w:val="32"/>
          <w:lang w:val="en-US" w:eastAsia="zh-CN"/>
        </w:rPr>
        <w:t>完成</w:t>
      </w:r>
      <w:r>
        <w:rPr>
          <w:rFonts w:hint="eastAsia" w:ascii="仿宋_GB2312" w:hAnsi="仿宋_GB2312" w:eastAsia="仿宋_GB2312" w:cs="仿宋_GB2312"/>
          <w:sz w:val="32"/>
          <w:szCs w:val="32"/>
        </w:rPr>
        <w:t>市级监督抽检</w:t>
      </w:r>
      <w:r>
        <w:rPr>
          <w:rFonts w:hint="eastAsia" w:hAnsi="仿宋_GB2312" w:cs="仿宋_GB2312"/>
          <w:sz w:val="32"/>
          <w:szCs w:val="32"/>
          <w:lang w:val="en-US" w:eastAsia="zh-CN"/>
        </w:rPr>
        <w:t>10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不合格</w:t>
      </w:r>
      <w:r>
        <w:rPr>
          <w:rFonts w:hint="eastAsia" w:hAnsi="仿宋_GB2312" w:cs="仿宋_GB2312"/>
          <w:sz w:val="32"/>
          <w:szCs w:val="32"/>
          <w:lang w:val="en-US" w:eastAsia="zh-CN"/>
        </w:rPr>
        <w:t>68</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firstLine="643" w:firstLineChars="200"/>
        <w:textAlignment w:val="auto"/>
        <w:rPr>
          <w:rFonts w:hint="default"/>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 w:hAnsi="仿宋" w:eastAsia="仿宋" w:cs="仿宋"/>
          <w:b/>
          <w:bCs/>
          <w:sz w:val="32"/>
          <w:szCs w:val="32"/>
          <w:lang w:val="en-US" w:eastAsia="zh-CN"/>
        </w:rPr>
        <w:t>3.目标进度完成情况。</w:t>
      </w:r>
      <w:r>
        <w:rPr>
          <w:rFonts w:hint="eastAsia" w:ascii="仿宋_GB2312" w:hAnsi="仿宋_GB2312" w:eastAsia="仿宋_GB2312" w:cs="仿宋_GB2312"/>
          <w:sz w:val="32"/>
          <w:szCs w:val="32"/>
          <w:lang w:val="en-US" w:eastAsia="zh-CN"/>
        </w:rPr>
        <w:t>年度实际完成市级食品监督抽检</w:t>
      </w:r>
      <w:r>
        <w:rPr>
          <w:rFonts w:hint="eastAsia" w:hAnsi="仿宋_GB2312" w:cs="仿宋_GB2312"/>
          <w:sz w:val="32"/>
          <w:szCs w:val="32"/>
          <w:lang w:val="en-US" w:eastAsia="zh-CN"/>
        </w:rPr>
        <w:t>10</w:t>
      </w:r>
      <w:r>
        <w:rPr>
          <w:rFonts w:hint="eastAsia" w:ascii="仿宋_GB2312" w:hAnsi="仿宋_GB2312" w:eastAsia="仿宋_GB2312" w:cs="仿宋_GB2312"/>
          <w:sz w:val="32"/>
          <w:szCs w:val="32"/>
          <w:lang w:val="en-US" w:eastAsia="zh-CN"/>
        </w:rPr>
        <w:t>00批次，完成率100%。</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　　（二）项目效益情况</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480" w:firstLineChars="150"/>
        <w:textAlignment w:val="auto"/>
        <w:rPr>
          <w:rFonts w:hint="eastAsia"/>
          <w:bCs/>
          <w:sz w:val="32"/>
          <w:szCs w:val="32"/>
        </w:rPr>
      </w:pPr>
      <w:r>
        <w:rPr>
          <w:rFonts w:hint="eastAsia"/>
          <w:bCs/>
          <w:sz w:val="32"/>
          <w:szCs w:val="32"/>
        </w:rPr>
        <w:t xml:space="preserve"> 通过</w:t>
      </w:r>
      <w:r>
        <w:rPr>
          <w:rFonts w:hint="eastAsia"/>
          <w:bCs/>
          <w:sz w:val="32"/>
          <w:szCs w:val="32"/>
          <w:lang w:eastAsia="zh-CN"/>
        </w:rPr>
        <w:t>成立</w:t>
      </w:r>
      <w:r>
        <w:rPr>
          <w:rFonts w:hint="eastAsia"/>
          <w:bCs/>
          <w:sz w:val="32"/>
          <w:szCs w:val="32"/>
        </w:rPr>
        <w:t>项目实施</w:t>
      </w:r>
      <w:r>
        <w:rPr>
          <w:rFonts w:hint="eastAsia"/>
          <w:bCs/>
          <w:sz w:val="32"/>
          <w:szCs w:val="32"/>
          <w:lang w:eastAsia="zh-CN"/>
        </w:rPr>
        <w:t>领导小组、公开招标、规范组织、严格不合格报告后处置、强化结果研判及运用等方式</w:t>
      </w:r>
      <w:r>
        <w:rPr>
          <w:rFonts w:hint="eastAsia"/>
          <w:bCs/>
          <w:sz w:val="32"/>
          <w:szCs w:val="32"/>
        </w:rPr>
        <w:t>，强化了资金管理，严格了财务管理，充分发挥了资金的使用效益。通过年度对</w:t>
      </w:r>
      <w:r>
        <w:rPr>
          <w:rFonts w:hint="eastAsia"/>
          <w:bCs/>
          <w:sz w:val="32"/>
          <w:szCs w:val="32"/>
          <w:lang w:val="en-US" w:eastAsia="zh-CN"/>
        </w:rPr>
        <w:t>市级</w:t>
      </w:r>
      <w:r>
        <w:rPr>
          <w:rFonts w:hint="eastAsia"/>
          <w:bCs/>
          <w:sz w:val="32"/>
          <w:szCs w:val="32"/>
        </w:rPr>
        <w:t>食品</w:t>
      </w:r>
      <w:r>
        <w:rPr>
          <w:rFonts w:hint="eastAsia"/>
          <w:bCs/>
          <w:sz w:val="32"/>
          <w:szCs w:val="32"/>
          <w:lang w:val="en-US" w:eastAsia="zh-CN"/>
        </w:rPr>
        <w:t>安全监督</w:t>
      </w:r>
      <w:r>
        <w:rPr>
          <w:rFonts w:hint="eastAsia"/>
          <w:bCs/>
          <w:sz w:val="32"/>
          <w:szCs w:val="32"/>
        </w:rPr>
        <w:t>抽</w:t>
      </w:r>
      <w:r>
        <w:rPr>
          <w:rFonts w:hint="eastAsia"/>
          <w:bCs/>
          <w:sz w:val="32"/>
          <w:szCs w:val="32"/>
          <w:lang w:val="en-US" w:eastAsia="zh-CN"/>
        </w:rPr>
        <w:t>检</w:t>
      </w:r>
      <w:r>
        <w:rPr>
          <w:rFonts w:hint="eastAsia"/>
          <w:bCs/>
          <w:sz w:val="32"/>
          <w:szCs w:val="32"/>
        </w:rPr>
        <w:t>项目的顺利实施，对</w:t>
      </w:r>
      <w:r>
        <w:rPr>
          <w:rFonts w:hint="eastAsia"/>
          <w:bCs/>
          <w:sz w:val="32"/>
          <w:szCs w:val="32"/>
          <w:lang w:eastAsia="zh-CN"/>
        </w:rPr>
        <w:t>全市范围内</w:t>
      </w:r>
      <w:r>
        <w:rPr>
          <w:rFonts w:hint="eastAsia"/>
          <w:bCs/>
          <w:sz w:val="32"/>
          <w:szCs w:val="32"/>
        </w:rPr>
        <w:t>食品</w:t>
      </w:r>
      <w:r>
        <w:rPr>
          <w:rFonts w:hint="eastAsia"/>
          <w:bCs/>
          <w:sz w:val="32"/>
          <w:szCs w:val="32"/>
          <w:lang w:eastAsia="zh-CN"/>
        </w:rPr>
        <w:t>方</w:t>
      </w:r>
      <w:r>
        <w:rPr>
          <w:rFonts w:hint="eastAsia"/>
          <w:bCs/>
          <w:sz w:val="32"/>
          <w:szCs w:val="32"/>
        </w:rPr>
        <w:t>面进行了常态化的安全</w:t>
      </w:r>
      <w:r>
        <w:rPr>
          <w:rFonts w:hint="eastAsia"/>
          <w:bCs/>
          <w:sz w:val="32"/>
          <w:szCs w:val="32"/>
          <w:lang w:eastAsia="zh-CN"/>
        </w:rPr>
        <w:t>抽样</w:t>
      </w:r>
      <w:r>
        <w:rPr>
          <w:rFonts w:hint="eastAsia"/>
          <w:bCs/>
          <w:sz w:val="32"/>
          <w:szCs w:val="32"/>
        </w:rPr>
        <w:t>监测，</w:t>
      </w:r>
      <w:r>
        <w:rPr>
          <w:rFonts w:hint="eastAsia"/>
          <w:bCs/>
          <w:sz w:val="32"/>
          <w:szCs w:val="32"/>
          <w:lang w:eastAsia="zh-CN"/>
        </w:rPr>
        <w:t>各项指标值全部达到预期效果，</w:t>
      </w:r>
      <w:r>
        <w:rPr>
          <w:rFonts w:hint="eastAsia"/>
          <w:bCs/>
          <w:sz w:val="32"/>
          <w:szCs w:val="32"/>
          <w:lang w:val="en-US" w:eastAsia="zh-CN"/>
        </w:rPr>
        <w:t>及时消除了相关风险隐患，</w:t>
      </w:r>
      <w:r>
        <w:rPr>
          <w:rFonts w:hint="eastAsia"/>
          <w:bCs/>
          <w:sz w:val="32"/>
          <w:szCs w:val="32"/>
        </w:rPr>
        <w:t>较好地保障了全市食品安全，提升了全市人民群众健康指数，带来了良好的经济效益和社会效益。</w:t>
      </w:r>
    </w:p>
    <w:p>
      <w:pPr>
        <w:pStyle w:val="6"/>
        <w:keepNext w:val="0"/>
        <w:keepLines w:val="0"/>
        <w:pageBreakBefore w:val="0"/>
        <w:widowControl w:val="0"/>
        <w:numPr>
          <w:ilvl w:val="0"/>
          <w:numId w:val="7"/>
        </w:numPr>
        <w:kinsoku/>
        <w:wordWrap/>
        <w:overflowPunct/>
        <w:topLinePunct w:val="0"/>
        <w:autoSpaceDE/>
        <w:autoSpaceDN/>
        <w:bidi w:val="0"/>
        <w:adjustRightInd w:val="0"/>
        <w:snapToGrid w:val="0"/>
        <w:spacing w:before="93"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评价结论</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w:t>
      </w:r>
      <w:r>
        <w:rPr>
          <w:rFonts w:hint="eastAsia" w:ascii="仿宋" w:hAnsi="仿宋" w:eastAsia="仿宋" w:cs="仿宋"/>
          <w:bCs/>
          <w:sz w:val="32"/>
          <w:szCs w:val="32"/>
          <w:lang w:val="en-US" w:eastAsia="zh-CN"/>
        </w:rPr>
        <w:t>通过此项目的全面实施，做到了科学统筹，全域覆盖，突出重点，检管结合，防范风险，</w:t>
      </w:r>
      <w:r>
        <w:rPr>
          <w:rFonts w:hint="eastAsia" w:ascii="FangSong_GB2312" w:hAnsi="FangSong_GB2312" w:eastAsia="FangSong_GB2312" w:cs="FangSong_GB2312"/>
          <w:sz w:val="32"/>
          <w:szCs w:val="32"/>
        </w:rPr>
        <w:t>切实保障人民群众“舌尖上的安全”</w:t>
      </w:r>
      <w:r>
        <w:rPr>
          <w:rFonts w:hint="eastAsia" w:ascii="FangSong_GB2312" w:hAnsi="FangSong_GB2312" w:eastAsia="FangSong_GB2312" w:cs="FangSong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六、存在的问题及建议</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（一）存在的问题。</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eastAsia"/>
          <w:bCs/>
          <w:sz w:val="32"/>
          <w:szCs w:val="32"/>
        </w:rPr>
      </w:pPr>
      <w:r>
        <w:rPr>
          <w:rFonts w:hint="eastAsia"/>
          <w:bCs/>
          <w:sz w:val="32"/>
          <w:szCs w:val="32"/>
        </w:rPr>
        <w:t xml:space="preserve"> 1.</w:t>
      </w:r>
      <w:r>
        <w:rPr>
          <w:rFonts w:hint="eastAsia"/>
          <w:bCs/>
          <w:sz w:val="32"/>
          <w:szCs w:val="32"/>
          <w:lang w:val="en-US" w:eastAsia="zh-CN"/>
        </w:rPr>
        <w:t xml:space="preserve"> </w:t>
      </w:r>
      <w:r>
        <w:rPr>
          <w:rFonts w:hint="eastAsia"/>
          <w:bCs/>
          <w:sz w:val="32"/>
          <w:szCs w:val="32"/>
          <w:lang w:eastAsia="zh-CN"/>
        </w:rPr>
        <w:t>财政</w:t>
      </w:r>
      <w:r>
        <w:rPr>
          <w:rFonts w:hint="eastAsia"/>
          <w:bCs/>
          <w:sz w:val="32"/>
          <w:szCs w:val="32"/>
        </w:rPr>
        <w:t>对</w:t>
      </w:r>
      <w:r>
        <w:rPr>
          <w:rFonts w:hint="eastAsia"/>
          <w:bCs/>
          <w:sz w:val="32"/>
          <w:szCs w:val="32"/>
          <w:lang w:eastAsia="zh-CN"/>
        </w:rPr>
        <w:t>市本级</w:t>
      </w:r>
      <w:r>
        <w:rPr>
          <w:rFonts w:hint="eastAsia"/>
          <w:bCs/>
          <w:sz w:val="32"/>
          <w:szCs w:val="32"/>
        </w:rPr>
        <w:t>食品</w:t>
      </w:r>
      <w:r>
        <w:rPr>
          <w:rFonts w:hint="eastAsia"/>
          <w:bCs/>
          <w:sz w:val="32"/>
          <w:szCs w:val="32"/>
          <w:lang w:val="en-US" w:eastAsia="zh-CN"/>
        </w:rPr>
        <w:t>安全监督</w:t>
      </w:r>
      <w:r>
        <w:rPr>
          <w:rFonts w:hint="eastAsia"/>
          <w:bCs/>
          <w:sz w:val="32"/>
          <w:szCs w:val="32"/>
        </w:rPr>
        <w:t>抽验经费</w:t>
      </w:r>
      <w:r>
        <w:rPr>
          <w:rFonts w:hint="eastAsia"/>
          <w:bCs/>
          <w:sz w:val="32"/>
          <w:szCs w:val="32"/>
          <w:lang w:eastAsia="zh-CN"/>
        </w:rPr>
        <w:t>下达时间较晚</w:t>
      </w:r>
      <w:r>
        <w:rPr>
          <w:rFonts w:hint="eastAsia"/>
          <w:bCs/>
          <w:sz w:val="32"/>
          <w:szCs w:val="32"/>
        </w:rPr>
        <w:t>。</w:t>
      </w:r>
      <w:r>
        <w:rPr>
          <w:rFonts w:hint="eastAsia"/>
          <w:bCs/>
          <w:sz w:val="32"/>
          <w:szCs w:val="32"/>
          <w:lang w:eastAsia="zh-CN"/>
        </w:rPr>
        <w:t>此抽检实行“一事一议”政策后，下半年才正式启动，上半年抽检工作轨迹实现为零。</w:t>
      </w:r>
      <w:r>
        <w:rPr>
          <w:rFonts w:hint="eastAsia"/>
          <w:bCs/>
          <w:sz w:val="32"/>
          <w:szCs w:val="32"/>
          <w:lang w:val="en-US" w:eastAsia="zh-CN"/>
        </w:rPr>
        <w:t>　</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480" w:firstLineChars="150"/>
        <w:textAlignment w:val="auto"/>
        <w:rPr>
          <w:rFonts w:hint="eastAsia"/>
          <w:bCs/>
          <w:sz w:val="32"/>
          <w:szCs w:val="32"/>
        </w:rPr>
      </w:pPr>
      <w:r>
        <w:rPr>
          <w:rFonts w:hint="eastAsia"/>
          <w:bCs/>
          <w:sz w:val="32"/>
          <w:szCs w:val="32"/>
        </w:rPr>
        <w:t xml:space="preserve"> 2.食品安全抽检监测不合格样品后处理有待加强。</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eastAsia"/>
          <w:bCs/>
          <w:sz w:val="32"/>
          <w:szCs w:val="32"/>
        </w:rPr>
      </w:pPr>
      <w:r>
        <w:rPr>
          <w:rFonts w:hint="eastAsia" w:ascii="楷体" w:hAnsi="楷体" w:eastAsia="楷体" w:cs="楷体"/>
          <w:bCs/>
          <w:sz w:val="32"/>
          <w:szCs w:val="32"/>
          <w:lang w:val="en-US" w:eastAsia="zh-CN"/>
        </w:rPr>
        <w:t>（二）相关建议。</w:t>
      </w:r>
      <w:r>
        <w:rPr>
          <w:rFonts w:hint="eastAsia"/>
          <w:bCs/>
          <w:sz w:val="32"/>
          <w:szCs w:val="32"/>
        </w:rPr>
        <w:t>加大对</w:t>
      </w:r>
      <w:r>
        <w:rPr>
          <w:rFonts w:hint="eastAsia"/>
          <w:bCs/>
          <w:sz w:val="32"/>
          <w:szCs w:val="32"/>
          <w:lang w:val="en-US" w:eastAsia="zh-CN"/>
        </w:rPr>
        <w:t>市本级</w:t>
      </w:r>
      <w:r>
        <w:rPr>
          <w:rFonts w:hint="eastAsia"/>
          <w:bCs/>
          <w:sz w:val="32"/>
          <w:szCs w:val="32"/>
        </w:rPr>
        <w:t>食品</w:t>
      </w:r>
      <w:r>
        <w:rPr>
          <w:rFonts w:hint="eastAsia"/>
          <w:bCs/>
          <w:sz w:val="32"/>
          <w:szCs w:val="32"/>
          <w:lang w:val="en-US" w:eastAsia="zh-CN"/>
        </w:rPr>
        <w:t>安全监督</w:t>
      </w:r>
      <w:r>
        <w:rPr>
          <w:rFonts w:hint="eastAsia"/>
          <w:bCs/>
          <w:sz w:val="32"/>
          <w:szCs w:val="32"/>
        </w:rPr>
        <w:t>抽验</w:t>
      </w:r>
      <w:r>
        <w:rPr>
          <w:rFonts w:hint="eastAsia"/>
          <w:bCs/>
          <w:sz w:val="32"/>
          <w:szCs w:val="32"/>
          <w:lang w:val="en-US" w:eastAsia="zh-CN"/>
        </w:rPr>
        <w:t>专项</w:t>
      </w:r>
      <w:r>
        <w:rPr>
          <w:rFonts w:hint="eastAsia"/>
          <w:bCs/>
          <w:sz w:val="32"/>
          <w:szCs w:val="32"/>
        </w:rPr>
        <w:t>经费的投入力度，保障抽</w:t>
      </w:r>
      <w:r>
        <w:rPr>
          <w:rFonts w:hint="eastAsia"/>
          <w:bCs/>
          <w:sz w:val="32"/>
          <w:szCs w:val="32"/>
          <w:lang w:val="en-US" w:eastAsia="zh-CN"/>
        </w:rPr>
        <w:t>检民生实事落地落实</w:t>
      </w:r>
      <w:r>
        <w:rPr>
          <w:rFonts w:hint="eastAsia"/>
          <w:bCs/>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eastAsia" w:eastAsia="仿宋_GB2312"/>
          <w:bCs/>
          <w:sz w:val="32"/>
          <w:szCs w:val="32"/>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textAlignment w:val="auto"/>
        <w:rPr>
          <w:rFonts w:hint="default"/>
          <w:bCs/>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textAlignment w:val="auto"/>
        <w:rPr>
          <w:rFonts w:hint="default"/>
          <w:bCs/>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仿宋" w:hAnsi="仿宋" w:eastAsia="仿宋" w:cs="仿宋"/>
          <w:sz w:val="32"/>
          <w:szCs w:val="32"/>
          <w:lang w:val="en-US" w:eastAsia="zh-CN"/>
        </w:rPr>
      </w:pPr>
      <w:r>
        <w:rPr>
          <w:rFonts w:hint="eastAsia"/>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63"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4"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4"/>
    </w:p>
    <w:p>
      <w:pPr>
        <w:pStyle w:val="4"/>
        <w:rPr>
          <w:rFonts w:ascii="仿宋" w:hAnsi="仿宋" w:eastAsia="仿宋"/>
          <w:color w:val="000000"/>
        </w:rPr>
      </w:pPr>
      <w:bookmarkStart w:id="65"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5"/>
    </w:p>
    <w:p>
      <w:pPr>
        <w:pStyle w:val="4"/>
        <w:rPr>
          <w:rFonts w:ascii="仿宋" w:hAnsi="仿宋" w:eastAsia="仿宋"/>
          <w:color w:val="000000"/>
        </w:rPr>
      </w:pPr>
      <w:bookmarkStart w:id="66"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6"/>
    </w:p>
    <w:p>
      <w:pPr>
        <w:pStyle w:val="4"/>
        <w:rPr>
          <w:rFonts w:ascii="仿宋" w:hAnsi="仿宋" w:eastAsia="仿宋"/>
          <w:b w:val="0"/>
          <w:color w:val="000000"/>
        </w:rPr>
      </w:pPr>
      <w:bookmarkStart w:id="67"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7"/>
    </w:p>
    <w:p>
      <w:pPr>
        <w:pStyle w:val="4"/>
        <w:rPr>
          <w:rStyle w:val="27"/>
          <w:rFonts w:ascii="仿宋" w:hAnsi="仿宋" w:eastAsia="仿宋"/>
          <w:b w:val="0"/>
          <w:bCs w:val="0"/>
        </w:rPr>
      </w:pPr>
      <w:bookmarkStart w:id="68"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8"/>
      <w:bookmarkStart w:id="69" w:name="_Toc15396624"/>
    </w:p>
    <w:p>
      <w:pPr>
        <w:pStyle w:val="4"/>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9"/>
    </w:p>
    <w:p>
      <w:pPr>
        <w:pStyle w:val="4"/>
        <w:rPr>
          <w:rFonts w:ascii="仿宋" w:hAnsi="仿宋" w:eastAsia="仿宋"/>
          <w:color w:val="000000"/>
        </w:rPr>
      </w:pPr>
      <w:bookmarkStart w:id="70"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70"/>
    </w:p>
    <w:p>
      <w:pPr>
        <w:pStyle w:val="4"/>
        <w:rPr>
          <w:rFonts w:ascii="仿宋" w:hAnsi="仿宋" w:eastAsia="仿宋"/>
          <w:color w:val="000000"/>
        </w:rPr>
      </w:pPr>
      <w:bookmarkStart w:id="71"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1"/>
    </w:p>
    <w:p>
      <w:pPr>
        <w:pStyle w:val="4"/>
        <w:rPr>
          <w:rFonts w:ascii="仿宋" w:hAnsi="仿宋" w:eastAsia="仿宋"/>
          <w:color w:val="000000"/>
        </w:rPr>
      </w:pPr>
      <w:bookmarkStart w:id="72"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72"/>
    </w:p>
    <w:p>
      <w:pPr>
        <w:pStyle w:val="4"/>
        <w:rPr>
          <w:rFonts w:ascii="仿宋" w:hAnsi="仿宋" w:eastAsia="仿宋"/>
          <w:color w:val="000000"/>
        </w:rPr>
      </w:pPr>
      <w:bookmarkStart w:id="73"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3"/>
    </w:p>
    <w:p>
      <w:pPr>
        <w:pStyle w:val="4"/>
        <w:rPr>
          <w:rFonts w:ascii="仿宋" w:hAnsi="仿宋" w:eastAsia="仿宋"/>
          <w:color w:val="000000"/>
        </w:rPr>
      </w:pPr>
      <w:bookmarkStart w:id="74"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4"/>
    </w:p>
    <w:p>
      <w:pPr>
        <w:pStyle w:val="4"/>
        <w:rPr>
          <w:rFonts w:ascii="仿宋" w:hAnsi="仿宋" w:eastAsia="仿宋"/>
          <w:color w:val="000000"/>
        </w:rPr>
      </w:pPr>
      <w:bookmarkStart w:id="75"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5"/>
    </w:p>
    <w:p>
      <w:pPr>
        <w:pStyle w:val="4"/>
        <w:rPr>
          <w:rFonts w:ascii="仿宋" w:hAnsi="仿宋" w:eastAsia="仿宋"/>
          <w:color w:val="000000" w:themeColor="text1"/>
          <w14:textFill>
            <w14:solidFill>
              <w14:schemeClr w14:val="tx1"/>
            </w14:solidFill>
          </w14:textFill>
        </w:rPr>
      </w:pPr>
      <w:bookmarkStart w:id="76"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6"/>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FangSong_GB2312">
    <w:altName w:val="仿宋"/>
    <w:panose1 w:val="020106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24</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140" w:firstLineChars="2300"/>
      <w:rPr>
        <w:rFonts w:hint="eastAsia" w:eastAsia="宋体"/>
        <w:lang w:val="en-US" w:eastAsia="zh-CN"/>
      </w:rPr>
    </w:pP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EED8A56"/>
    <w:multiLevelType w:val="singleLevel"/>
    <w:tmpl w:val="0EED8A56"/>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906082E"/>
    <w:multiLevelType w:val="singleLevel"/>
    <w:tmpl w:val="4906082E"/>
    <w:lvl w:ilvl="0" w:tentative="0">
      <w:start w:val="3"/>
      <w:numFmt w:val="decimal"/>
      <w:suff w:val="nothing"/>
      <w:lvlText w:val="（%1）"/>
      <w:lvlJc w:val="left"/>
    </w:lvl>
  </w:abstractNum>
  <w:abstractNum w:abstractNumId="5">
    <w:nsid w:val="569F409D"/>
    <w:multiLevelType w:val="singleLevel"/>
    <w:tmpl w:val="569F409D"/>
    <w:lvl w:ilvl="0" w:tentative="0">
      <w:start w:val="1"/>
      <w:numFmt w:val="chineseCounting"/>
      <w:suff w:val="nothing"/>
      <w:lvlText w:val="%1、"/>
      <w:lvlJc w:val="left"/>
    </w:lvl>
  </w:abstractNum>
  <w:abstractNum w:abstractNumId="6">
    <w:nsid w:val="67F2D5CA"/>
    <w:multiLevelType w:val="singleLevel"/>
    <w:tmpl w:val="67F2D5CA"/>
    <w:lvl w:ilvl="0" w:tentative="0">
      <w:start w:val="5"/>
      <w:numFmt w:val="chineseCounting"/>
      <w:suff w:val="nothing"/>
      <w:lvlText w:val="%1、"/>
      <w:lvlJc w:val="left"/>
      <w:rPr>
        <w:rFonts w:hint="eastAsia"/>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0ABD"/>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07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5253F"/>
    <w:rsid w:val="01463354"/>
    <w:rsid w:val="01482D3F"/>
    <w:rsid w:val="01484444"/>
    <w:rsid w:val="01E1232F"/>
    <w:rsid w:val="021F0601"/>
    <w:rsid w:val="02C8404A"/>
    <w:rsid w:val="02CE42C2"/>
    <w:rsid w:val="02F40C2C"/>
    <w:rsid w:val="03256774"/>
    <w:rsid w:val="033D56C5"/>
    <w:rsid w:val="034D7321"/>
    <w:rsid w:val="04F062EB"/>
    <w:rsid w:val="05521077"/>
    <w:rsid w:val="05992A77"/>
    <w:rsid w:val="05A92E1E"/>
    <w:rsid w:val="05B96A4D"/>
    <w:rsid w:val="05D660D5"/>
    <w:rsid w:val="05F045A4"/>
    <w:rsid w:val="062B7715"/>
    <w:rsid w:val="06A109F5"/>
    <w:rsid w:val="06A727D6"/>
    <w:rsid w:val="070C6424"/>
    <w:rsid w:val="072E4004"/>
    <w:rsid w:val="07474DFF"/>
    <w:rsid w:val="07675F40"/>
    <w:rsid w:val="08360C40"/>
    <w:rsid w:val="088237DB"/>
    <w:rsid w:val="08845644"/>
    <w:rsid w:val="089D0E07"/>
    <w:rsid w:val="09442DD9"/>
    <w:rsid w:val="095E1857"/>
    <w:rsid w:val="0A010E85"/>
    <w:rsid w:val="0A863047"/>
    <w:rsid w:val="0AC867AD"/>
    <w:rsid w:val="0B087C60"/>
    <w:rsid w:val="0B13424D"/>
    <w:rsid w:val="0B43278C"/>
    <w:rsid w:val="0B5A7DEC"/>
    <w:rsid w:val="0BAA0230"/>
    <w:rsid w:val="0BD1382F"/>
    <w:rsid w:val="0C6438F5"/>
    <w:rsid w:val="0C835333"/>
    <w:rsid w:val="0CBB0CE2"/>
    <w:rsid w:val="0CD1030C"/>
    <w:rsid w:val="0D3558A6"/>
    <w:rsid w:val="0D68600A"/>
    <w:rsid w:val="0D6C1547"/>
    <w:rsid w:val="0D7825F8"/>
    <w:rsid w:val="0E0D19C0"/>
    <w:rsid w:val="0E680930"/>
    <w:rsid w:val="0EAB52E4"/>
    <w:rsid w:val="0ECB12BC"/>
    <w:rsid w:val="0ED7591C"/>
    <w:rsid w:val="0EF70C09"/>
    <w:rsid w:val="0F0F40C5"/>
    <w:rsid w:val="0F117AE3"/>
    <w:rsid w:val="0F7A2B93"/>
    <w:rsid w:val="104A5369"/>
    <w:rsid w:val="109923EA"/>
    <w:rsid w:val="10A1114C"/>
    <w:rsid w:val="10C055FF"/>
    <w:rsid w:val="10C31A12"/>
    <w:rsid w:val="10CC6A5E"/>
    <w:rsid w:val="110302B1"/>
    <w:rsid w:val="111B685F"/>
    <w:rsid w:val="11894D2C"/>
    <w:rsid w:val="127C3178"/>
    <w:rsid w:val="129F422B"/>
    <w:rsid w:val="12B35855"/>
    <w:rsid w:val="12B95E9E"/>
    <w:rsid w:val="12C512D1"/>
    <w:rsid w:val="134C2716"/>
    <w:rsid w:val="135C17EE"/>
    <w:rsid w:val="13720F40"/>
    <w:rsid w:val="13B8131C"/>
    <w:rsid w:val="155255BA"/>
    <w:rsid w:val="15A01ABE"/>
    <w:rsid w:val="15C06366"/>
    <w:rsid w:val="160E5317"/>
    <w:rsid w:val="161329E6"/>
    <w:rsid w:val="1633687D"/>
    <w:rsid w:val="16401DDF"/>
    <w:rsid w:val="16404E1C"/>
    <w:rsid w:val="16A22B9B"/>
    <w:rsid w:val="16BB723D"/>
    <w:rsid w:val="16CC4FD0"/>
    <w:rsid w:val="16FB0958"/>
    <w:rsid w:val="17D947C8"/>
    <w:rsid w:val="1808427C"/>
    <w:rsid w:val="18D332EF"/>
    <w:rsid w:val="18E24AC1"/>
    <w:rsid w:val="191D60B0"/>
    <w:rsid w:val="195F427D"/>
    <w:rsid w:val="196C6A50"/>
    <w:rsid w:val="1A105783"/>
    <w:rsid w:val="1A121045"/>
    <w:rsid w:val="1A3F2F40"/>
    <w:rsid w:val="1A6C4B0A"/>
    <w:rsid w:val="1A720667"/>
    <w:rsid w:val="1AE07F3B"/>
    <w:rsid w:val="1B1E7913"/>
    <w:rsid w:val="1B4D57F4"/>
    <w:rsid w:val="1C2E0C00"/>
    <w:rsid w:val="1D3B545C"/>
    <w:rsid w:val="1D673E3E"/>
    <w:rsid w:val="1DE71F23"/>
    <w:rsid w:val="1E2D1DF9"/>
    <w:rsid w:val="1E5859D3"/>
    <w:rsid w:val="1E800E67"/>
    <w:rsid w:val="1E9F68DB"/>
    <w:rsid w:val="1EBB7DCA"/>
    <w:rsid w:val="1F1F12FE"/>
    <w:rsid w:val="1F3B76F8"/>
    <w:rsid w:val="1F414F77"/>
    <w:rsid w:val="1F7D58F1"/>
    <w:rsid w:val="1FAF5480"/>
    <w:rsid w:val="20AC025C"/>
    <w:rsid w:val="21422315"/>
    <w:rsid w:val="21E832D4"/>
    <w:rsid w:val="22512D41"/>
    <w:rsid w:val="228E0CF6"/>
    <w:rsid w:val="22BC2078"/>
    <w:rsid w:val="237E5DFD"/>
    <w:rsid w:val="23A06813"/>
    <w:rsid w:val="23B47004"/>
    <w:rsid w:val="240371BF"/>
    <w:rsid w:val="24061E89"/>
    <w:rsid w:val="244D6E10"/>
    <w:rsid w:val="248275D4"/>
    <w:rsid w:val="249C11AA"/>
    <w:rsid w:val="253854CA"/>
    <w:rsid w:val="25CD1D1C"/>
    <w:rsid w:val="261F2333"/>
    <w:rsid w:val="266F0FD3"/>
    <w:rsid w:val="267C1143"/>
    <w:rsid w:val="269A3DBE"/>
    <w:rsid w:val="26DD31D4"/>
    <w:rsid w:val="26E3540E"/>
    <w:rsid w:val="26EF64EB"/>
    <w:rsid w:val="278C2F1D"/>
    <w:rsid w:val="28276ED7"/>
    <w:rsid w:val="285C3F97"/>
    <w:rsid w:val="286C53EC"/>
    <w:rsid w:val="287837B9"/>
    <w:rsid w:val="28B94EE5"/>
    <w:rsid w:val="28C97660"/>
    <w:rsid w:val="296B28DA"/>
    <w:rsid w:val="29FD04D3"/>
    <w:rsid w:val="2A0638A7"/>
    <w:rsid w:val="2B335B04"/>
    <w:rsid w:val="2B5474E5"/>
    <w:rsid w:val="2B5E4E7A"/>
    <w:rsid w:val="2B7F1367"/>
    <w:rsid w:val="2B9121CF"/>
    <w:rsid w:val="2C5D57FB"/>
    <w:rsid w:val="2CEB177C"/>
    <w:rsid w:val="2D600E64"/>
    <w:rsid w:val="2DD464C0"/>
    <w:rsid w:val="2DF6386F"/>
    <w:rsid w:val="2E332033"/>
    <w:rsid w:val="2E5D6638"/>
    <w:rsid w:val="2F2B19FA"/>
    <w:rsid w:val="2F2E5504"/>
    <w:rsid w:val="2F3B2A19"/>
    <w:rsid w:val="2F805193"/>
    <w:rsid w:val="30597030"/>
    <w:rsid w:val="3076390A"/>
    <w:rsid w:val="30A306C8"/>
    <w:rsid w:val="30EC1232"/>
    <w:rsid w:val="316B277E"/>
    <w:rsid w:val="316D0E84"/>
    <w:rsid w:val="317B76B1"/>
    <w:rsid w:val="319F7F4E"/>
    <w:rsid w:val="31E30DAD"/>
    <w:rsid w:val="31E92C0D"/>
    <w:rsid w:val="329F38B4"/>
    <w:rsid w:val="3344616D"/>
    <w:rsid w:val="337F1902"/>
    <w:rsid w:val="33BB1073"/>
    <w:rsid w:val="34396F5E"/>
    <w:rsid w:val="3475758D"/>
    <w:rsid w:val="34F94811"/>
    <w:rsid w:val="35352519"/>
    <w:rsid w:val="35604924"/>
    <w:rsid w:val="357330CF"/>
    <w:rsid w:val="35B02852"/>
    <w:rsid w:val="3616678E"/>
    <w:rsid w:val="36A52A55"/>
    <w:rsid w:val="36B90694"/>
    <w:rsid w:val="375E4DB3"/>
    <w:rsid w:val="37E46B5B"/>
    <w:rsid w:val="385A60AE"/>
    <w:rsid w:val="38F12EB1"/>
    <w:rsid w:val="391664B1"/>
    <w:rsid w:val="39950511"/>
    <w:rsid w:val="39FC3F76"/>
    <w:rsid w:val="3A0E17ED"/>
    <w:rsid w:val="3A3641D7"/>
    <w:rsid w:val="3A7A7394"/>
    <w:rsid w:val="3AF07AB5"/>
    <w:rsid w:val="3B280DA9"/>
    <w:rsid w:val="3B65480A"/>
    <w:rsid w:val="3B790076"/>
    <w:rsid w:val="3CB62A33"/>
    <w:rsid w:val="3CD02134"/>
    <w:rsid w:val="3CD576AE"/>
    <w:rsid w:val="3CE51818"/>
    <w:rsid w:val="3D2A7F94"/>
    <w:rsid w:val="3D524D4E"/>
    <w:rsid w:val="3D7A4BF5"/>
    <w:rsid w:val="3D935C03"/>
    <w:rsid w:val="3DAD3E3E"/>
    <w:rsid w:val="3DB01E02"/>
    <w:rsid w:val="3DCF3F80"/>
    <w:rsid w:val="3DD7794A"/>
    <w:rsid w:val="3DF606FE"/>
    <w:rsid w:val="3E514550"/>
    <w:rsid w:val="3E762799"/>
    <w:rsid w:val="3E9A0B27"/>
    <w:rsid w:val="3E9E52F6"/>
    <w:rsid w:val="3EBC6337"/>
    <w:rsid w:val="3EC039EE"/>
    <w:rsid w:val="3F134A95"/>
    <w:rsid w:val="3F48073F"/>
    <w:rsid w:val="3FBF62F8"/>
    <w:rsid w:val="40780411"/>
    <w:rsid w:val="40C50D50"/>
    <w:rsid w:val="40D559AA"/>
    <w:rsid w:val="414A2371"/>
    <w:rsid w:val="414B6DF4"/>
    <w:rsid w:val="41E33C17"/>
    <w:rsid w:val="427126E8"/>
    <w:rsid w:val="42FB3EA9"/>
    <w:rsid w:val="430426FE"/>
    <w:rsid w:val="436B7CB7"/>
    <w:rsid w:val="43E30C1B"/>
    <w:rsid w:val="441C009C"/>
    <w:rsid w:val="44A44A6C"/>
    <w:rsid w:val="44BD7382"/>
    <w:rsid w:val="44F7199B"/>
    <w:rsid w:val="459C3BB1"/>
    <w:rsid w:val="4616178E"/>
    <w:rsid w:val="466459E1"/>
    <w:rsid w:val="47042993"/>
    <w:rsid w:val="471278B5"/>
    <w:rsid w:val="473759F1"/>
    <w:rsid w:val="476C3545"/>
    <w:rsid w:val="477311DC"/>
    <w:rsid w:val="477A6A24"/>
    <w:rsid w:val="47A36249"/>
    <w:rsid w:val="47BF6357"/>
    <w:rsid w:val="47E406B0"/>
    <w:rsid w:val="47FE3960"/>
    <w:rsid w:val="492C2414"/>
    <w:rsid w:val="492F7881"/>
    <w:rsid w:val="49400DD0"/>
    <w:rsid w:val="494B521D"/>
    <w:rsid w:val="4A255548"/>
    <w:rsid w:val="4A9C370E"/>
    <w:rsid w:val="4B772302"/>
    <w:rsid w:val="4B8A548D"/>
    <w:rsid w:val="4BC55016"/>
    <w:rsid w:val="4BCA597C"/>
    <w:rsid w:val="4C413A82"/>
    <w:rsid w:val="4CA34930"/>
    <w:rsid w:val="4CE91275"/>
    <w:rsid w:val="4D0E6258"/>
    <w:rsid w:val="4D27411B"/>
    <w:rsid w:val="4D7167F8"/>
    <w:rsid w:val="4DF757FA"/>
    <w:rsid w:val="4E46294F"/>
    <w:rsid w:val="4E6240D3"/>
    <w:rsid w:val="4E9E5B4F"/>
    <w:rsid w:val="4ECE2238"/>
    <w:rsid w:val="4F003031"/>
    <w:rsid w:val="4F786F0D"/>
    <w:rsid w:val="4F7F52D5"/>
    <w:rsid w:val="4F9D5B00"/>
    <w:rsid w:val="508D6494"/>
    <w:rsid w:val="510E7C63"/>
    <w:rsid w:val="512A0FFB"/>
    <w:rsid w:val="522B41B6"/>
    <w:rsid w:val="52426406"/>
    <w:rsid w:val="52515B75"/>
    <w:rsid w:val="52554088"/>
    <w:rsid w:val="52664DD6"/>
    <w:rsid w:val="52731573"/>
    <w:rsid w:val="528B09C0"/>
    <w:rsid w:val="528B4836"/>
    <w:rsid w:val="52CB63E4"/>
    <w:rsid w:val="52DC3FBD"/>
    <w:rsid w:val="53566483"/>
    <w:rsid w:val="539A7145"/>
    <w:rsid w:val="53AF2752"/>
    <w:rsid w:val="54017B5C"/>
    <w:rsid w:val="546E5920"/>
    <w:rsid w:val="55E167D5"/>
    <w:rsid w:val="56627A52"/>
    <w:rsid w:val="56B5663A"/>
    <w:rsid w:val="56EC4DDF"/>
    <w:rsid w:val="56FB2808"/>
    <w:rsid w:val="579F5BDF"/>
    <w:rsid w:val="584F29B6"/>
    <w:rsid w:val="58F451F4"/>
    <w:rsid w:val="59080185"/>
    <w:rsid w:val="59134C79"/>
    <w:rsid w:val="59376FE8"/>
    <w:rsid w:val="597363C7"/>
    <w:rsid w:val="598235C2"/>
    <w:rsid w:val="59BA11FF"/>
    <w:rsid w:val="59C04F04"/>
    <w:rsid w:val="59C40568"/>
    <w:rsid w:val="59DE699F"/>
    <w:rsid w:val="5A773AC4"/>
    <w:rsid w:val="5A8F5EB4"/>
    <w:rsid w:val="5B191E13"/>
    <w:rsid w:val="5C704DD0"/>
    <w:rsid w:val="5CBB739F"/>
    <w:rsid w:val="5D2E5452"/>
    <w:rsid w:val="5D2E5AF7"/>
    <w:rsid w:val="5D396A96"/>
    <w:rsid w:val="5DD13BD5"/>
    <w:rsid w:val="5E0414AF"/>
    <w:rsid w:val="5E2F77DC"/>
    <w:rsid w:val="5E56434E"/>
    <w:rsid w:val="5EF63CD3"/>
    <w:rsid w:val="5EF86916"/>
    <w:rsid w:val="5F4C5C77"/>
    <w:rsid w:val="60844957"/>
    <w:rsid w:val="608C5444"/>
    <w:rsid w:val="61887FB2"/>
    <w:rsid w:val="61A258DA"/>
    <w:rsid w:val="61FC5DA1"/>
    <w:rsid w:val="61FE3338"/>
    <w:rsid w:val="62425845"/>
    <w:rsid w:val="626F61D2"/>
    <w:rsid w:val="62DC06DA"/>
    <w:rsid w:val="62E5559F"/>
    <w:rsid w:val="63741C23"/>
    <w:rsid w:val="63AF3749"/>
    <w:rsid w:val="640255AC"/>
    <w:rsid w:val="642D4052"/>
    <w:rsid w:val="65682C9E"/>
    <w:rsid w:val="657D44B4"/>
    <w:rsid w:val="659C696B"/>
    <w:rsid w:val="66211793"/>
    <w:rsid w:val="664C752A"/>
    <w:rsid w:val="665B1290"/>
    <w:rsid w:val="66A23C01"/>
    <w:rsid w:val="672C0E6E"/>
    <w:rsid w:val="675C5C44"/>
    <w:rsid w:val="67F63B16"/>
    <w:rsid w:val="689A692D"/>
    <w:rsid w:val="68A14ADB"/>
    <w:rsid w:val="69136790"/>
    <w:rsid w:val="698C123F"/>
    <w:rsid w:val="69D60991"/>
    <w:rsid w:val="69F33215"/>
    <w:rsid w:val="6A4C67C3"/>
    <w:rsid w:val="6A980914"/>
    <w:rsid w:val="6AC231D6"/>
    <w:rsid w:val="6AC9582C"/>
    <w:rsid w:val="6B900620"/>
    <w:rsid w:val="6BAF5EE8"/>
    <w:rsid w:val="6BE63E99"/>
    <w:rsid w:val="6BEF3825"/>
    <w:rsid w:val="6BF02230"/>
    <w:rsid w:val="6C4008C5"/>
    <w:rsid w:val="6C486B16"/>
    <w:rsid w:val="6C843C61"/>
    <w:rsid w:val="6CED7D1F"/>
    <w:rsid w:val="6CF40F71"/>
    <w:rsid w:val="6CF5492F"/>
    <w:rsid w:val="6DF832F8"/>
    <w:rsid w:val="6E282232"/>
    <w:rsid w:val="6E5C6106"/>
    <w:rsid w:val="6E65385C"/>
    <w:rsid w:val="6E6839B4"/>
    <w:rsid w:val="6E777B7E"/>
    <w:rsid w:val="6EA204D8"/>
    <w:rsid w:val="6EA506B5"/>
    <w:rsid w:val="6EBA56D9"/>
    <w:rsid w:val="6F2F77CE"/>
    <w:rsid w:val="7023544F"/>
    <w:rsid w:val="70244979"/>
    <w:rsid w:val="707B04EC"/>
    <w:rsid w:val="707F6FF7"/>
    <w:rsid w:val="70860CE9"/>
    <w:rsid w:val="715C1997"/>
    <w:rsid w:val="72170790"/>
    <w:rsid w:val="726C1F1D"/>
    <w:rsid w:val="72734D90"/>
    <w:rsid w:val="72A21F34"/>
    <w:rsid w:val="737A4940"/>
    <w:rsid w:val="73E77BEE"/>
    <w:rsid w:val="75060054"/>
    <w:rsid w:val="75152CDE"/>
    <w:rsid w:val="759E10F0"/>
    <w:rsid w:val="76600654"/>
    <w:rsid w:val="76605669"/>
    <w:rsid w:val="767C22D1"/>
    <w:rsid w:val="76B56D7D"/>
    <w:rsid w:val="76B902FE"/>
    <w:rsid w:val="76D87FC6"/>
    <w:rsid w:val="782A1AEC"/>
    <w:rsid w:val="786811CF"/>
    <w:rsid w:val="78A82A0A"/>
    <w:rsid w:val="78AE646C"/>
    <w:rsid w:val="792461AE"/>
    <w:rsid w:val="79EE797D"/>
    <w:rsid w:val="7A036DC3"/>
    <w:rsid w:val="7A1145D0"/>
    <w:rsid w:val="7A5C287A"/>
    <w:rsid w:val="7AE02A9E"/>
    <w:rsid w:val="7B160DD5"/>
    <w:rsid w:val="7B434529"/>
    <w:rsid w:val="7BCB5CE8"/>
    <w:rsid w:val="7C22301B"/>
    <w:rsid w:val="7D975294"/>
    <w:rsid w:val="7DD85234"/>
    <w:rsid w:val="7E16277A"/>
    <w:rsid w:val="7E2B04C2"/>
    <w:rsid w:val="7E955C0D"/>
    <w:rsid w:val="7F076063"/>
    <w:rsid w:val="7F7A649F"/>
    <w:rsid w:val="7FC625A9"/>
    <w:rsid w:val="7FC925A9"/>
    <w:rsid w:val="7FD94D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semiHidden/>
    <w:unhideWhenUsed/>
    <w:qFormat/>
    <w:uiPriority w:val="99"/>
    <w:pPr>
      <w:spacing w:line="540" w:lineRule="exact"/>
    </w:pPr>
    <w:rPr>
      <w:rFonts w:ascii="Times New Roman" w:hAnsi="Times New Roman" w:eastAsia="仿宋_GB2312" w:cs="Times New Roman"/>
      <w:spacing w:val="-2"/>
      <w:sz w:val="32"/>
      <w:szCs w:val="20"/>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semiHidden/>
    <w:unhideWhenUsed/>
    <w:qFormat/>
    <w:uiPriority w:val="99"/>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8">
    <w:name w:val="Header Char"/>
    <w:basedOn w:val="13"/>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3"/>
    <w:link w:val="3"/>
    <w:qFormat/>
    <w:uiPriority w:val="9"/>
    <w:rPr>
      <w:rFonts w:ascii="Times New Roman" w:hAnsi="Times New Roman"/>
      <w:b/>
      <w:bCs/>
      <w:kern w:val="44"/>
      <w:sz w:val="44"/>
      <w:szCs w:val="44"/>
    </w:rPr>
  </w:style>
  <w:style w:type="character" w:customStyle="1" w:styleId="27">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3"/>
    <w:link w:val="8"/>
    <w:semiHidden/>
    <w:qFormat/>
    <w:uiPriority w:val="99"/>
    <w:rPr>
      <w:rFonts w:ascii="Times New Roman" w:hAnsi="Times New Roman"/>
      <w:kern w:val="2"/>
      <w:sz w:val="18"/>
      <w:szCs w:val="18"/>
    </w:rPr>
  </w:style>
  <w:style w:type="character" w:customStyle="1" w:styleId="30">
    <w:name w:val="标题 3 Char"/>
    <w:basedOn w:val="13"/>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Documents\&#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000" b="1" i="0" u="none" strike="noStrike" kern="1200" baseline="0">
                <a:solidFill>
                  <a:schemeClr val="tx1">
                    <a:lumMod val="65000"/>
                    <a:lumOff val="35000"/>
                  </a:schemeClr>
                </a:solidFill>
                <a:latin typeface="+mn-lt"/>
                <a:ea typeface="+mn-ea"/>
                <a:cs typeface="+mn-cs"/>
              </a:defRPr>
            </a:pPr>
            <a:r>
              <a:rPr sz="2000"/>
              <a:t>2019年收入决算结构图</a:t>
            </a:r>
            <a:endParaRPr sz="2000"/>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91273954441364"/>
                  <c:y val="-0.0863716814159292"/>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tx1">
                            <a:lumMod val="75000"/>
                            <a:lumOff val="25000"/>
                          </a:schemeClr>
                        </a:solidFill>
                        <a:latin typeface="+mn-lt"/>
                        <a:ea typeface="+mn-ea"/>
                        <a:cs typeface="+mn-cs"/>
                      </a:defRPr>
                    </a:pPr>
                    <a:r>
                      <a:rPr sz="1200"/>
                      <a:t>￥6,515.31万元 </a:t>
                    </a:r>
                    <a:endParaRPr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263107147161625"/>
                      <c:h val="0.113097345132743"/>
                    </c:manualLayout>
                  </c15:layout>
                </c:ext>
              </c:extLst>
            </c:dLbl>
            <c:dLbl>
              <c:idx val="1"/>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tx1">
                            <a:lumMod val="75000"/>
                            <a:lumOff val="25000"/>
                          </a:schemeClr>
                        </a:solidFill>
                        <a:latin typeface="+mn-lt"/>
                        <a:ea typeface="+mn-ea"/>
                        <a:cs typeface="+mn-cs"/>
                      </a:defRPr>
                    </a:pPr>
                    <a:r>
                      <a:rPr sz="1200"/>
                      <a:t>￥190.00万元 </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numFmt formatCode="&quot;￥&quot;#,##0.00_);[Red]\(&quot;￥&quot;#,##0.0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[工作簿1.xlsx]Sheet2!$A$2:$A$3</c:f>
              <c:strCache>
                <c:ptCount val="2"/>
                <c:pt idx="0">
                  <c:v>一般公共预算财政拨款收入</c:v>
                </c:pt>
                <c:pt idx="1">
                  <c:v>经营收入</c:v>
                </c:pt>
              </c:strCache>
            </c:strRef>
          </c:cat>
          <c:val>
            <c:numRef>
              <c:f>[工作簿1.xlsx]Sheet2!$B$2:$B$3</c:f>
              <c:numCache>
                <c:formatCode>General</c:formatCode>
                <c:ptCount val="2"/>
                <c:pt idx="0">
                  <c:v>6515.31</c:v>
                </c:pt>
                <c:pt idx="1">
                  <c:v>190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400" b="0" i="0" u="none" strike="noStrike" kern="1200" spc="0" baseline="0">
                <a:solidFill>
                  <a:schemeClr val="tx1">
                    <a:lumMod val="65000"/>
                    <a:lumOff val="35000"/>
                  </a:schemeClr>
                </a:solidFill>
                <a:latin typeface="+mn-lt"/>
                <a:ea typeface="+mn-ea"/>
                <a:cs typeface="+mn-cs"/>
              </a:defRPr>
            </a:pPr>
            <a:r>
              <a:rPr sz="2400"/>
              <a:t>支出决算结构图</a:t>
            </a:r>
            <a:endParaRPr sz="24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[工作簿1.xlsx]Sheet3!$A$1:$A$3</c:f>
              <c:strCache>
                <c:ptCount val="3"/>
                <c:pt idx="0">
                  <c:v>基本支出</c:v>
                </c:pt>
                <c:pt idx="1">
                  <c:v>项目支出</c:v>
                </c:pt>
                <c:pt idx="2">
                  <c:v>经营支出</c:v>
                </c:pt>
              </c:strCache>
            </c:strRef>
          </c:cat>
          <c:val>
            <c:numRef>
              <c:f>[工作簿1.xlsx]Sheet3!$B$1:$B$3</c:f>
              <c:numCache>
                <c:formatCode>General</c:formatCode>
                <c:ptCount val="3"/>
                <c:pt idx="0">
                  <c:v>4659.2</c:v>
                </c:pt>
                <c:pt idx="1">
                  <c:v>1426.53</c:v>
                </c:pt>
                <c:pt idx="2">
                  <c:v>150.37</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50000"/>
                            <a:lumOff val="50000"/>
                          </a:schemeClr>
                        </a:solidFill>
                        <a:latin typeface="+mn-lt"/>
                        <a:ea typeface="+mn-ea"/>
                        <a:cs typeface="+mn-cs"/>
                      </a:defRPr>
                    </a:pPr>
                    <a:r>
                      <a:t>8010.78万元</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50000"/>
                            <a:lumOff val="50000"/>
                          </a:schemeClr>
                        </a:solidFill>
                        <a:latin typeface="+mn-lt"/>
                        <a:ea typeface="+mn-ea"/>
                        <a:cs typeface="+mn-cs"/>
                      </a:defRPr>
                    </a:pPr>
                    <a:r>
                      <a:t>7473.46万元</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[工作簿1.xlsx]Sheet4!$A$1:$A$2</c:f>
              <c:strCache>
                <c:ptCount val="2"/>
                <c:pt idx="0">
                  <c:v>2018年</c:v>
                </c:pt>
                <c:pt idx="1">
                  <c:v>2019年</c:v>
                </c:pt>
              </c:strCache>
            </c:strRef>
          </c:cat>
          <c:val>
            <c:numRef>
              <c:f>[工作簿1.xlsx]Sheet4!$B$1:$B$2</c:f>
              <c:numCache>
                <c:formatCode>General</c:formatCode>
                <c:ptCount val="2"/>
                <c:pt idx="0">
                  <c:v>8010.78</c:v>
                </c:pt>
                <c:pt idx="1">
                  <c:v>7473.46</c:v>
                </c:pt>
              </c:numCache>
            </c:numRef>
          </c:val>
        </c:ser>
        <c:dLbls>
          <c:showLegendKey val="0"/>
          <c:showVal val="1"/>
          <c:showCatName val="0"/>
          <c:showSerName val="0"/>
          <c:showPercent val="0"/>
          <c:showBubbleSize val="0"/>
        </c:dLbls>
        <c:gapWidth val="100"/>
        <c:overlap val="-24"/>
        <c:axId val="481673089"/>
        <c:axId val="822824789"/>
      </c:barChart>
      <c:catAx>
        <c:axId val="4816730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22824789"/>
        <c:crosses val="autoZero"/>
        <c:auto val="1"/>
        <c:lblAlgn val="ctr"/>
        <c:lblOffset val="100"/>
        <c:noMultiLvlLbl val="0"/>
      </c:catAx>
      <c:valAx>
        <c:axId val="8228247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816730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t>一般公共预算财政拨款支出决算变动情况</a:t>
            </a:r>
            <a:endParaRPr sz="1600"/>
          </a:p>
        </c:rich>
      </c:tx>
      <c:layout/>
      <c:overlay val="0"/>
      <c:spPr>
        <a:noFill/>
        <a:ln>
          <a:noFill/>
        </a:ln>
        <a:effectLst/>
      </c:spPr>
    </c:title>
    <c:autoTitleDeleted val="0"/>
    <c:plotArea>
      <c:layout>
        <c:manualLayout>
          <c:layoutTarget val="inner"/>
          <c:xMode val="edge"/>
          <c:yMode val="edge"/>
          <c:x val="0.0660180253994265"/>
          <c:y val="0.122705314009662"/>
          <c:w val="0.91298648095043"/>
          <c:h val="0.799420289855072"/>
        </c:manualLayout>
      </c:layout>
      <c:barChart>
        <c:barDir val="col"/>
        <c:grouping val="clustered"/>
        <c:varyColors val="0"/>
        <c:ser>
          <c:idx val="0"/>
          <c:order val="0"/>
          <c:spPr>
            <a:solidFill>
              <a:schemeClr val="accent1"/>
            </a:solidFill>
            <a:ln>
              <a:noFill/>
            </a:ln>
            <a:effectLst/>
          </c:spPr>
          <c:invertIfNegative val="0"/>
          <c:dLbls>
            <c:delete val="1"/>
          </c:dLbls>
          <c:cat>
            <c:strRef>
              <c:f>[工作簿1.xlsx]Sheet5!$A$1:$A$2</c:f>
              <c:strCache>
                <c:ptCount val="2"/>
                <c:pt idx="0">
                  <c:v>2018年</c:v>
                </c:pt>
                <c:pt idx="1">
                  <c:v>2019年</c:v>
                </c:pt>
              </c:strCache>
            </c:strRef>
          </c:cat>
          <c:val>
            <c:numRef>
              <c:f>[工作簿1.xlsx]Sheet5!$B$1:$B$2</c:f>
              <c:numCache>
                <c:formatCode>General</c:formatCode>
                <c:ptCount val="2"/>
                <c:pt idx="0">
                  <c:v>7236.8</c:v>
                </c:pt>
                <c:pt idx="1">
                  <c:v>5417.14</c:v>
                </c:pt>
              </c:numCache>
            </c:numRef>
          </c:val>
        </c:ser>
        <c:dLbls>
          <c:showLegendKey val="0"/>
          <c:showVal val="0"/>
          <c:showCatName val="0"/>
          <c:showSerName val="0"/>
          <c:showPercent val="0"/>
          <c:showBubbleSize val="0"/>
        </c:dLbls>
        <c:gapWidth val="219"/>
        <c:overlap val="-27"/>
        <c:axId val="246069452"/>
        <c:axId val="879653807"/>
      </c:barChart>
      <c:catAx>
        <c:axId val="2460694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crossAx val="879653807"/>
        <c:crosses val="autoZero"/>
        <c:auto val="1"/>
        <c:lblAlgn val="ctr"/>
        <c:lblOffset val="100"/>
        <c:noMultiLvlLbl val="0"/>
      </c:catAx>
      <c:valAx>
        <c:axId val="879653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0694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0.15527950310559"/>
                  <c:y val="-0.041395297494204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8563638967122"/>
                  <c:y val="-0.037029919488412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12152433592758"/>
                  <c:y val="0.0078061674481259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54037267080745"/>
                      <c:h val="0.0792581962689038"/>
                    </c:manualLayout>
                  </c15:layout>
                </c:ext>
              </c:extLst>
            </c:dLbl>
            <c:dLbl>
              <c:idx val="3"/>
              <c:layout>
                <c:manualLayout>
                  <c:x val="0.161036970082334"/>
                  <c:y val="0.014639001785155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3561076604555"/>
                      <c:h val="0.0705375869301247"/>
                    </c:manualLayout>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[工作簿1.xlsx]Sheet6!$A$1:$A$4</c:f>
              <c:strCache>
                <c:ptCount val="4"/>
                <c:pt idx="0">
                  <c:v>一般公共服务</c:v>
                </c:pt>
                <c:pt idx="1">
                  <c:v>教育支出</c:v>
                </c:pt>
                <c:pt idx="2">
                  <c:v>社会保障和就业</c:v>
                </c:pt>
                <c:pt idx="3">
                  <c:v>卫生健康支出</c:v>
                </c:pt>
              </c:strCache>
            </c:strRef>
          </c:cat>
          <c:val>
            <c:numRef>
              <c:f>[工作簿1.xlsx]Sheet6!$B$1:$B$4</c:f>
              <c:numCache>
                <c:formatCode>General</c:formatCode>
                <c:ptCount val="4"/>
                <c:pt idx="0">
                  <c:v>5417.14</c:v>
                </c:pt>
                <c:pt idx="1">
                  <c:v>1.7</c:v>
                </c:pt>
                <c:pt idx="2">
                  <c:v>376.53</c:v>
                </c:pt>
                <c:pt idx="3">
                  <c:v>197.75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318985001027327"/>
                  <c:y val="-0.21007763738773"/>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sz="1400"/>
                      <a:t>公务用车购置及运行维护费, 96.42万元, 97%</a:t>
                    </a:r>
                    <a:endParaRPr sz="1400"/>
                  </a:p>
                </c:rich>
              </c:tx>
              <c:dLblPos val="bestFit"/>
              <c:showLegendKey val="0"/>
              <c:showVal val="1"/>
              <c:showCatName val="1"/>
              <c:showSerName val="0"/>
              <c:showPercent val="1"/>
              <c:showBubbleSize val="0"/>
              <c:extLst>
                <c:ext xmlns:c15="http://schemas.microsoft.com/office/drawing/2012/chart" uri="{CE6537A1-D6FC-4f65-9D91-7224C49458BB}">
                  <c15:layout>
                    <c:manualLayout>
                      <c:w val="0.254674337374152"/>
                      <c:h val="0.213731161516213"/>
                    </c:manualLayout>
                  </c15:layout>
                </c:ext>
              </c:extLst>
            </c:dLbl>
            <c:dLbl>
              <c:idx val="1"/>
              <c:layout>
                <c:manualLayout>
                  <c:x val="-0.274296281076639"/>
                  <c:y val="0.115927385110349"/>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sz="1400"/>
                      <a:t>公务接待费, 2.84万元, 3%</a:t>
                    </a:r>
                    <a:endParaRPr sz="1400"/>
                  </a:p>
                </c:rich>
              </c:tx>
              <c:dLblPos val="bestFit"/>
              <c:showLegendKey val="0"/>
              <c:showVal val="1"/>
              <c:showCatName val="1"/>
              <c:showSerName val="0"/>
              <c:showPercent val="1"/>
              <c:showBubbleSize val="0"/>
              <c:extLst>
                <c:ext xmlns:c15="http://schemas.microsoft.com/office/drawing/2012/chart" uri="{CE6537A1-D6FC-4f65-9D91-7224C49458BB}">
                  <c15:layout>
                    <c:manualLayout>
                      <c:w val="0.241216355044175"/>
                      <c:h val="0.162581823717461"/>
                    </c:manualLayout>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[工作簿1.xlsx]Sheet1!$A$1:$A$2</c:f>
              <c:strCache>
                <c:ptCount val="2"/>
                <c:pt idx="0">
                  <c:v>公务用车购置及运行维护费</c:v>
                </c:pt>
                <c:pt idx="1">
                  <c:v>公务接待费</c:v>
                </c:pt>
              </c:strCache>
            </c:strRef>
          </c:cat>
          <c:val>
            <c:numRef>
              <c:f>[工作簿1.xlsx]Sheet1!$B$1:$B$2</c:f>
              <c:numCache>
                <c:formatCode>General</c:formatCode>
                <c:ptCount val="2"/>
                <c:pt idx="0">
                  <c:v>96.42</c:v>
                </c:pt>
                <c:pt idx="1">
                  <c:v>2.84</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ScaleCrop>false</ScaleCrop>
  <LinksUpToDate>false</LinksUpToDate>
  <CharactersWithSpaces>8536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2020-09-28T06:22:00Z</cp:lastPrinted>
  <dcterms:modified xsi:type="dcterms:W3CDTF">2020-10-09T08:14:37Z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