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96475"/>
      <w:bookmarkStart w:id="4" w:name="_Toc15378441"/>
      <w:bookmarkStart w:id="5" w:name="_Toc15377193"/>
      <w:r>
        <w:rPr>
          <w:rFonts w:ascii="黑体" w:hAnsi="黑体" w:eastAsia="黑体"/>
          <w:b/>
          <w:bCs/>
          <w:color w:val="000000"/>
          <w:sz w:val="72"/>
          <w:szCs w:val="72"/>
        </w:rPr>
        <w:t>201</w:t>
      </w:r>
      <w:r>
        <w:rPr>
          <w:rFonts w:hint="eastAsia" w:ascii="黑体" w:hAnsi="黑体" w:eastAsia="黑体"/>
          <w:b/>
          <w:bCs/>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96598"/>
      <w:bookmarkStart w:id="8" w:name="_Toc15378442"/>
      <w:bookmarkStart w:id="9" w:name="_Toc15396476"/>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巴中市财政局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第一部分 部门概况</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一、基本职能及主要工作</w:t>
      </w:r>
      <w:r>
        <w:rPr>
          <w:rFonts w:hint="eastAsia" w:asciiTheme="minorEastAsia" w:hAnsiTheme="minorEastAsia" w:eastAsiaTheme="minorEastAsia" w:cstheme="minorEastAsia"/>
          <w:sz w:val="24"/>
          <w:lang w:val="en-US" w:eastAsia="zh-CN"/>
        </w:rPr>
        <w:t>---------------------------------04</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二、机构设置</w:t>
      </w:r>
      <w:r>
        <w:rPr>
          <w:rFonts w:hint="eastAsia" w:asciiTheme="minorEastAsia" w:hAnsiTheme="minorEastAsia" w:eastAsiaTheme="minorEastAsia" w:cstheme="minorEastAsia"/>
          <w:sz w:val="24"/>
          <w:lang w:val="en-US" w:eastAsia="zh-CN"/>
        </w:rPr>
        <w:t>-------------------------------------------07</w:t>
      </w:r>
    </w:p>
    <w:p>
      <w:pPr>
        <w:pStyle w:val="10"/>
        <w:adjustRightInd w:val="0"/>
        <w:snapToGrid w:val="0"/>
        <w:spacing w:before="0" w:line="44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第二部分度部门决算情况说明</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一、收入支出决算总体情况说明</w:t>
      </w:r>
      <w:r>
        <w:rPr>
          <w:rFonts w:hint="eastAsia" w:asciiTheme="minorEastAsia" w:hAnsiTheme="minorEastAsia" w:eastAsiaTheme="minorEastAsia" w:cstheme="minorEastAsia"/>
          <w:sz w:val="24"/>
          <w:lang w:val="en-US" w:eastAsia="zh-CN"/>
        </w:rPr>
        <w:t>---------------------------08</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二、收入决算情况说明</w:t>
      </w:r>
      <w:r>
        <w:rPr>
          <w:rFonts w:hint="eastAsia" w:asciiTheme="minorEastAsia" w:hAnsiTheme="minorEastAsia" w:eastAsiaTheme="minorEastAsia" w:cstheme="minorEastAsia"/>
          <w:sz w:val="24"/>
          <w:lang w:val="en-US" w:eastAsia="zh-CN"/>
        </w:rPr>
        <w:t>-----------------------------------08</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三、支出决算情况说明</w:t>
      </w:r>
      <w:r>
        <w:rPr>
          <w:rFonts w:hint="eastAsia" w:asciiTheme="minorEastAsia" w:hAnsiTheme="minorEastAsia" w:eastAsiaTheme="minorEastAsia" w:cstheme="minorEastAsia"/>
          <w:sz w:val="24"/>
          <w:lang w:val="en-US" w:eastAsia="zh-CN"/>
        </w:rPr>
        <w:t>-----------------------------------09</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四、财政拨款收入支出决算总体情况说明</w:t>
      </w:r>
      <w:r>
        <w:rPr>
          <w:rFonts w:hint="eastAsia" w:asciiTheme="minorEastAsia" w:hAnsiTheme="minorEastAsia" w:eastAsiaTheme="minorEastAsia" w:cstheme="minorEastAsia"/>
          <w:sz w:val="24"/>
          <w:lang w:val="en-US" w:eastAsia="zh-CN"/>
        </w:rPr>
        <w:t>-------------------09</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五、一般公共预算财政拨款支出决算情况说明</w:t>
      </w:r>
      <w:r>
        <w:rPr>
          <w:rFonts w:hint="eastAsia" w:asciiTheme="minorEastAsia" w:hAnsiTheme="minorEastAsia" w:eastAsiaTheme="minorEastAsia" w:cstheme="minorEastAsia"/>
          <w:sz w:val="24"/>
          <w:lang w:val="en-US" w:eastAsia="zh-CN"/>
        </w:rPr>
        <w:t>---------------10</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六、一般公共预算财政拨款基本支出决算情况说明</w:t>
      </w:r>
      <w:r>
        <w:rPr>
          <w:rFonts w:hint="eastAsia" w:asciiTheme="minorEastAsia" w:hAnsiTheme="minorEastAsia" w:eastAsiaTheme="minorEastAsia" w:cstheme="minorEastAsia"/>
          <w:sz w:val="24"/>
          <w:lang w:val="en-US" w:eastAsia="zh-CN"/>
        </w:rPr>
        <w:t>-----------13</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七、“三公”经费财政拨款支出决算情况说明</w:t>
      </w:r>
      <w:r>
        <w:rPr>
          <w:rFonts w:hint="eastAsia" w:asciiTheme="minorEastAsia" w:hAnsiTheme="minorEastAsia" w:eastAsiaTheme="minorEastAsia" w:cstheme="minorEastAsia"/>
          <w:sz w:val="24"/>
          <w:lang w:val="en-US" w:eastAsia="zh-CN"/>
        </w:rPr>
        <w:t>---------------14</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八、政府性基金预算支出决算情况说明</w:t>
      </w:r>
      <w:r>
        <w:rPr>
          <w:rFonts w:hint="eastAsia" w:asciiTheme="minorEastAsia" w:hAnsiTheme="minorEastAsia" w:eastAsiaTheme="minorEastAsia" w:cstheme="minorEastAsia"/>
          <w:sz w:val="24"/>
          <w:lang w:val="en-US" w:eastAsia="zh-CN"/>
        </w:rPr>
        <w:t>---------------------16</w:t>
      </w:r>
    </w:p>
    <w:p>
      <w:pPr>
        <w:pStyle w:val="11"/>
        <w:adjustRightInd w:val="0"/>
        <w:snapToGrid w:val="0"/>
        <w:spacing w:line="440" w:lineRule="exact"/>
        <w:ind w:leftChars="0"/>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九、 国有资本经营预算支出决算情况说明</w:t>
      </w:r>
      <w:r>
        <w:rPr>
          <w:rFonts w:hint="eastAsia" w:asciiTheme="minorEastAsia" w:hAnsiTheme="minorEastAsia" w:eastAsiaTheme="minorEastAsia" w:cstheme="minorEastAsia"/>
          <w:sz w:val="24"/>
          <w:lang w:val="en-US" w:eastAsia="zh-CN"/>
        </w:rPr>
        <w:t>------------------16</w:t>
      </w:r>
    </w:p>
    <w:p>
      <w:pPr>
        <w:adjustRightInd w:val="0"/>
        <w:snapToGrid w:val="0"/>
        <w:spacing w:line="440" w:lineRule="exact"/>
        <w:ind w:firstLine="480" w:firstLineChars="200"/>
        <w:jc w:val="left"/>
        <w:rPr>
          <w:rFonts w:hint="eastAsia" w:asciiTheme="minorEastAsia" w:hAnsiTheme="minorEastAsia" w:eastAsiaTheme="minorEastAsia" w:cstheme="minorEastAsia"/>
          <w:sz w:val="24"/>
        </w:rPr>
      </w:pPr>
      <w:r>
        <w:rPr>
          <w:rStyle w:val="21"/>
          <w:rFonts w:hint="eastAsia" w:asciiTheme="minorEastAsia" w:hAnsiTheme="minorEastAsia" w:eastAsiaTheme="minorEastAsia" w:cstheme="minorEastAsia"/>
          <w:color w:val="000000" w:themeColor="text1"/>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lang w:val="en-US" w:eastAsia="zh-CN"/>
        </w:rPr>
        <w:t>----------------------------16</w:t>
      </w:r>
      <w:r>
        <w:rPr>
          <w:rFonts w:hint="eastAsia" w:asciiTheme="minorEastAsia" w:hAnsiTheme="minorEastAsia" w:eastAsiaTheme="minorEastAsia" w:cstheme="minorEastAsia"/>
          <w:sz w:val="24"/>
        </w:rPr>
        <w:tab/>
      </w:r>
    </w:p>
    <w:p>
      <w:pPr>
        <w:pStyle w:val="10"/>
        <w:adjustRightInd w:val="0"/>
        <w:snapToGrid w:val="0"/>
        <w:spacing w:before="0" w:line="440" w:lineRule="exact"/>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rPr>
        <w:t>第三部分 名词解释</w:t>
      </w:r>
      <w:r>
        <w:rPr>
          <w:rFonts w:hint="eastAsia" w:asciiTheme="minorEastAsia" w:hAnsiTheme="minorEastAsia" w:eastAsiaTheme="minorEastAsia" w:cstheme="minorEastAsia"/>
          <w:b w:val="0"/>
          <w:bCs w:val="0"/>
          <w:sz w:val="24"/>
          <w:lang w:val="en-US" w:eastAsia="zh-CN"/>
        </w:rPr>
        <w:t>-----------------------------------------24</w:t>
      </w:r>
    </w:p>
    <w:p>
      <w:pPr>
        <w:pStyle w:val="10"/>
        <w:adjustRightInd w:val="0"/>
        <w:snapToGrid w:val="0"/>
        <w:spacing w:before="0" w:line="44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第四部分 附件</w:t>
      </w:r>
    </w:p>
    <w:p>
      <w:pPr>
        <w:pStyle w:val="11"/>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附件1</w:t>
      </w:r>
      <w:r>
        <w:rPr>
          <w:rFonts w:hint="eastAsia" w:asciiTheme="minorEastAsia" w:hAnsiTheme="minorEastAsia" w:eastAsiaTheme="minorEastAsia" w:cstheme="minorEastAsia"/>
          <w:sz w:val="24"/>
          <w:lang w:val="en-US" w:eastAsia="zh-CN"/>
        </w:rPr>
        <w:t>-------------------------------------------------28</w:t>
      </w:r>
    </w:p>
    <w:p>
      <w:pPr>
        <w:pStyle w:val="10"/>
        <w:adjustRightInd w:val="0"/>
        <w:snapToGrid w:val="0"/>
        <w:spacing w:before="0" w:line="44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第五部分 附表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一、收入支出决算总表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十三、国有资本经营预算支出决算表</w:t>
      </w:r>
    </w:p>
    <w:p>
      <w:pPr>
        <w:widowControl/>
        <w:spacing w:line="440" w:lineRule="exact"/>
        <w:jc w:val="left"/>
        <w:rPr>
          <w:rFonts w:hint="eastAsia" w:asciiTheme="minorEastAsia" w:hAnsiTheme="minorEastAsia" w:eastAsiaTheme="minorEastAsia" w:cstheme="minorEastAsia"/>
          <w:bCs/>
          <w:kern w:val="44"/>
          <w:sz w:val="24"/>
        </w:rPr>
      </w:pPr>
      <w:bookmarkStart w:id="12" w:name="_Toc15377196"/>
      <w:bookmarkStart w:id="13" w:name="_Toc15396599"/>
      <w:r>
        <w:rPr>
          <w:rFonts w:hint="eastAsia" w:asciiTheme="minorEastAsia" w:hAnsiTheme="minorEastAsia" w:eastAsiaTheme="minorEastAsia" w:cstheme="minorEastAsia"/>
          <w:b/>
          <w:sz w:val="24"/>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32"/>
          <w:rFonts w:hint="eastAsia" w:ascii="黑体" w:hAnsi="黑体" w:eastAsia="黑体"/>
          <w:b w:val="0"/>
          <w:bCs w:val="0"/>
        </w:rPr>
        <w:t>部门概况</w:t>
      </w:r>
      <w:bookmarkEnd w:id="12"/>
      <w:bookmarkEnd w:id="13"/>
    </w:p>
    <w:p>
      <w:pPr>
        <w:pStyle w:val="5"/>
        <w:adjustRightInd w:val="0"/>
        <w:snapToGrid w:val="0"/>
        <w:spacing w:before="93" w:line="600" w:lineRule="exact"/>
        <w:ind w:firstLine="672" w:firstLineChars="210"/>
        <w:outlineLvl w:val="2"/>
        <w:rPr>
          <w:rFonts w:hint="eastAsia" w:ascii="黑体" w:hAnsi="黑体" w:eastAsia="黑体" w:cs="黑体"/>
          <w:bCs/>
          <w:color w:val="000000"/>
          <w:sz w:val="32"/>
          <w:szCs w:val="32"/>
        </w:rPr>
      </w:pPr>
      <w:bookmarkStart w:id="14" w:name="_Toc15377197"/>
      <w:bookmarkStart w:id="15" w:name="_Toc15396600"/>
      <w:r>
        <w:rPr>
          <w:rFonts w:hint="eastAsia" w:ascii="黑体" w:hAnsi="黑体" w:eastAsia="黑体" w:cs="黑体"/>
          <w:bCs/>
          <w:color w:val="000000"/>
          <w:sz w:val="32"/>
          <w:szCs w:val="32"/>
        </w:rPr>
        <w:t>一、基本职能及主要工作</w:t>
      </w:r>
      <w:bookmarkEnd w:id="14"/>
      <w:bookmarkEnd w:id="15"/>
    </w:p>
    <w:p>
      <w:pPr>
        <w:pStyle w:val="5"/>
        <w:adjustRightInd w:val="0"/>
        <w:snapToGrid w:val="0"/>
        <w:spacing w:before="93" w:line="600" w:lineRule="exact"/>
        <w:ind w:firstLine="672" w:firstLineChars="210"/>
        <w:outlineLvl w:val="2"/>
        <w:rPr>
          <w:rFonts w:hint="eastAsia" w:ascii="黑体" w:hAnsi="黑体" w:eastAsia="黑体" w:cs="黑体"/>
          <w:bCs/>
          <w:color w:val="000000"/>
          <w:sz w:val="32"/>
          <w:szCs w:val="32"/>
        </w:rPr>
      </w:pPr>
      <w:bookmarkStart w:id="16" w:name="_Toc15378445"/>
      <w:bookmarkStart w:id="17" w:name="_Toc15377198"/>
      <w:r>
        <w:rPr>
          <w:rFonts w:hint="eastAsia" w:ascii="黑体" w:hAnsi="黑体" w:eastAsia="黑体" w:cs="黑体"/>
          <w:bCs/>
          <w:color w:val="000000"/>
          <w:sz w:val="32"/>
          <w:szCs w:val="32"/>
        </w:rPr>
        <w:t>（一）主要职能。</w:t>
      </w:r>
    </w:p>
    <w:bookmarkEnd w:id="16"/>
    <w:bookmarkEnd w:id="17"/>
    <w:p>
      <w:pPr>
        <w:pStyle w:val="5"/>
        <w:adjustRightInd w:val="0"/>
        <w:snapToGrid w:val="0"/>
        <w:spacing w:before="93" w:line="600" w:lineRule="exact"/>
        <w:ind w:firstLine="672" w:firstLineChars="210"/>
        <w:outlineLvl w:val="2"/>
        <w:rPr>
          <w:rFonts w:hint="eastAsia" w:ascii="方正仿宋_GBK" w:hAnsi="方正仿宋_GBK" w:eastAsia="方正仿宋_GBK" w:cs="方正仿宋_GBK"/>
          <w:bCs/>
          <w:color w:val="000000"/>
          <w:sz w:val="32"/>
          <w:szCs w:val="32"/>
        </w:rPr>
      </w:pPr>
      <w:bookmarkStart w:id="18" w:name="_Toc15378446"/>
      <w:bookmarkStart w:id="19" w:name="_Toc15377199"/>
      <w:r>
        <w:rPr>
          <w:rFonts w:hint="eastAsia" w:ascii="方正仿宋_GBK" w:hAnsi="方正仿宋_GBK" w:eastAsia="方正仿宋_GBK" w:cs="方正仿宋_GBK"/>
          <w:color w:val="000000"/>
          <w:sz w:val="32"/>
          <w:szCs w:val="32"/>
          <w:shd w:val="clear" w:fill="FFFFFF"/>
        </w:rPr>
        <w:t>市财政局主要承担拟定全市财税发展战略、规划、政策和改革方案并组织实施，贯彻执行国家财税方面法律、法规和方针、政策，负责财政收支管理，组织执行政府债务管理制度和政策，管理全市会计工作，指导和推动全市农村综合改革，开展财政资金绩效评价，管理国有资产等职能。</w:t>
      </w:r>
    </w:p>
    <w:p>
      <w:pPr>
        <w:pStyle w:val="5"/>
        <w:adjustRightInd w:val="0"/>
        <w:snapToGrid w:val="0"/>
        <w:spacing w:before="93" w:line="600" w:lineRule="exact"/>
        <w:ind w:firstLine="672" w:firstLineChars="210"/>
        <w:outlineLvl w:val="2"/>
        <w:rPr>
          <w:rFonts w:hint="eastAsia" w:ascii="黑体" w:hAnsi="黑体" w:eastAsia="黑体" w:cs="黑体"/>
          <w:bCs/>
          <w:color w:val="000000"/>
          <w:sz w:val="32"/>
          <w:szCs w:val="32"/>
        </w:rPr>
      </w:pPr>
      <w:r>
        <w:rPr>
          <w:rFonts w:hint="eastAsia" w:ascii="黑体" w:hAnsi="黑体" w:eastAsia="黑体" w:cs="黑体"/>
          <w:bCs/>
          <w:color w:val="000000"/>
          <w:sz w:val="32"/>
          <w:szCs w:val="32"/>
        </w:rPr>
        <w:t>（二）2019年重点工作完成情况。</w:t>
      </w:r>
      <w:bookmarkEnd w:id="18"/>
      <w:bookmarkEnd w:id="19"/>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2019年，全市财政部门坚持以习近平新时代中国特色社会主义思想为指导，</w:t>
      </w:r>
      <w:r>
        <w:rPr>
          <w:rFonts w:hint="eastAsia" w:ascii="Times New Roman" w:hAnsi="Times New Roman" w:eastAsia="方正仿宋_GBK" w:cs="Times New Roman"/>
          <w:sz w:val="32"/>
          <w:szCs w:val="32"/>
        </w:rPr>
        <w:t>在市委、市政府的坚强领导下，</w:t>
      </w:r>
      <w:r>
        <w:rPr>
          <w:rFonts w:ascii="Times New Roman" w:eastAsia="方正仿宋_GBK" w:cs="Times New Roman"/>
          <w:color w:val="000000"/>
          <w:sz w:val="32"/>
          <w:szCs w:val="32"/>
        </w:rPr>
        <w:t>积极应对各种困难和挑战，综合运用行政和市场手段，激活引导国有和非国有资本，</w:t>
      </w:r>
      <w:r>
        <w:rPr>
          <w:rFonts w:hint="eastAsia" w:ascii="Times New Roman" w:eastAsia="方正仿宋_GBK" w:cs="Times New Roman"/>
          <w:color w:val="000000"/>
          <w:sz w:val="32"/>
          <w:szCs w:val="32"/>
        </w:rPr>
        <w:t>充分</w:t>
      </w:r>
      <w:r>
        <w:rPr>
          <w:rFonts w:ascii="Times New Roman" w:eastAsia="方正仿宋_GBK" w:cs="Times New Roman"/>
          <w:color w:val="000000"/>
          <w:sz w:val="32"/>
          <w:szCs w:val="32"/>
        </w:rPr>
        <w:t>发挥财政资金撬动和放大功能，</w:t>
      </w:r>
      <w:r>
        <w:rPr>
          <w:rFonts w:ascii="Times New Roman" w:hAnsi="方正仿宋_GBK" w:eastAsia="方正仿宋_GBK" w:cs="Times New Roman"/>
          <w:sz w:val="32"/>
          <w:szCs w:val="32"/>
        </w:rPr>
        <w:t>为建设川陕革命老区振兴发展示范区、走出秦巴山区脱贫攻坚绿色发展新路子提供了有力保障。</w:t>
      </w:r>
      <w:r>
        <w:rPr>
          <w:rFonts w:ascii="Times New Roman" w:hAnsi="Times New Roman" w:eastAsia="方正仿宋_GBK" w:cs="Times New Roman"/>
          <w:sz w:val="32"/>
          <w:szCs w:val="32"/>
        </w:rPr>
        <w:t>全市地方一般公共预算收入</w:t>
      </w:r>
      <w:r>
        <w:rPr>
          <w:rFonts w:hint="eastAsia" w:ascii="Times New Roman" w:hAnsi="Times New Roman" w:eastAsia="方正仿宋_GBK" w:cs="Times New Roman"/>
          <w:sz w:val="32"/>
          <w:szCs w:val="32"/>
        </w:rPr>
        <w:t>47.67</w:t>
      </w:r>
      <w:r>
        <w:rPr>
          <w:rFonts w:ascii="Times New Roman" w:hAnsi="Times New Roman" w:eastAsia="方正仿宋_GBK" w:cs="Times New Roman"/>
          <w:sz w:val="32"/>
          <w:szCs w:val="32"/>
        </w:rPr>
        <w:t>亿元，同比增长</w:t>
      </w:r>
      <w:r>
        <w:rPr>
          <w:rFonts w:hint="eastAsia" w:ascii="Times New Roman" w:hAnsi="Times New Roman" w:eastAsia="方正仿宋_GBK" w:cs="Times New Roman"/>
          <w:sz w:val="32"/>
          <w:szCs w:val="32"/>
        </w:rPr>
        <w:t>4.86</w:t>
      </w:r>
      <w:r>
        <w:rPr>
          <w:rFonts w:ascii="Times New Roman" w:hAnsi="Times New Roman" w:eastAsia="方正仿宋_GBK" w:cs="Times New Roman"/>
          <w:sz w:val="32"/>
          <w:szCs w:val="32"/>
        </w:rPr>
        <w:t>%；地方一般公共预算支出完成</w:t>
      </w:r>
      <w:r>
        <w:rPr>
          <w:rFonts w:hint="eastAsia" w:ascii="Times New Roman" w:hAnsi="Times New Roman" w:eastAsia="方正仿宋_GBK" w:cs="Times New Roman"/>
          <w:sz w:val="32"/>
          <w:szCs w:val="32"/>
        </w:rPr>
        <w:t>311.75</w:t>
      </w:r>
      <w:r>
        <w:rPr>
          <w:rFonts w:ascii="Times New Roman" w:hAnsi="Times New Roman" w:eastAsia="方正仿宋_GBK" w:cs="Times New Roman"/>
          <w:sz w:val="32"/>
          <w:szCs w:val="32"/>
        </w:rPr>
        <w:t>亿元，</w:t>
      </w:r>
      <w:r>
        <w:rPr>
          <w:rFonts w:hint="eastAsia" w:ascii="Times New Roman" w:hAnsi="Times New Roman" w:eastAsia="方正仿宋_GBK" w:cs="Times New Roman"/>
          <w:sz w:val="32"/>
          <w:szCs w:val="32"/>
        </w:rPr>
        <w:t>剔除易地扶贫搬迁债券因素</w:t>
      </w:r>
      <w:r>
        <w:rPr>
          <w:rFonts w:ascii="Times New Roman" w:hAnsi="Times New Roman" w:eastAsia="方正仿宋_GBK" w:cs="Times New Roman"/>
          <w:sz w:val="32"/>
          <w:szCs w:val="32"/>
        </w:rPr>
        <w:t>同比增长</w:t>
      </w:r>
      <w:r>
        <w:rPr>
          <w:rFonts w:hint="eastAsia" w:ascii="Times New Roman" w:hAnsi="Times New Roman" w:eastAsia="方正仿宋_GBK" w:cs="Times New Roman"/>
          <w:sz w:val="32"/>
          <w:szCs w:val="32"/>
        </w:rPr>
        <w:t>6.9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一卡通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专项治理工作受到省、市纪委监委充分肯定，国有</w:t>
      </w:r>
      <w:r>
        <w:rPr>
          <w:rFonts w:ascii="Times New Roman" w:hAnsi="Times New Roman" w:eastAsia="方正仿宋_GBK" w:cs="Times New Roman"/>
          <w:color w:val="000000" w:themeColor="text1"/>
          <w:sz w:val="32"/>
          <w:szCs w:val="32"/>
        </w:rPr>
        <w:t>资产报告编制工作</w:t>
      </w:r>
      <w:r>
        <w:rPr>
          <w:rFonts w:hint="eastAsia" w:ascii="Times New Roman" w:hAnsi="Times New Roman" w:eastAsia="方正仿宋_GBK" w:cs="Times New Roman"/>
          <w:color w:val="000000" w:themeColor="text1"/>
          <w:sz w:val="32"/>
          <w:szCs w:val="32"/>
        </w:rPr>
        <w:t>得到</w:t>
      </w:r>
      <w:r>
        <w:rPr>
          <w:rFonts w:ascii="Times New Roman" w:hAnsi="Times New Roman" w:eastAsia="方正仿宋_GBK" w:cs="Times New Roman"/>
          <w:color w:val="000000" w:themeColor="text1"/>
          <w:sz w:val="32"/>
          <w:szCs w:val="32"/>
        </w:rPr>
        <w:t>省财政厅通报表扬，</w:t>
      </w:r>
      <w:r>
        <w:rPr>
          <w:rFonts w:ascii="Times New Roman" w:hAnsi="Times New Roman" w:eastAsia="方正仿宋_GBK" w:cs="Times New Roman"/>
          <w:sz w:val="32"/>
          <w:szCs w:val="32"/>
        </w:rPr>
        <w:t>预算绩效管理工作考核居全省市（州）前列</w:t>
      </w:r>
      <w:r>
        <w:rPr>
          <w:rFonts w:ascii="Times New Roman" w:hAnsi="Times New Roman" w:eastAsia="方正仿宋_GBK" w:cs="Times New Roman"/>
          <w:spacing w:val="-4"/>
          <w:sz w:val="32"/>
          <w:szCs w:val="32"/>
        </w:rPr>
        <w:t>。</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color w:val="000000"/>
          <w:sz w:val="32"/>
          <w:szCs w:val="32"/>
        </w:rPr>
        <w:t>一</w:t>
      </w:r>
      <w:r>
        <w:rPr>
          <w:rFonts w:hint="eastAsia" w:eastAsia="方正黑体_GBK" w:cs="Times New Roman"/>
          <w:color w:val="000000"/>
          <w:sz w:val="32"/>
          <w:szCs w:val="32"/>
          <w:lang w:eastAsia="zh-CN"/>
        </w:rPr>
        <w:t>是</w:t>
      </w:r>
      <w:r>
        <w:rPr>
          <w:rFonts w:ascii="Times New Roman" w:hAnsi="Times New Roman" w:eastAsia="方正黑体_GBK" w:cs="Times New Roman"/>
          <w:color w:val="000000"/>
          <w:sz w:val="32"/>
          <w:szCs w:val="32"/>
        </w:rPr>
        <w:t>抢抓政策机遇，争取差异化财政政策</w:t>
      </w:r>
      <w:r>
        <w:rPr>
          <w:rFonts w:hint="eastAsia" w:ascii="Times New Roman" w:hAnsi="Times New Roman" w:eastAsia="方正黑体_GBK" w:cs="Times New Roman"/>
          <w:color w:val="000000"/>
          <w:sz w:val="32"/>
          <w:szCs w:val="32"/>
        </w:rPr>
        <w:t>和政府性债务管理政策取得明显成效</w:t>
      </w:r>
      <w:r>
        <w:rPr>
          <w:rFonts w:ascii="Times New Roman" w:hAnsi="Times New Roman" w:eastAsia="方正黑体_GBK" w:cs="Times New Roman"/>
          <w:color w:val="000000"/>
          <w:sz w:val="32"/>
          <w:szCs w:val="32"/>
        </w:rPr>
        <w:t>。</w:t>
      </w:r>
      <w:r>
        <w:rPr>
          <w:rFonts w:hint="eastAsia" w:ascii="Times New Roman" w:hAnsi="Times New Roman" w:eastAsia="方正仿宋_GBK" w:cs="Times New Roman"/>
          <w:sz w:val="32"/>
          <w:szCs w:val="32"/>
        </w:rPr>
        <w:t>全年全市到位上级转移支付239.63亿元，同比增长5.56%，其中，市级到位44亿元，增长8.23%；到位均衡性转移支付增量 46.66亿元，增长6.58%，其中，革命老区转移支付1.26亿元，比上年增长22.04%。</w:t>
      </w:r>
      <w:r>
        <w:rPr>
          <w:rFonts w:ascii="Times New Roman" w:hAnsi="Times New Roman" w:eastAsia="方正仿宋_GBK" w:cs="Times New Roman"/>
          <w:color w:val="000000"/>
          <w:sz w:val="32"/>
          <w:szCs w:val="32"/>
        </w:rPr>
        <w:t>全市73个政府债券资金项目进入备选库，其中38个项目进入发行库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sz w:val="32"/>
          <w:szCs w:val="32"/>
        </w:rPr>
        <w:t>全市到位政府债券转贷资金92.26亿元，其中：</w:t>
      </w:r>
      <w:r>
        <w:rPr>
          <w:rFonts w:ascii="Times New Roman" w:hAnsi="Times New Roman" w:eastAsia="方正仿宋_GBK" w:cs="Times New Roman"/>
          <w:color w:val="000000"/>
          <w:sz w:val="32"/>
          <w:szCs w:val="32"/>
        </w:rPr>
        <w:t>新增</w:t>
      </w:r>
      <w:r>
        <w:rPr>
          <w:rFonts w:hint="eastAsia" w:ascii="Times New Roman" w:hAnsi="Times New Roman" w:eastAsia="方正仿宋_GBK" w:cs="Times New Roman"/>
          <w:color w:val="000000"/>
          <w:sz w:val="32"/>
          <w:szCs w:val="32"/>
        </w:rPr>
        <w:t>专项</w:t>
      </w:r>
      <w:r>
        <w:rPr>
          <w:rFonts w:ascii="Times New Roman" w:hAnsi="Times New Roman" w:eastAsia="方正仿宋_GBK" w:cs="Times New Roman"/>
          <w:color w:val="000000"/>
          <w:sz w:val="32"/>
          <w:szCs w:val="32"/>
        </w:rPr>
        <w:t>债券</w:t>
      </w:r>
      <w:r>
        <w:rPr>
          <w:rFonts w:hint="eastAsia" w:ascii="Times New Roman" w:hAnsi="Times New Roman" w:eastAsia="方正仿宋_GBK" w:cs="Times New Roman"/>
          <w:color w:val="000000"/>
          <w:sz w:val="32"/>
          <w:szCs w:val="32"/>
        </w:rPr>
        <w:t>24</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16</w:t>
      </w:r>
      <w:r>
        <w:rPr>
          <w:rFonts w:ascii="Times New Roman" w:hAnsi="Times New Roman" w:eastAsia="方正仿宋_GBK" w:cs="Times New Roman"/>
          <w:color w:val="000000"/>
          <w:sz w:val="32"/>
          <w:szCs w:val="32"/>
        </w:rPr>
        <w:t>亿元，</w:t>
      </w:r>
      <w:r>
        <w:rPr>
          <w:rFonts w:ascii="Times New Roman" w:hAnsi="Times New Roman" w:eastAsia="方正仿宋_GBK" w:cs="Times New Roman"/>
          <w:sz w:val="32"/>
          <w:szCs w:val="32"/>
        </w:rPr>
        <w:t>比去年增长</w:t>
      </w:r>
      <w:r>
        <w:rPr>
          <w:rFonts w:hint="eastAsia" w:ascii="Times New Roman" w:hAnsi="Times New Roman" w:eastAsia="方正仿宋_GBK" w:cs="Times New Roman"/>
          <w:sz w:val="32"/>
          <w:szCs w:val="32"/>
        </w:rPr>
        <w:t>45.89</w:t>
      </w:r>
      <w:r>
        <w:rPr>
          <w:rFonts w:ascii="Times New Roman" w:hAnsi="Times New Roman" w:eastAsia="方正仿宋_GBK" w:cs="Times New Roman"/>
          <w:sz w:val="32"/>
          <w:szCs w:val="32"/>
        </w:rPr>
        <w:t>%</w:t>
      </w:r>
      <w:r>
        <w:rPr>
          <w:rFonts w:ascii="Times New Roman" w:hAnsi="Times New Roman" w:eastAsia="方正仿宋_GBK" w:cs="Times New Roman"/>
          <w:color w:val="000000" w:themeColor="text1"/>
          <w:sz w:val="32"/>
          <w:szCs w:val="32"/>
        </w:rPr>
        <w:t>。</w:t>
      </w:r>
    </w:p>
    <w:p>
      <w:pPr>
        <w:pStyle w:val="12"/>
        <w:spacing w:before="0" w:beforeAutospacing="0" w:after="0" w:afterAutospacing="0" w:line="580" w:lineRule="exact"/>
        <w:ind w:firstLine="640" w:firstLineChars="200"/>
        <w:jc w:val="both"/>
        <w:rPr>
          <w:rFonts w:ascii="Times New Roman" w:hAnsi="Times New Roman" w:eastAsia="方正仿宋_GBK" w:cs="Times New Roman"/>
          <w:color w:val="000000" w:themeColor="text1"/>
          <w:kern w:val="32"/>
          <w:sz w:val="32"/>
          <w:szCs w:val="32"/>
        </w:rPr>
      </w:pPr>
      <w:r>
        <w:rPr>
          <w:rFonts w:ascii="Times New Roman" w:hAnsi="Times New Roman" w:eastAsia="方正黑体_GBK" w:cs="Times New Roman"/>
          <w:color w:val="000000"/>
          <w:kern w:val="2"/>
          <w:sz w:val="32"/>
          <w:szCs w:val="32"/>
        </w:rPr>
        <w:t>二</w:t>
      </w:r>
      <w:r>
        <w:rPr>
          <w:rFonts w:hint="eastAsia" w:eastAsia="方正黑体_GBK" w:cs="Times New Roman"/>
          <w:color w:val="000000"/>
          <w:kern w:val="2"/>
          <w:sz w:val="32"/>
          <w:szCs w:val="32"/>
          <w:lang w:eastAsia="zh-CN"/>
        </w:rPr>
        <w:t>是</w:t>
      </w:r>
      <w:r>
        <w:rPr>
          <w:rFonts w:ascii="Times New Roman" w:hAnsi="Times New Roman" w:eastAsia="方正黑体_GBK" w:cs="Times New Roman"/>
          <w:color w:val="000000"/>
          <w:kern w:val="2"/>
          <w:sz w:val="32"/>
          <w:szCs w:val="32"/>
        </w:rPr>
        <w:t>打好三大攻坚战，</w:t>
      </w:r>
      <w:r>
        <w:rPr>
          <w:rFonts w:hint="eastAsia" w:ascii="Times New Roman" w:hAnsi="Times New Roman" w:eastAsia="方正黑体_GBK" w:cs="Times New Roman"/>
          <w:color w:val="000000"/>
          <w:kern w:val="2"/>
          <w:sz w:val="32"/>
          <w:szCs w:val="32"/>
        </w:rPr>
        <w:t>守牢不发生区域性系统性风险底线</w:t>
      </w:r>
      <w:r>
        <w:rPr>
          <w:rFonts w:ascii="Times New Roman" w:hAnsi="Times New Roman" w:eastAsia="方正黑体_GBK" w:cs="Times New Roman"/>
          <w:color w:val="000000"/>
          <w:kern w:val="2"/>
          <w:sz w:val="32"/>
          <w:szCs w:val="32"/>
        </w:rPr>
        <w:t>。</w:t>
      </w:r>
      <w:r>
        <w:rPr>
          <w:rFonts w:hint="eastAsia" w:ascii="Times New Roman" w:hAnsi="Times New Roman" w:eastAsia="方正仿宋_GBK" w:cs="Times New Roman"/>
          <w:color w:val="000000"/>
          <w:sz w:val="32"/>
          <w:szCs w:val="32"/>
        </w:rPr>
        <w:t>多渠道筹资偿还政府隐性债务</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科学务实</w:t>
      </w:r>
      <w:r>
        <w:rPr>
          <w:rFonts w:ascii="Times New Roman" w:hAnsi="Times New Roman" w:eastAsia="方正仿宋_GBK" w:cs="Times New Roman"/>
          <w:color w:val="000000"/>
          <w:sz w:val="32"/>
          <w:szCs w:val="32"/>
        </w:rPr>
        <w:t>编制三年滚动偿债工作方案</w:t>
      </w:r>
      <w:r>
        <w:rPr>
          <w:rFonts w:hint="eastAsia" w:ascii="Times New Roman" w:hAnsi="Times New Roman" w:eastAsia="方正仿宋_GBK" w:cs="Times New Roman"/>
          <w:color w:val="000000"/>
          <w:sz w:val="32"/>
          <w:szCs w:val="32"/>
        </w:rPr>
        <w:t>和半年即期</w:t>
      </w:r>
      <w:r>
        <w:rPr>
          <w:rFonts w:ascii="Times New Roman" w:hAnsi="Times New Roman" w:eastAsia="方正仿宋_GBK" w:cs="Times New Roman"/>
          <w:color w:val="000000"/>
          <w:sz w:val="32"/>
          <w:szCs w:val="32"/>
        </w:rPr>
        <w:t>偿债计划，建立债务临期预警督导机制，</w:t>
      </w:r>
      <w:r>
        <w:rPr>
          <w:rFonts w:hint="eastAsia" w:ascii="Times New Roman" w:hAnsi="Times New Roman" w:eastAsia="方正仿宋_GBK" w:cs="Times New Roman"/>
          <w:color w:val="000000"/>
          <w:sz w:val="32"/>
          <w:szCs w:val="32"/>
        </w:rPr>
        <w:t>全年通过统筹财政资金偿还、银行贷款延期、借新还旧等多种方式</w:t>
      </w:r>
      <w:r>
        <w:rPr>
          <w:rFonts w:ascii="Times New Roman" w:hAnsi="Times New Roman" w:eastAsia="方正仿宋_GBK" w:cs="Times New Roman"/>
          <w:color w:val="000000"/>
          <w:sz w:val="32"/>
          <w:szCs w:val="32"/>
        </w:rPr>
        <w:t>累计偿还各类债务259.79亿元</w:t>
      </w:r>
      <w:r>
        <w:rPr>
          <w:rFonts w:hint="eastAsia"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全市</w:t>
      </w:r>
      <w:r>
        <w:rPr>
          <w:rFonts w:ascii="Times New Roman" w:hAnsi="Times New Roman" w:eastAsia="方正仿宋_GBK" w:cs="Times New Roman"/>
          <w:color w:val="000000"/>
          <w:sz w:val="32"/>
          <w:szCs w:val="32"/>
        </w:rPr>
        <w:t>未发生一例实质性到期债务违约事件。</w:t>
      </w:r>
      <w:r>
        <w:rPr>
          <w:rFonts w:ascii="Times New Roman" w:hAnsi="Times New Roman" w:eastAsia="方正仿宋_GBK" w:cs="Times New Roman"/>
          <w:color w:val="000000" w:themeColor="text1"/>
          <w:sz w:val="32"/>
          <w:szCs w:val="32"/>
        </w:rPr>
        <w:t>全力推动脱贫攻坚</w:t>
      </w:r>
      <w:r>
        <w:rPr>
          <w:rFonts w:hint="eastAsia" w:eastAsia="方正仿宋_GBK" w:cs="Times New Roman"/>
          <w:color w:val="000000" w:themeColor="text1"/>
          <w:sz w:val="32"/>
          <w:szCs w:val="32"/>
          <w:lang w:eastAsia="zh-CN"/>
        </w:rPr>
        <w:t>，</w:t>
      </w:r>
      <w:r>
        <w:rPr>
          <w:rFonts w:ascii="Times New Roman" w:hAnsi="Times New Roman" w:eastAsia="方正仿宋_GBK" w:cs="Times New Roman"/>
          <w:color w:val="000000" w:themeColor="text1"/>
          <w:sz w:val="32"/>
          <w:szCs w:val="32"/>
        </w:rPr>
        <w:t>围绕21个扶贫专项方案，加大资金统筹平衡力度，全市整合到位中央、省、市38个涉农项目资金21</w:t>
      </w:r>
      <w:r>
        <w:rPr>
          <w:rFonts w:hint="eastAsia" w:ascii="Times New Roman" w:hAnsi="Times New Roman" w:eastAsia="方正仿宋_GBK" w:cs="Times New Roman"/>
          <w:color w:val="000000" w:themeColor="text1"/>
          <w:sz w:val="32"/>
          <w:szCs w:val="32"/>
        </w:rPr>
        <w:t>.04</w:t>
      </w:r>
      <w:r>
        <w:rPr>
          <w:rFonts w:ascii="Times New Roman" w:hAnsi="Times New Roman" w:eastAsia="方正仿宋_GBK" w:cs="Times New Roman"/>
          <w:color w:val="000000" w:themeColor="text1"/>
          <w:sz w:val="32"/>
          <w:szCs w:val="32"/>
        </w:rPr>
        <w:t>亿元</w:t>
      </w:r>
      <w:r>
        <w:rPr>
          <w:rFonts w:hint="eastAsia" w:eastAsia="方正仿宋_GBK" w:cs="Times New Roman"/>
          <w:color w:val="000000" w:themeColor="text1"/>
          <w:sz w:val="32"/>
          <w:szCs w:val="32"/>
          <w:lang w:eastAsia="zh-CN"/>
        </w:rPr>
        <w:t>。</w:t>
      </w:r>
      <w:r>
        <w:rPr>
          <w:rFonts w:ascii="Times New Roman" w:hAnsi="Times New Roman" w:eastAsia="方正仿宋_GBK" w:cs="Times New Roman"/>
          <w:color w:val="000000" w:themeColor="text1"/>
          <w:kern w:val="32"/>
          <w:sz w:val="32"/>
          <w:szCs w:val="32"/>
        </w:rPr>
        <w:t>认真落实生态优先政策</w:t>
      </w:r>
      <w:r>
        <w:rPr>
          <w:rFonts w:hint="eastAsia" w:eastAsia="方正仿宋_GBK" w:cs="Times New Roman"/>
          <w:color w:val="000000" w:themeColor="text1"/>
          <w:kern w:val="32"/>
          <w:sz w:val="32"/>
          <w:szCs w:val="32"/>
          <w:lang w:eastAsia="zh-CN"/>
        </w:rPr>
        <w:t>，</w:t>
      </w:r>
      <w:r>
        <w:rPr>
          <w:rFonts w:ascii="Times New Roman" w:hAnsi="Times New Roman" w:eastAsia="方正仿宋_GBK" w:cs="Times New Roman"/>
          <w:color w:val="000000" w:themeColor="text1"/>
          <w:kern w:val="32"/>
          <w:sz w:val="32"/>
          <w:szCs w:val="32"/>
        </w:rPr>
        <w:t>全市投入</w:t>
      </w:r>
      <w:r>
        <w:rPr>
          <w:rFonts w:hint="eastAsia" w:ascii="Times New Roman" w:hAnsi="Times New Roman" w:eastAsia="方正仿宋_GBK" w:cs="Times New Roman"/>
          <w:color w:val="000000" w:themeColor="text1"/>
          <w:kern w:val="32"/>
          <w:sz w:val="32"/>
          <w:szCs w:val="32"/>
        </w:rPr>
        <w:t>5</w:t>
      </w:r>
      <w:r>
        <w:rPr>
          <w:rFonts w:ascii="Times New Roman" w:hAnsi="Times New Roman" w:eastAsia="方正仿宋_GBK" w:cs="Times New Roman"/>
          <w:color w:val="000000" w:themeColor="text1"/>
          <w:kern w:val="32"/>
          <w:sz w:val="32"/>
          <w:szCs w:val="32"/>
        </w:rPr>
        <w:t>.</w:t>
      </w:r>
      <w:r>
        <w:rPr>
          <w:rFonts w:hint="eastAsia" w:ascii="Times New Roman" w:hAnsi="Times New Roman" w:eastAsia="方正仿宋_GBK" w:cs="Times New Roman"/>
          <w:color w:val="000000" w:themeColor="text1"/>
          <w:kern w:val="32"/>
          <w:sz w:val="32"/>
          <w:szCs w:val="32"/>
        </w:rPr>
        <w:t>64</w:t>
      </w:r>
      <w:r>
        <w:rPr>
          <w:rFonts w:ascii="Times New Roman" w:hAnsi="Times New Roman" w:eastAsia="方正仿宋_GBK" w:cs="Times New Roman"/>
          <w:color w:val="000000" w:themeColor="text1"/>
          <w:kern w:val="32"/>
          <w:sz w:val="32"/>
          <w:szCs w:val="32"/>
        </w:rPr>
        <w:t>亿元，</w:t>
      </w:r>
      <w:r>
        <w:rPr>
          <w:rFonts w:hint="eastAsia" w:ascii="Times New Roman" w:hAnsi="Times New Roman" w:eastAsia="方正仿宋_GBK" w:cs="Times New Roman"/>
          <w:color w:val="000000" w:themeColor="text1"/>
          <w:kern w:val="32"/>
          <w:sz w:val="32"/>
          <w:szCs w:val="32"/>
        </w:rPr>
        <w:t>支持打好污染防治攻坚“八大战役”，</w:t>
      </w:r>
      <w:r>
        <w:rPr>
          <w:rFonts w:ascii="Times New Roman" w:hAnsi="Times New Roman" w:eastAsia="方正仿宋_GBK" w:cs="Times New Roman"/>
          <w:color w:val="000000" w:themeColor="text1"/>
          <w:kern w:val="32"/>
          <w:sz w:val="32"/>
          <w:szCs w:val="32"/>
        </w:rPr>
        <w:t>实施</w:t>
      </w:r>
      <w:r>
        <w:rPr>
          <w:rFonts w:hint="eastAsia" w:ascii="Times New Roman" w:hAnsi="Times New Roman" w:eastAsia="方正仿宋_GBK" w:cs="Times New Roman"/>
          <w:color w:val="000000" w:themeColor="text1"/>
          <w:kern w:val="32"/>
          <w:sz w:val="32"/>
          <w:szCs w:val="32"/>
        </w:rPr>
        <w:t>农村生活垃圾处理、污水处理、村庄清洁、厕所革命和畜禽粪污资源化利用等“五大行动”</w:t>
      </w:r>
      <w:r>
        <w:rPr>
          <w:rFonts w:ascii="Times New Roman" w:hAnsi="Times New Roman" w:eastAsia="方正仿宋_GBK" w:cs="Times New Roman"/>
          <w:color w:val="000000" w:themeColor="text1"/>
          <w:kern w:val="32"/>
          <w:sz w:val="32"/>
          <w:szCs w:val="32"/>
        </w:rPr>
        <w:t>，</w:t>
      </w:r>
      <w:r>
        <w:rPr>
          <w:rFonts w:hint="eastAsia" w:ascii="Times New Roman" w:hAnsi="Times New Roman" w:eastAsia="方正仿宋_GBK" w:cs="Times New Roman"/>
          <w:color w:val="000000" w:themeColor="text1"/>
          <w:kern w:val="32"/>
          <w:sz w:val="32"/>
          <w:szCs w:val="32"/>
        </w:rPr>
        <w:t>落实</w:t>
      </w:r>
      <w:r>
        <w:rPr>
          <w:rFonts w:ascii="Times New Roman" w:hAnsi="Times New Roman" w:eastAsia="方正仿宋_GBK" w:cs="Times New Roman"/>
          <w:color w:val="000000" w:themeColor="text1"/>
          <w:kern w:val="32"/>
          <w:sz w:val="32"/>
          <w:szCs w:val="32"/>
        </w:rPr>
        <w:t>河（湖）长制，</w:t>
      </w:r>
      <w:r>
        <w:rPr>
          <w:rFonts w:hint="eastAsia" w:ascii="Times New Roman" w:hAnsi="Times New Roman" w:eastAsia="方正仿宋_GBK" w:cs="Times New Roman"/>
          <w:color w:val="000000" w:themeColor="text1"/>
          <w:kern w:val="32"/>
          <w:sz w:val="32"/>
          <w:szCs w:val="32"/>
        </w:rPr>
        <w:t>推进</w:t>
      </w:r>
      <w:r>
        <w:rPr>
          <w:rFonts w:ascii="Times New Roman" w:hAnsi="Times New Roman" w:eastAsia="方正仿宋_GBK" w:cs="Times New Roman"/>
          <w:color w:val="000000" w:themeColor="text1"/>
          <w:kern w:val="32"/>
          <w:sz w:val="32"/>
          <w:szCs w:val="32"/>
        </w:rPr>
        <w:t>大气、土壤、水污染防治</w:t>
      </w:r>
      <w:r>
        <w:rPr>
          <w:rFonts w:hint="eastAsia" w:ascii="Times New Roman" w:hAnsi="Times New Roman" w:eastAsia="方正仿宋_GBK" w:cs="Times New Roman"/>
          <w:color w:val="000000" w:themeColor="text1"/>
          <w:kern w:val="32"/>
          <w:sz w:val="32"/>
          <w:szCs w:val="32"/>
        </w:rPr>
        <w:t>环境问题专项治理。</w:t>
      </w:r>
    </w:p>
    <w:p>
      <w:pPr>
        <w:adjustRightInd w:val="0"/>
        <w:snapToGrid w:val="0"/>
        <w:spacing w:line="580" w:lineRule="exact"/>
        <w:ind w:firstLine="627" w:firstLineChars="196"/>
        <w:rPr>
          <w:rFonts w:ascii="Times New Roman" w:hAnsi="Times New Roman" w:eastAsia="方正仿宋_GBK" w:cs="Times New Roman"/>
          <w:color w:val="000000" w:themeColor="text1"/>
          <w:sz w:val="32"/>
          <w:szCs w:val="32"/>
        </w:rPr>
      </w:pPr>
      <w:r>
        <w:rPr>
          <w:rFonts w:hint="eastAsia" w:ascii="Times New Roman" w:hAnsi="Times New Roman" w:eastAsia="方正黑体_GBK" w:cs="Times New Roman"/>
          <w:bCs/>
          <w:color w:val="000000" w:themeColor="text1"/>
          <w:kern w:val="0"/>
          <w:sz w:val="32"/>
          <w:szCs w:val="32"/>
        </w:rPr>
        <w:t>三</w:t>
      </w:r>
      <w:r>
        <w:rPr>
          <w:rFonts w:hint="eastAsia" w:eastAsia="方正黑体_GBK" w:cs="Times New Roman"/>
          <w:bCs/>
          <w:color w:val="000000" w:themeColor="text1"/>
          <w:kern w:val="0"/>
          <w:sz w:val="32"/>
          <w:szCs w:val="32"/>
          <w:lang w:eastAsia="zh-CN"/>
        </w:rPr>
        <w:t>是</w:t>
      </w:r>
      <w:r>
        <w:rPr>
          <w:rFonts w:hint="eastAsia" w:ascii="Times New Roman" w:hAnsi="Times New Roman" w:eastAsia="方正黑体_GBK" w:cs="Times New Roman"/>
          <w:bCs/>
          <w:color w:val="000000" w:themeColor="text1"/>
          <w:kern w:val="0"/>
          <w:sz w:val="32"/>
          <w:szCs w:val="32"/>
        </w:rPr>
        <w:t>持续增加</w:t>
      </w:r>
      <w:r>
        <w:rPr>
          <w:rFonts w:ascii="Times New Roman" w:hAnsi="Times New Roman" w:eastAsia="方正黑体_GBK" w:cs="Times New Roman"/>
          <w:bCs/>
          <w:color w:val="000000" w:themeColor="text1"/>
          <w:kern w:val="0"/>
          <w:sz w:val="32"/>
          <w:szCs w:val="32"/>
        </w:rPr>
        <w:t>民生投入，促进社会事业全面进步</w:t>
      </w:r>
      <w:r>
        <w:rPr>
          <w:rFonts w:hint="eastAsia" w:ascii="Times New Roman" w:hAnsi="Times New Roman" w:eastAsia="方正黑体_GBK" w:cs="Times New Roman"/>
          <w:bCs/>
          <w:color w:val="000000" w:themeColor="text1"/>
          <w:kern w:val="0"/>
          <w:sz w:val="32"/>
          <w:szCs w:val="32"/>
        </w:rPr>
        <w:t>。</w:t>
      </w:r>
      <w:r>
        <w:rPr>
          <w:rFonts w:hint="eastAsia" w:ascii="Times New Roman" w:hAnsi="Times New Roman" w:eastAsia="方正仿宋_GBK" w:cs="Times New Roman"/>
          <w:color w:val="000000" w:themeColor="text1"/>
          <w:sz w:val="32"/>
          <w:szCs w:val="32"/>
        </w:rPr>
        <w:t>加大民生投入，全市民生支出占一般公共预算支出比例达72%。全市投入2.8亿元，加快平安巴中建设，支持开展扫黑除恶专项斗争，加强食品、药品质量检测能力建设。</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bCs/>
          <w:color w:val="000000"/>
          <w:kern w:val="0"/>
          <w:sz w:val="32"/>
          <w:szCs w:val="32"/>
        </w:rPr>
        <w:t>四</w:t>
      </w:r>
      <w:r>
        <w:rPr>
          <w:rFonts w:hint="eastAsia" w:eastAsia="方正黑体_GBK" w:cs="Times New Roman"/>
          <w:bCs/>
          <w:color w:val="000000"/>
          <w:kern w:val="0"/>
          <w:sz w:val="32"/>
          <w:szCs w:val="32"/>
          <w:lang w:eastAsia="zh-CN"/>
        </w:rPr>
        <w:t>是</w:t>
      </w:r>
      <w:r>
        <w:rPr>
          <w:rFonts w:ascii="Times New Roman" w:hAnsi="Times New Roman" w:eastAsia="方正黑体_GBK" w:cs="Times New Roman"/>
          <w:bCs/>
          <w:color w:val="000000"/>
          <w:kern w:val="0"/>
          <w:sz w:val="32"/>
          <w:szCs w:val="32"/>
        </w:rPr>
        <w:t>创新投</w:t>
      </w:r>
      <w:r>
        <w:rPr>
          <w:rFonts w:hint="eastAsia" w:ascii="Times New Roman" w:hAnsi="Times New Roman" w:eastAsia="方正黑体_GBK" w:cs="Times New Roman"/>
          <w:bCs/>
          <w:color w:val="000000"/>
          <w:kern w:val="0"/>
          <w:sz w:val="32"/>
          <w:szCs w:val="32"/>
        </w:rPr>
        <w:t>融</w:t>
      </w:r>
      <w:r>
        <w:rPr>
          <w:rFonts w:ascii="Times New Roman" w:hAnsi="Times New Roman" w:eastAsia="方正黑体_GBK" w:cs="Times New Roman"/>
          <w:bCs/>
          <w:color w:val="000000"/>
          <w:kern w:val="0"/>
          <w:sz w:val="32"/>
          <w:szCs w:val="32"/>
        </w:rPr>
        <w:t>资机制，</w:t>
      </w:r>
      <w:r>
        <w:rPr>
          <w:rFonts w:hint="eastAsia" w:ascii="Times New Roman" w:hAnsi="Times New Roman" w:eastAsia="方正黑体_GBK" w:cs="Times New Roman"/>
          <w:bCs/>
          <w:color w:val="000000"/>
          <w:kern w:val="0"/>
          <w:sz w:val="32"/>
          <w:szCs w:val="32"/>
        </w:rPr>
        <w:t>支持</w:t>
      </w:r>
      <w:r>
        <w:rPr>
          <w:rFonts w:ascii="Times New Roman" w:hAnsi="Times New Roman" w:eastAsia="方正黑体_GBK" w:cs="Times New Roman"/>
          <w:bCs/>
          <w:color w:val="000000"/>
          <w:kern w:val="0"/>
          <w:sz w:val="32"/>
          <w:szCs w:val="32"/>
        </w:rPr>
        <w:t>重大项目建设。</w:t>
      </w:r>
      <w:r>
        <w:rPr>
          <w:rFonts w:ascii="Times New Roman" w:hAnsi="Times New Roman" w:eastAsia="方正仿宋_GBK" w:cs="Times New Roman"/>
          <w:sz w:val="32"/>
          <w:szCs w:val="32"/>
        </w:rPr>
        <w:t>加大项目建设财政投入</w:t>
      </w:r>
      <w:r>
        <w:rPr>
          <w:rFonts w:hint="eastAsia" w:eastAsia="方正仿宋_GBK" w:cs="Times New Roman"/>
          <w:sz w:val="32"/>
          <w:szCs w:val="32"/>
          <w:lang w:eastAsia="zh-CN"/>
        </w:rPr>
        <w:t>，</w:t>
      </w:r>
      <w:r>
        <w:rPr>
          <w:rFonts w:ascii="Times New Roman" w:hAnsi="Times New Roman" w:eastAsia="方正仿宋_GBK" w:cs="Times New Roman"/>
          <w:sz w:val="32"/>
          <w:szCs w:val="32"/>
        </w:rPr>
        <w:t>全市统筹安排中央、省、市各类建设资金61亿元</w:t>
      </w:r>
      <w:r>
        <w:rPr>
          <w:rFonts w:hint="eastAsia" w:eastAsia="方正仿宋_GBK" w:cs="Times New Roman"/>
          <w:sz w:val="32"/>
          <w:szCs w:val="32"/>
          <w:lang w:eastAsia="zh-CN"/>
        </w:rPr>
        <w:t>。</w:t>
      </w:r>
      <w:r>
        <w:rPr>
          <w:rFonts w:ascii="Times New Roman" w:hAnsi="Times New Roman" w:eastAsia="方正仿宋_GBK" w:cs="Times New Roman"/>
          <w:sz w:val="32"/>
          <w:szCs w:val="32"/>
        </w:rPr>
        <w:t>全市投入 22.1亿元，加快改善国省干线、县乡公路和农村水、电、路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高标农田等基础设施。投入4.05亿元，支持农村危旧房改造、易地扶贫搬迁和地质灾害防治等项目建设。</w:t>
      </w:r>
      <w:r>
        <w:rPr>
          <w:rFonts w:hint="eastAsia" w:ascii="Times New Roman" w:hAnsi="Times New Roman" w:eastAsia="方正仿宋_GBK" w:cs="Times New Roman"/>
          <w:sz w:val="32"/>
          <w:szCs w:val="32"/>
        </w:rPr>
        <w:t>努力争取</w:t>
      </w:r>
      <w:r>
        <w:rPr>
          <w:rFonts w:ascii="Times New Roman" w:hAnsi="Times New Roman" w:eastAsia="方正仿宋_GBK" w:cs="Times New Roman"/>
          <w:sz w:val="32"/>
          <w:szCs w:val="32"/>
        </w:rPr>
        <w:t>政府与社会资本合作</w:t>
      </w:r>
      <w:r>
        <w:rPr>
          <w:rFonts w:hint="eastAsia" w:ascii="Times New Roman" w:hAnsi="Times New Roman" w:eastAsia="方正仿宋_GBK" w:cs="Times New Roman"/>
          <w:sz w:val="32"/>
          <w:szCs w:val="32"/>
        </w:rPr>
        <w:t>项目落实落地</w:t>
      </w:r>
      <w:r>
        <w:rPr>
          <w:rFonts w:hint="eastAsia" w:eastAsia="方正仿宋_GBK" w:cs="Times New Roman"/>
          <w:sz w:val="32"/>
          <w:szCs w:val="32"/>
          <w:lang w:eastAsia="zh-CN"/>
        </w:rPr>
        <w:t>，</w:t>
      </w:r>
      <w:r>
        <w:rPr>
          <w:rFonts w:ascii="Times New Roman" w:hAnsi="Times New Roman" w:eastAsia="方正仿宋_GBK" w:cs="Times New Roman"/>
          <w:sz w:val="32"/>
          <w:szCs w:val="32"/>
        </w:rPr>
        <w:t>全市纳入财政部PPP综合信息平台库管理项</w:t>
      </w:r>
      <w:r>
        <w:rPr>
          <w:rFonts w:hint="eastAsia" w:ascii="Times New Roman" w:hAnsi="Times New Roman" w:eastAsia="方正仿宋_GBK" w:cs="Times New Roman"/>
          <w:sz w:val="32"/>
          <w:szCs w:val="32"/>
        </w:rPr>
        <w:t>目48个，总投资538.92亿元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最大限度发挥国有资本融资功能</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统筹协调</w:t>
      </w:r>
      <w:r>
        <w:rPr>
          <w:rFonts w:ascii="Times New Roman" w:hAnsi="Times New Roman" w:eastAsia="方正仿宋_GBK" w:cs="Times New Roman"/>
          <w:sz w:val="32"/>
          <w:szCs w:val="32"/>
        </w:rPr>
        <w:t>支持市属国有企业通过企业债、公司债、PPN、专项债等方式融资到位40.55亿元。</w:t>
      </w:r>
    </w:p>
    <w:p>
      <w:pPr>
        <w:spacing w:line="58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黑体_GBK" w:cs="Times New Roman"/>
          <w:bCs/>
          <w:color w:val="000000" w:themeColor="text1"/>
          <w:kern w:val="0"/>
          <w:sz w:val="32"/>
          <w:szCs w:val="32"/>
        </w:rPr>
        <w:t>五</w:t>
      </w:r>
      <w:r>
        <w:rPr>
          <w:rFonts w:hint="eastAsia" w:eastAsia="方正黑体_GBK" w:cs="Times New Roman"/>
          <w:bCs/>
          <w:color w:val="000000" w:themeColor="text1"/>
          <w:kern w:val="0"/>
          <w:sz w:val="32"/>
          <w:szCs w:val="32"/>
          <w:lang w:eastAsia="zh-CN"/>
        </w:rPr>
        <w:t>是</w:t>
      </w:r>
      <w:r>
        <w:rPr>
          <w:rFonts w:ascii="Times New Roman" w:hAnsi="Times New Roman" w:eastAsia="方正黑体_GBK" w:cs="Times New Roman"/>
          <w:bCs/>
          <w:color w:val="000000" w:themeColor="text1"/>
          <w:kern w:val="0"/>
          <w:sz w:val="32"/>
          <w:szCs w:val="32"/>
        </w:rPr>
        <w:t>优化营商环境，促进区域软实力提质增效。</w:t>
      </w:r>
      <w:r>
        <w:rPr>
          <w:rFonts w:hint="eastAsia" w:ascii="Times New Roman" w:hAnsi="Times New Roman" w:eastAsia="方正仿宋_GBK" w:cs="Times New Roman"/>
          <w:color w:val="000000" w:themeColor="text1"/>
          <w:sz w:val="32"/>
          <w:szCs w:val="32"/>
        </w:rPr>
        <w:t>解决企业融资困难</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完善政策性融资担保体系。激发企业发展活力</w:t>
      </w:r>
      <w:r>
        <w:rPr>
          <w:rFonts w:hint="eastAsia" w:eastAsia="方正仿宋_GBK" w:cs="Times New Roman"/>
          <w:color w:val="000000" w:themeColor="text1"/>
          <w:sz w:val="32"/>
          <w:szCs w:val="32"/>
          <w:lang w:eastAsia="zh-CN"/>
        </w:rPr>
        <w:t>，</w:t>
      </w:r>
      <w:r>
        <w:rPr>
          <w:rFonts w:ascii="Times New Roman" w:hAnsi="Times New Roman" w:eastAsia="方正仿宋_GBK" w:cs="Times New Roman"/>
          <w:color w:val="000000" w:themeColor="text1"/>
          <w:sz w:val="32"/>
          <w:szCs w:val="32"/>
        </w:rPr>
        <w:t>全面落实</w:t>
      </w:r>
      <w:r>
        <w:rPr>
          <w:rFonts w:hint="eastAsia" w:ascii="Times New Roman" w:hAnsi="Times New Roman" w:eastAsia="方正仿宋_GBK" w:cs="Times New Roman"/>
          <w:color w:val="000000" w:themeColor="text1"/>
          <w:sz w:val="32"/>
          <w:szCs w:val="32"/>
        </w:rPr>
        <w:t>减税降费</w:t>
      </w:r>
      <w:r>
        <w:rPr>
          <w:rFonts w:ascii="Times New Roman" w:hAnsi="Times New Roman" w:eastAsia="方正仿宋_GBK" w:cs="Times New Roman"/>
          <w:color w:val="000000" w:themeColor="text1"/>
          <w:sz w:val="32"/>
          <w:szCs w:val="32"/>
        </w:rPr>
        <w:t>政策</w:t>
      </w:r>
      <w:r>
        <w:rPr>
          <w:rFonts w:hint="eastAsia"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提高财政服务效率</w:t>
      </w:r>
      <w:r>
        <w:rPr>
          <w:rFonts w:hint="eastAsia"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认真落实“马上办、网上办、一次办”改革措施</w:t>
      </w:r>
      <w:r>
        <w:rPr>
          <w:rFonts w:hint="eastAsia"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提升办事效率。</w:t>
      </w:r>
    </w:p>
    <w:p>
      <w:pPr>
        <w:spacing w:line="580" w:lineRule="exact"/>
        <w:ind w:firstLine="640" w:firstLineChars="200"/>
        <w:rPr>
          <w:rFonts w:eastAsia="方正仿宋_GBK"/>
          <w:bCs/>
          <w:color w:val="000000"/>
          <w:sz w:val="32"/>
          <w:szCs w:val="32"/>
        </w:rPr>
      </w:pPr>
      <w:r>
        <w:rPr>
          <w:rFonts w:hint="eastAsia" w:ascii="Times New Roman" w:hAnsi="Times New Roman" w:eastAsia="方正黑体_GBK" w:cs="Times New Roman"/>
          <w:bCs/>
          <w:color w:val="000000"/>
          <w:kern w:val="0"/>
          <w:sz w:val="32"/>
          <w:szCs w:val="32"/>
        </w:rPr>
        <w:t>六</w:t>
      </w:r>
      <w:r>
        <w:rPr>
          <w:rFonts w:hint="eastAsia" w:eastAsia="方正黑体_GBK" w:cs="Times New Roman"/>
          <w:bCs/>
          <w:color w:val="000000"/>
          <w:kern w:val="0"/>
          <w:sz w:val="32"/>
          <w:szCs w:val="32"/>
          <w:lang w:eastAsia="zh-CN"/>
        </w:rPr>
        <w:t>是</w:t>
      </w:r>
      <w:r>
        <w:rPr>
          <w:rFonts w:hint="eastAsia" w:ascii="Times New Roman" w:hAnsi="Times New Roman" w:eastAsia="方正黑体_GBK" w:cs="Times New Roman"/>
          <w:bCs/>
          <w:color w:val="000000"/>
          <w:kern w:val="0"/>
          <w:sz w:val="32"/>
          <w:szCs w:val="32"/>
        </w:rPr>
        <w:t>积极</w:t>
      </w:r>
      <w:r>
        <w:rPr>
          <w:rFonts w:ascii="Times New Roman" w:hAnsi="Times New Roman" w:eastAsia="方正黑体_GBK" w:cs="Times New Roman"/>
          <w:bCs/>
          <w:color w:val="000000"/>
          <w:kern w:val="0"/>
          <w:sz w:val="32"/>
          <w:szCs w:val="32"/>
        </w:rPr>
        <w:t>培</w:t>
      </w:r>
      <w:r>
        <w:rPr>
          <w:rFonts w:hint="eastAsia" w:ascii="Times New Roman" w:hAnsi="Times New Roman" w:eastAsia="方正黑体_GBK" w:cs="Times New Roman"/>
          <w:bCs/>
          <w:color w:val="000000"/>
          <w:kern w:val="0"/>
          <w:sz w:val="32"/>
          <w:szCs w:val="32"/>
        </w:rPr>
        <w:t>植</w:t>
      </w:r>
      <w:r>
        <w:rPr>
          <w:rFonts w:ascii="Times New Roman" w:hAnsi="Times New Roman" w:eastAsia="方正黑体_GBK" w:cs="Times New Roman"/>
          <w:bCs/>
          <w:color w:val="000000"/>
          <w:kern w:val="0"/>
          <w:sz w:val="32"/>
          <w:szCs w:val="32"/>
        </w:rPr>
        <w:t>财源，持续增收基础更加稳固。</w:t>
      </w:r>
      <w:r>
        <w:rPr>
          <w:rFonts w:hint="eastAsia" w:ascii="Times New Roman" w:eastAsia="方正仿宋_GBK" w:cs="Times New Roman"/>
          <w:color w:val="000000"/>
          <w:sz w:val="32"/>
          <w:szCs w:val="32"/>
        </w:rPr>
        <w:t>持续支持做实做大巴中川陕革命老区振兴发展股权投资基金和产业投资基金</w:t>
      </w:r>
      <w:r>
        <w:rPr>
          <w:rFonts w:hint="eastAsia" w:eastAsia="方正仿宋_GBK" w:cs="Times New Roman"/>
          <w:color w:val="000000"/>
          <w:sz w:val="32"/>
          <w:szCs w:val="32"/>
          <w:lang w:eastAsia="zh-CN"/>
        </w:rPr>
        <w:t>，</w:t>
      </w:r>
      <w:r>
        <w:rPr>
          <w:rFonts w:hint="eastAsia" w:ascii="Times New Roman" w:eastAsia="方正仿宋_GBK" w:cs="Times New Roman"/>
          <w:color w:val="000000"/>
          <w:sz w:val="32"/>
          <w:szCs w:val="32"/>
        </w:rPr>
        <w:t>实施“四大特色农业产业行动计划”</w:t>
      </w:r>
      <w:r>
        <w:rPr>
          <w:rFonts w:hint="eastAsia" w:ascii="Times New Roman" w:hAnsi="Times New Roman" w:eastAsia="方正仿宋_GBK"/>
          <w:kern w:val="32"/>
          <w:sz w:val="32"/>
          <w:szCs w:val="32"/>
        </w:rPr>
        <w:t>，支</w:t>
      </w:r>
      <w:r>
        <w:rPr>
          <w:rFonts w:ascii="Times New Roman" w:hAnsi="Times New Roman" w:eastAsia="方正仿宋_GBK"/>
          <w:sz w:val="32"/>
          <w:szCs w:val="32"/>
        </w:rPr>
        <w:t>持现代农业、畜牧业产业园区、优质粮油工程</w:t>
      </w:r>
      <w:r>
        <w:rPr>
          <w:rFonts w:hint="eastAsia" w:ascii="Times New Roman" w:hAnsi="Times New Roman" w:eastAsia="方正仿宋_GBK"/>
          <w:sz w:val="32"/>
          <w:szCs w:val="32"/>
        </w:rPr>
        <w:t>和</w:t>
      </w:r>
      <w:r>
        <w:rPr>
          <w:rFonts w:ascii="Times New Roman" w:hAnsi="Times New Roman" w:eastAsia="方正仿宋_GBK"/>
          <w:sz w:val="32"/>
          <w:szCs w:val="32"/>
        </w:rPr>
        <w:t>“菜篮子”项目建设</w:t>
      </w:r>
      <w:r>
        <w:rPr>
          <w:rFonts w:hint="eastAsia" w:eastAsia="方正仿宋_GBK"/>
          <w:sz w:val="32"/>
          <w:szCs w:val="32"/>
          <w:lang w:eastAsia="zh-CN"/>
        </w:rPr>
        <w:t>，</w:t>
      </w:r>
      <w:r>
        <w:rPr>
          <w:rFonts w:hint="eastAsia" w:ascii="Times New Roman" w:eastAsia="方正仿宋_GBK" w:cs="Times New Roman"/>
          <w:color w:val="000000"/>
          <w:sz w:val="32"/>
          <w:szCs w:val="32"/>
        </w:rPr>
        <w:t>支持四大新型工业和四大现代服务业发展。</w:t>
      </w:r>
    </w:p>
    <w:p>
      <w:pPr>
        <w:pStyle w:val="38"/>
        <w:spacing w:line="580" w:lineRule="exact"/>
        <w:ind w:firstLine="640" w:firstLineChars="200"/>
        <w:jc w:val="both"/>
        <w:rPr>
          <w:rFonts w:ascii="Times New Roman" w:hAnsi="Times New Roman" w:eastAsia="方正仿宋_GBK"/>
          <w:color w:val="000000" w:themeColor="text1"/>
          <w:sz w:val="32"/>
          <w:szCs w:val="32"/>
        </w:rPr>
      </w:pPr>
      <w:r>
        <w:rPr>
          <w:rFonts w:ascii="Times New Roman" w:hAnsi="Times New Roman" w:eastAsia="方正黑体_GBK"/>
          <w:bCs/>
          <w:color w:val="000000" w:themeColor="text1"/>
          <w:sz w:val="32"/>
          <w:szCs w:val="32"/>
        </w:rPr>
        <w:t>七</w:t>
      </w:r>
      <w:r>
        <w:rPr>
          <w:rFonts w:hint="eastAsia" w:ascii="Times New Roman" w:hAnsi="Times New Roman" w:eastAsia="方正黑体_GBK"/>
          <w:bCs/>
          <w:color w:val="000000" w:themeColor="text1"/>
          <w:sz w:val="32"/>
          <w:szCs w:val="32"/>
          <w:lang w:eastAsia="zh-CN"/>
        </w:rPr>
        <w:t>是</w:t>
      </w:r>
      <w:r>
        <w:rPr>
          <w:rFonts w:ascii="Times New Roman" w:hAnsi="Times New Roman" w:eastAsia="方正黑体_GBK"/>
          <w:bCs/>
          <w:color w:val="000000" w:themeColor="text1"/>
          <w:sz w:val="32"/>
          <w:szCs w:val="32"/>
        </w:rPr>
        <w:t>推进</w:t>
      </w:r>
      <w:r>
        <w:rPr>
          <w:rFonts w:hint="eastAsia" w:ascii="Times New Roman" w:hAnsi="Times New Roman" w:eastAsia="方正黑体_GBK"/>
          <w:bCs/>
          <w:color w:val="000000" w:themeColor="text1"/>
          <w:sz w:val="32"/>
          <w:szCs w:val="32"/>
        </w:rPr>
        <w:t>财政</w:t>
      </w:r>
      <w:r>
        <w:rPr>
          <w:rFonts w:ascii="Times New Roman" w:hAnsi="Times New Roman" w:eastAsia="方正黑体_GBK"/>
          <w:bCs/>
          <w:color w:val="000000" w:themeColor="text1"/>
          <w:sz w:val="32"/>
          <w:szCs w:val="32"/>
        </w:rPr>
        <w:t>改革，现代财政制度逐步完善。</w:t>
      </w:r>
      <w:r>
        <w:rPr>
          <w:rFonts w:ascii="Times New Roman" w:hAnsi="Times New Roman" w:eastAsia="方正仿宋_GBK"/>
          <w:color w:val="000000"/>
          <w:sz w:val="32"/>
          <w:szCs w:val="32"/>
        </w:rPr>
        <w:t>全</w:t>
      </w:r>
      <w:r>
        <w:rPr>
          <w:rFonts w:hint="eastAsia" w:ascii="Times New Roman" w:hAnsi="Times New Roman" w:eastAsia="方正仿宋_GBK"/>
          <w:color w:val="000000"/>
          <w:sz w:val="32"/>
          <w:szCs w:val="32"/>
        </w:rPr>
        <w:t>市</w:t>
      </w:r>
      <w:r>
        <w:rPr>
          <w:rFonts w:ascii="Times New Roman" w:hAnsi="Times New Roman" w:eastAsia="方正仿宋_GBK"/>
          <w:color w:val="000000"/>
          <w:sz w:val="32"/>
          <w:szCs w:val="32"/>
        </w:rPr>
        <w:t>财政改革</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两年攻坚任务</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8大类73项任务全部完成销号。</w:t>
      </w:r>
    </w:p>
    <w:p>
      <w:pPr>
        <w:spacing w:line="580" w:lineRule="exact"/>
        <w:ind w:firstLine="640" w:firstLineChars="200"/>
        <w:rPr>
          <w:rFonts w:hint="eastAsia" w:ascii="黑体" w:hAnsi="黑体" w:eastAsia="黑体" w:cs="黑体"/>
          <w:bCs/>
          <w:color w:val="000000"/>
          <w:sz w:val="32"/>
          <w:szCs w:val="32"/>
        </w:rPr>
      </w:pPr>
      <w:r>
        <w:rPr>
          <w:rFonts w:ascii="Times New Roman" w:hAnsi="Times New Roman" w:eastAsia="方正黑体_GBK" w:cs="Times New Roman"/>
          <w:bCs/>
          <w:color w:val="000000" w:themeColor="text1"/>
          <w:kern w:val="0"/>
          <w:sz w:val="32"/>
          <w:szCs w:val="32"/>
        </w:rPr>
        <w:t>八</w:t>
      </w:r>
      <w:r>
        <w:rPr>
          <w:rFonts w:hint="eastAsia" w:eastAsia="方正黑体_GBK" w:cs="Times New Roman"/>
          <w:bCs/>
          <w:color w:val="000000" w:themeColor="text1"/>
          <w:kern w:val="0"/>
          <w:sz w:val="32"/>
          <w:szCs w:val="32"/>
          <w:lang w:eastAsia="zh-CN"/>
        </w:rPr>
        <w:t>是</w:t>
      </w:r>
      <w:r>
        <w:rPr>
          <w:rFonts w:ascii="Times New Roman" w:hAnsi="Times New Roman" w:eastAsia="方正黑体_GBK" w:cs="Times New Roman"/>
          <w:bCs/>
          <w:color w:val="000000" w:themeColor="text1"/>
          <w:kern w:val="0"/>
          <w:sz w:val="32"/>
          <w:szCs w:val="32"/>
        </w:rPr>
        <w:t>加强财政监</w:t>
      </w:r>
      <w:r>
        <w:rPr>
          <w:rFonts w:hint="eastAsia" w:ascii="Times New Roman" w:hAnsi="Times New Roman" w:eastAsia="方正黑体_GBK" w:cs="Times New Roman"/>
          <w:bCs/>
          <w:color w:val="000000" w:themeColor="text1"/>
          <w:kern w:val="0"/>
          <w:sz w:val="32"/>
          <w:szCs w:val="32"/>
        </w:rPr>
        <w:t>督</w:t>
      </w:r>
      <w:r>
        <w:rPr>
          <w:rFonts w:ascii="Times New Roman" w:hAnsi="Times New Roman" w:eastAsia="方正黑体_GBK" w:cs="Times New Roman"/>
          <w:bCs/>
          <w:color w:val="000000" w:themeColor="text1"/>
          <w:kern w:val="0"/>
          <w:sz w:val="32"/>
          <w:szCs w:val="32"/>
        </w:rPr>
        <w:t>，依法理财能力不断提升。</w:t>
      </w:r>
      <w:r>
        <w:rPr>
          <w:rFonts w:ascii="Times New Roman" w:hAnsi="Times New Roman" w:eastAsia="方正仿宋_GBK" w:cs="Times New Roman"/>
          <w:color w:val="000000" w:themeColor="text1"/>
          <w:sz w:val="32"/>
          <w:szCs w:val="32"/>
        </w:rPr>
        <w:t>加强法治财政建设</w:t>
      </w:r>
      <w:r>
        <w:rPr>
          <w:rFonts w:hint="eastAsia" w:ascii="Times New Roman" w:hAnsi="Times New Roman" w:eastAsia="方正仿宋_GBK" w:cs="Times New Roman"/>
          <w:color w:val="000000" w:themeColor="text1"/>
          <w:sz w:val="32"/>
          <w:szCs w:val="32"/>
          <w:lang w:eastAsia="zh-CN"/>
        </w:rPr>
        <w:t>，</w:t>
      </w:r>
      <w:r>
        <w:rPr>
          <w:rFonts w:ascii="Times New Roman" w:hAnsi="Times New Roman" w:eastAsia="方正仿宋_GBK" w:cs="Times New Roman"/>
          <w:color w:val="000000" w:themeColor="text1"/>
          <w:sz w:val="32"/>
          <w:szCs w:val="32"/>
        </w:rPr>
        <w:t>认真落实领导干部带头学法、</w:t>
      </w:r>
      <w:r>
        <w:rPr>
          <w:rFonts w:hint="eastAsia" w:ascii="Times New Roman" w:hAnsi="Times New Roman" w:eastAsia="方正仿宋_GBK" w:cs="Times New Roman"/>
          <w:color w:val="000000" w:themeColor="text1"/>
          <w:sz w:val="32"/>
          <w:szCs w:val="32"/>
        </w:rPr>
        <w:t>严格守法执法</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规范遵守财经纪律和“三重一大”决策制度，</w:t>
      </w:r>
      <w:r>
        <w:rPr>
          <w:rFonts w:ascii="Times New Roman" w:hAnsi="Times New Roman" w:eastAsia="方正仿宋_GBK" w:cs="Times New Roman"/>
          <w:color w:val="000000" w:themeColor="text1"/>
          <w:sz w:val="32"/>
          <w:szCs w:val="32"/>
        </w:rPr>
        <w:t>全市针对政府采购违法违规行为作出行政处罚116项，涉及110个政府采购项目共17.76亿元。</w:t>
      </w:r>
      <w:r>
        <w:rPr>
          <w:rFonts w:hint="eastAsia" w:eastAsia="方正仿宋_GBK" w:cs="Times New Roman"/>
          <w:color w:val="000000" w:themeColor="text1"/>
          <w:sz w:val="32"/>
          <w:szCs w:val="32"/>
          <w:lang w:eastAsia="zh-CN"/>
        </w:rPr>
        <w:t>继续</w:t>
      </w:r>
      <w:r>
        <w:rPr>
          <w:rFonts w:ascii="Times New Roman" w:hAnsi="Times New Roman" w:eastAsia="方正仿宋_GBK" w:cs="Times New Roman"/>
          <w:color w:val="000000" w:themeColor="text1"/>
          <w:kern w:val="0"/>
          <w:sz w:val="32"/>
          <w:szCs w:val="32"/>
        </w:rPr>
        <w:t>加强预算执行管理</w:t>
      </w:r>
      <w:r>
        <w:rPr>
          <w:rFonts w:hint="eastAsia" w:eastAsia="方正仿宋_GBK" w:cs="Times New Roman"/>
          <w:color w:val="000000" w:themeColor="text1"/>
          <w:kern w:val="0"/>
          <w:sz w:val="32"/>
          <w:szCs w:val="32"/>
          <w:lang w:eastAsia="zh-CN"/>
        </w:rPr>
        <w:t>，</w:t>
      </w:r>
      <w:r>
        <w:rPr>
          <w:rFonts w:ascii="Times New Roman" w:hAnsi="Times New Roman" w:eastAsia="方正仿宋_GBK" w:cs="Times New Roman"/>
          <w:color w:val="000000" w:themeColor="text1"/>
          <w:sz w:val="32"/>
          <w:szCs w:val="32"/>
        </w:rPr>
        <w:t>加强财政基础管理</w:t>
      </w:r>
      <w:r>
        <w:rPr>
          <w:rFonts w:hint="eastAsia"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加强重点监督检查。拓展财政评审职能</w:t>
      </w:r>
      <w:r>
        <w:rPr>
          <w:rFonts w:ascii="Times New Roman" w:hAnsi="Times New Roman" w:eastAsia="方正仿宋_GBK" w:cs="Times New Roman"/>
          <w:color w:val="000000" w:themeColor="text1"/>
          <w:sz w:val="32"/>
          <w:szCs w:val="32"/>
        </w:rPr>
        <w:t>，全市共评审</w:t>
      </w:r>
      <w:r>
        <w:rPr>
          <w:rFonts w:hint="eastAsia" w:ascii="Times New Roman" w:hAnsi="Times New Roman" w:eastAsia="方正仿宋_GBK" w:cs="Times New Roman"/>
          <w:color w:val="000000" w:themeColor="text1"/>
          <w:sz w:val="32"/>
          <w:szCs w:val="32"/>
        </w:rPr>
        <w:t>政府性投资项目1443个，送审</w:t>
      </w:r>
      <w:r>
        <w:rPr>
          <w:rFonts w:hint="eastAsia" w:ascii="Times New Roman" w:eastAsia="方正仿宋_GBK" w:cs="Times New Roman"/>
          <w:color w:val="000000" w:themeColor="text1"/>
          <w:sz w:val="32"/>
          <w:szCs w:val="32"/>
        </w:rPr>
        <w:t>金额247.38亿元，审减28.15亿元</w:t>
      </w:r>
      <w:r>
        <w:rPr>
          <w:rFonts w:ascii="Times New Roman" w:eastAsia="方正仿宋_GBK" w:cs="Times New Roman"/>
          <w:color w:val="000000" w:themeColor="text1"/>
          <w:sz w:val="32"/>
          <w:szCs w:val="32"/>
        </w:rPr>
        <w:t>；加大政府采购监管力度，全市政府采购预算</w:t>
      </w:r>
      <w:r>
        <w:rPr>
          <w:rFonts w:hint="eastAsia" w:ascii="Times New Roman" w:eastAsia="方正仿宋_GBK" w:cs="Times New Roman"/>
          <w:color w:val="000000" w:themeColor="text1"/>
          <w:sz w:val="32"/>
          <w:szCs w:val="32"/>
        </w:rPr>
        <w:t>15.19亿</w:t>
      </w:r>
      <w:r>
        <w:rPr>
          <w:rFonts w:ascii="Times New Roman" w:eastAsia="方正仿宋_GBK" w:cs="Times New Roman"/>
          <w:color w:val="000000" w:themeColor="text1"/>
          <w:sz w:val="32"/>
          <w:szCs w:val="32"/>
        </w:rPr>
        <w:t>元，实际采购</w:t>
      </w:r>
      <w:r>
        <w:rPr>
          <w:rFonts w:hint="eastAsia" w:ascii="Times New Roman" w:eastAsia="方正仿宋_GBK" w:cs="Times New Roman"/>
          <w:color w:val="000000" w:themeColor="text1"/>
          <w:sz w:val="32"/>
          <w:szCs w:val="32"/>
        </w:rPr>
        <w:t>13.84亿</w:t>
      </w:r>
      <w:r>
        <w:rPr>
          <w:rFonts w:ascii="Times New Roman" w:eastAsia="方正仿宋_GBK" w:cs="Times New Roman"/>
          <w:color w:val="000000" w:themeColor="text1"/>
          <w:sz w:val="32"/>
          <w:szCs w:val="32"/>
        </w:rPr>
        <w:t>元，节约</w:t>
      </w:r>
      <w:r>
        <w:rPr>
          <w:rFonts w:hint="eastAsia" w:ascii="Times New Roman" w:eastAsia="方正仿宋_GBK" w:cs="Times New Roman"/>
          <w:color w:val="000000" w:themeColor="text1"/>
          <w:sz w:val="32"/>
          <w:szCs w:val="32"/>
        </w:rPr>
        <w:t>资金1.35亿</w:t>
      </w:r>
      <w:r>
        <w:rPr>
          <w:rFonts w:ascii="Times New Roman" w:eastAsia="方正仿宋_GBK" w:cs="Times New Roman"/>
          <w:color w:val="000000" w:themeColor="text1"/>
          <w:sz w:val="32"/>
          <w:szCs w:val="32"/>
        </w:rPr>
        <w:t>元。</w:t>
      </w:r>
      <w:r>
        <w:rPr>
          <w:rFonts w:hint="eastAsia" w:ascii="Times New Roman" w:eastAsia="方正仿宋_GBK" w:cs="Times New Roman"/>
          <w:color w:val="000000" w:themeColor="text1"/>
          <w:sz w:val="32"/>
          <w:szCs w:val="32"/>
        </w:rPr>
        <w:t>持续深化惠民惠农财政补贴资金社会保障卡“一卡通”管理问题专项治理，建成“一卡通”发放监管系统</w:t>
      </w:r>
      <w:r>
        <w:rPr>
          <w:rFonts w:hint="eastAsia" w:eastAsia="方正仿宋_GBK" w:cs="Times New Roman"/>
          <w:color w:val="000000" w:themeColor="text1"/>
          <w:sz w:val="32"/>
          <w:szCs w:val="32"/>
          <w:lang w:eastAsia="zh-CN"/>
        </w:rPr>
        <w:t>。</w:t>
      </w:r>
      <w:r>
        <w:rPr>
          <w:rFonts w:hint="eastAsia" w:ascii="Times New Roman" w:eastAsia="方正仿宋_GBK" w:cs="Times New Roman"/>
          <w:color w:val="000000" w:themeColor="text1"/>
          <w:sz w:val="32"/>
          <w:szCs w:val="32"/>
        </w:rPr>
        <w:t>扎实开展涉农保险保费、财政支持脱贫攻坚政策执行、减税降费政策措施落实、“两不愁三保障”扶贫资金、会计质量等专项检查</w:t>
      </w:r>
      <w:r>
        <w:rPr>
          <w:rFonts w:ascii="Times New Roman" w:eastAsia="方正仿宋_GBK" w:cs="Times New Roman"/>
          <w:color w:val="000000" w:themeColor="text1"/>
          <w:sz w:val="32"/>
          <w:szCs w:val="32"/>
        </w:rPr>
        <w:t>。</w:t>
      </w:r>
    </w:p>
    <w:p>
      <w:pPr>
        <w:pStyle w:val="3"/>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2"/>
          <w:sz w:val="32"/>
          <w:szCs w:val="32"/>
          <w:lang w:val="en-US" w:eastAsia="zh-CN" w:bidi="ar-SA"/>
        </w:rPr>
      </w:pPr>
      <w:bookmarkStart w:id="20" w:name="_Toc15377200"/>
      <w:bookmarkStart w:id="21" w:name="_Toc15396601"/>
      <w:r>
        <w:rPr>
          <w:rFonts w:hint="eastAsia" w:ascii="黑体" w:hAnsi="黑体" w:eastAsia="黑体" w:cs="黑体"/>
          <w:b/>
          <w:bCs/>
          <w:kern w:val="2"/>
          <w:sz w:val="32"/>
          <w:szCs w:val="32"/>
          <w:lang w:val="en-US" w:eastAsia="zh-CN" w:bidi="ar-SA"/>
        </w:rPr>
        <w:t>二、机构设置</w:t>
      </w:r>
      <w:bookmarkEnd w:id="20"/>
      <w:bookmarkEnd w:id="2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t>四川省巴中市财政局下属二级单位</w:t>
      </w:r>
      <w:r>
        <w:rPr>
          <w:rFonts w:hint="eastAsia" w:hAnsi="方正仿宋_GBK" w:eastAsia="方正仿宋_GBK" w:cs="Times New Roman"/>
          <w:b w:val="0"/>
          <w:bCs w:val="0"/>
          <w:kern w:val="2"/>
          <w:sz w:val="32"/>
          <w:szCs w:val="32"/>
          <w:lang w:val="en-US" w:eastAsia="zh-CN" w:bidi="ar-SA"/>
        </w:rPr>
        <w:t>9</w:t>
      </w:r>
      <w:r>
        <w:rPr>
          <w:rFonts w:hint="eastAsia" w:ascii="Times New Roman" w:hAnsi="方正仿宋_GBK" w:eastAsia="方正仿宋_GBK" w:cs="Times New Roman"/>
          <w:b w:val="0"/>
          <w:bCs w:val="0"/>
          <w:kern w:val="2"/>
          <w:sz w:val="32"/>
          <w:szCs w:val="32"/>
          <w:lang w:val="en-US" w:eastAsia="zh-CN" w:bidi="ar-SA"/>
        </w:rPr>
        <w:t>个，其中行政单位</w:t>
      </w:r>
      <w:r>
        <w:rPr>
          <w:rFonts w:hint="eastAsia" w:hAnsi="方正仿宋_GBK" w:eastAsia="方正仿宋_GBK" w:cs="Times New Roman"/>
          <w:b w:val="0"/>
          <w:bCs w:val="0"/>
          <w:kern w:val="2"/>
          <w:sz w:val="32"/>
          <w:szCs w:val="32"/>
          <w:lang w:val="en-US" w:eastAsia="zh-CN" w:bidi="ar-SA"/>
        </w:rPr>
        <w:t>1</w:t>
      </w:r>
      <w:r>
        <w:rPr>
          <w:rFonts w:hint="eastAsia" w:ascii="Times New Roman" w:hAnsi="方正仿宋_GBK" w:eastAsia="方正仿宋_GBK" w:cs="Times New Roman"/>
          <w:b w:val="0"/>
          <w:bCs w:val="0"/>
          <w:kern w:val="2"/>
          <w:sz w:val="32"/>
          <w:szCs w:val="32"/>
          <w:lang w:val="en-US" w:eastAsia="zh-CN" w:bidi="ar-SA"/>
        </w:rPr>
        <w:t>个，参照公务员法管理的事业单位3个，其他事业单位5个。</w:t>
      </w:r>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t>纳入四川省巴中市财政局2019年度部门决算编制范围的二级预算单位包括：</w:t>
      </w:r>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bookmarkStart w:id="22" w:name="_Toc15378449"/>
      <w:bookmarkStart w:id="23" w:name="_Toc15377433"/>
      <w:bookmarkStart w:id="24" w:name="_Toc15377202"/>
      <w:bookmarkStart w:id="25" w:name="_Toc15306276"/>
      <w:r>
        <w:rPr>
          <w:rFonts w:hint="eastAsia" w:ascii="Times New Roman" w:hAnsi="方正仿宋_GBK" w:eastAsia="方正仿宋_GBK" w:cs="Times New Roman"/>
          <w:b w:val="0"/>
          <w:bCs w:val="0"/>
          <w:kern w:val="2"/>
          <w:sz w:val="32"/>
          <w:szCs w:val="32"/>
          <w:lang w:val="en-US" w:eastAsia="zh-CN" w:bidi="ar-SA"/>
        </w:rPr>
        <w:t>1.</w:t>
      </w:r>
      <w:r>
        <w:rPr>
          <w:rFonts w:hint="eastAsia" w:hAnsi="方正仿宋_GBK" w:eastAsia="方正仿宋_GBK" w:cs="Times New Roman"/>
          <w:b w:val="0"/>
          <w:bCs w:val="0"/>
          <w:kern w:val="2"/>
          <w:sz w:val="32"/>
          <w:szCs w:val="32"/>
          <w:lang w:val="en-US" w:eastAsia="zh-CN" w:bidi="ar-SA"/>
        </w:rPr>
        <w:t>巴中市财政局机关</w:t>
      </w:r>
      <w:bookmarkStart w:id="77" w:name="_GoBack"/>
      <w:bookmarkEnd w:id="77"/>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t>2.巴中市财政国库支付中心</w:t>
      </w:r>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t>3.巴中市财政监督局</w:t>
      </w:r>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t>4.巴中市财政票管中心</w:t>
      </w:r>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t>5.巴中市财政投资评审中心</w:t>
      </w:r>
      <w:bookmarkEnd w:id="22"/>
      <w:bookmarkEnd w:id="23"/>
      <w:bookmarkEnd w:id="24"/>
      <w:bookmarkEnd w:id="25"/>
    </w:p>
    <w:p>
      <w:pPr>
        <w:spacing w:line="580" w:lineRule="exact"/>
        <w:ind w:firstLine="640" w:firstLineChars="200"/>
        <w:rPr>
          <w:rFonts w:hint="eastAsia" w:hAnsi="方正仿宋_GBK" w:eastAsia="方正仿宋_GBK" w:cs="Times New Roman"/>
          <w:b w:val="0"/>
          <w:bCs w:val="0"/>
          <w:kern w:val="2"/>
          <w:sz w:val="32"/>
          <w:szCs w:val="32"/>
          <w:lang w:val="en-US" w:eastAsia="zh-CN" w:bidi="ar-SA"/>
        </w:rPr>
      </w:pPr>
      <w:r>
        <w:rPr>
          <w:rFonts w:hint="eastAsia" w:hAnsi="方正仿宋_GBK" w:eastAsia="方正仿宋_GBK" w:cs="Times New Roman"/>
          <w:b w:val="0"/>
          <w:bCs w:val="0"/>
          <w:kern w:val="2"/>
          <w:sz w:val="32"/>
          <w:szCs w:val="32"/>
          <w:lang w:val="en-US" w:eastAsia="zh-CN" w:bidi="ar-SA"/>
        </w:rPr>
        <w:t>6.巴中市财政科学研究所</w:t>
      </w:r>
    </w:p>
    <w:p>
      <w:pPr>
        <w:spacing w:line="580" w:lineRule="exact"/>
        <w:ind w:firstLine="640" w:firstLineChars="200"/>
        <w:rPr>
          <w:rFonts w:hint="eastAsia" w:hAnsi="方正仿宋_GBK" w:eastAsia="方正仿宋_GBK" w:cs="Times New Roman"/>
          <w:b w:val="0"/>
          <w:bCs w:val="0"/>
          <w:kern w:val="2"/>
          <w:sz w:val="32"/>
          <w:szCs w:val="32"/>
          <w:lang w:val="en-US" w:eastAsia="zh-CN" w:bidi="ar-SA"/>
        </w:rPr>
      </w:pPr>
      <w:r>
        <w:rPr>
          <w:rFonts w:hint="eastAsia" w:hAnsi="方正仿宋_GBK" w:eastAsia="方正仿宋_GBK" w:cs="Times New Roman"/>
          <w:b w:val="0"/>
          <w:bCs w:val="0"/>
          <w:kern w:val="2"/>
          <w:sz w:val="32"/>
          <w:szCs w:val="32"/>
          <w:lang w:val="en-US" w:eastAsia="zh-CN" w:bidi="ar-SA"/>
        </w:rPr>
        <w:t>7.巴中市财政局罚没物资中心</w:t>
      </w:r>
    </w:p>
    <w:p>
      <w:pPr>
        <w:spacing w:line="580" w:lineRule="exact"/>
        <w:ind w:firstLine="640" w:firstLineChars="200"/>
        <w:rPr>
          <w:rFonts w:hint="eastAsia" w:hAnsi="方正仿宋_GBK" w:eastAsia="方正仿宋_GBK" w:cs="Times New Roman"/>
          <w:b w:val="0"/>
          <w:bCs w:val="0"/>
          <w:kern w:val="2"/>
          <w:sz w:val="32"/>
          <w:szCs w:val="32"/>
          <w:lang w:val="en-US" w:eastAsia="zh-CN" w:bidi="ar-SA"/>
        </w:rPr>
      </w:pPr>
      <w:r>
        <w:rPr>
          <w:rFonts w:hint="eastAsia" w:hAnsi="方正仿宋_GBK" w:eastAsia="方正仿宋_GBK" w:cs="Times New Roman"/>
          <w:b w:val="0"/>
          <w:bCs w:val="0"/>
          <w:kern w:val="2"/>
          <w:sz w:val="32"/>
          <w:szCs w:val="32"/>
          <w:lang w:val="en-US" w:eastAsia="zh-CN" w:bidi="ar-SA"/>
        </w:rPr>
        <w:t>8.巴中市财政信息中心</w:t>
      </w:r>
    </w:p>
    <w:p>
      <w:pPr>
        <w:spacing w:line="580" w:lineRule="exact"/>
        <w:ind w:firstLine="640" w:firstLineChars="200"/>
        <w:rPr>
          <w:rFonts w:hint="default" w:hAnsi="方正仿宋_GBK" w:eastAsia="方正仿宋_GBK" w:cs="Times New Roman"/>
          <w:b w:val="0"/>
          <w:bCs w:val="0"/>
          <w:kern w:val="2"/>
          <w:sz w:val="32"/>
          <w:szCs w:val="32"/>
          <w:lang w:val="en-US" w:eastAsia="zh-CN" w:bidi="ar-SA"/>
        </w:rPr>
      </w:pPr>
      <w:r>
        <w:rPr>
          <w:rFonts w:hint="eastAsia" w:hAnsi="方正仿宋_GBK" w:eastAsia="方正仿宋_GBK" w:cs="Times New Roman"/>
          <w:b w:val="0"/>
          <w:bCs w:val="0"/>
          <w:kern w:val="2"/>
          <w:sz w:val="32"/>
          <w:szCs w:val="32"/>
          <w:lang w:val="en-US" w:eastAsia="zh-CN" w:bidi="ar-SA"/>
        </w:rPr>
        <w:t>9.巴中市政府和社会资本合作中心</w:t>
      </w:r>
    </w:p>
    <w:p>
      <w:pPr>
        <w:spacing w:line="580" w:lineRule="exact"/>
        <w:ind w:firstLine="640" w:firstLineChars="200"/>
        <w:rPr>
          <w:rFonts w:hint="eastAsia" w:ascii="Times New Roman" w:hAnsi="方正仿宋_GBK" w:eastAsia="方正仿宋_GBK" w:cs="Times New Roman"/>
          <w:b w:val="0"/>
          <w:bCs w:val="0"/>
          <w:kern w:val="2"/>
          <w:sz w:val="32"/>
          <w:szCs w:val="32"/>
          <w:lang w:val="en-US" w:eastAsia="zh-CN" w:bidi="ar-SA"/>
        </w:rPr>
      </w:pPr>
      <w:r>
        <w:rPr>
          <w:rFonts w:hint="eastAsia" w:ascii="Times New Roman" w:hAnsi="方正仿宋_GBK" w:eastAsia="方正仿宋_GBK" w:cs="Times New Roman"/>
          <w:b w:val="0"/>
          <w:bCs w:val="0"/>
          <w:kern w:val="2"/>
          <w:sz w:val="32"/>
          <w:szCs w:val="32"/>
          <w:lang w:val="en-US" w:eastAsia="zh-CN" w:bidi="ar-SA"/>
        </w:rPr>
        <w:br w:type="page"/>
      </w:r>
    </w:p>
    <w:p>
      <w:pPr>
        <w:pStyle w:val="2"/>
        <w:ind w:right="440"/>
        <w:jc w:val="right"/>
      </w:pPr>
      <w:bookmarkStart w:id="26" w:name="_Toc15377204"/>
      <w:bookmarkStart w:id="27" w:name="_Toc15396602"/>
      <w:r>
        <w:rPr>
          <w:rFonts w:hint="eastAsia" w:ascii="黑体" w:hAnsi="黑体" w:eastAsia="黑体"/>
          <w:b/>
          <w:bCs w:val="0"/>
          <w:color w:val="000000"/>
        </w:rPr>
        <w:t xml:space="preserve">第二部分 </w:t>
      </w:r>
      <w:r>
        <w:rPr>
          <w:rStyle w:val="32"/>
          <w:rFonts w:hint="eastAsia" w:ascii="黑体" w:hAnsi="黑体" w:eastAsia="黑体"/>
          <w:b/>
          <w:bCs w:val="0"/>
        </w:rPr>
        <w:t>2019年度部门决算情况说明</w:t>
      </w:r>
      <w:bookmarkEnd w:id="26"/>
      <w:bookmarkEnd w:id="27"/>
    </w:p>
    <w:p>
      <w:pPr>
        <w:pStyle w:val="31"/>
        <w:numPr>
          <w:ilvl w:val="0"/>
          <w:numId w:val="1"/>
        </w:numPr>
        <w:spacing w:line="600" w:lineRule="exact"/>
        <w:ind w:firstLineChars="0"/>
        <w:outlineLvl w:val="1"/>
        <w:rPr>
          <w:rStyle w:val="33"/>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33"/>
          <w:rFonts w:hint="eastAsia" w:ascii="黑体" w:hAnsi="黑体" w:eastAsia="黑体"/>
          <w:b w:val="0"/>
        </w:rPr>
        <w:t>入支出决算总体情况说明</w:t>
      </w:r>
      <w:bookmarkEnd w:id="28"/>
      <w:bookmarkEnd w:id="29"/>
    </w:p>
    <w:p>
      <w:pPr>
        <w:spacing w:line="60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2019年度收</w:t>
      </w:r>
      <w:r>
        <w:rPr>
          <w:rFonts w:hint="eastAsia" w:ascii="方正仿宋_GBK" w:hAnsi="方正仿宋_GBK" w:eastAsia="方正仿宋_GBK" w:cs="方正仿宋_GBK"/>
          <w:color w:val="000000"/>
          <w:sz w:val="32"/>
          <w:szCs w:val="32"/>
          <w:lang w:eastAsia="zh-CN"/>
        </w:rPr>
        <w:t>入</w:t>
      </w:r>
      <w:r>
        <w:rPr>
          <w:rFonts w:hint="eastAsia" w:ascii="方正仿宋_GBK" w:hAnsi="方正仿宋_GBK" w:eastAsia="方正仿宋_GBK" w:cs="方正仿宋_GBK"/>
          <w:color w:val="000000"/>
          <w:sz w:val="32"/>
          <w:szCs w:val="32"/>
        </w:rPr>
        <w:t>总计</w:t>
      </w:r>
      <w:r>
        <w:rPr>
          <w:rFonts w:hint="eastAsia" w:ascii="方正仿宋_GBK" w:hAnsi="方正仿宋_GBK" w:eastAsia="方正仿宋_GBK" w:cs="方正仿宋_GBK"/>
          <w:color w:val="000000"/>
          <w:sz w:val="32"/>
          <w:szCs w:val="32"/>
          <w:lang w:val="en-US" w:eastAsia="zh-CN"/>
        </w:rPr>
        <w:t>2404.4万元，支出总计2487.65</w:t>
      </w:r>
      <w:r>
        <w:rPr>
          <w:rFonts w:hint="eastAsia" w:ascii="方正仿宋_GBK" w:hAnsi="方正仿宋_GBK" w:eastAsia="方正仿宋_GBK" w:cs="方正仿宋_GBK"/>
          <w:color w:val="000000"/>
          <w:sz w:val="32"/>
          <w:szCs w:val="32"/>
        </w:rPr>
        <w:t>万元。与2018年相比，收</w:t>
      </w:r>
      <w:r>
        <w:rPr>
          <w:rFonts w:hint="eastAsia" w:ascii="方正仿宋_GBK" w:hAnsi="方正仿宋_GBK" w:eastAsia="方正仿宋_GBK" w:cs="方正仿宋_GBK"/>
          <w:color w:val="000000"/>
          <w:sz w:val="32"/>
          <w:szCs w:val="32"/>
          <w:lang w:eastAsia="zh-CN"/>
        </w:rPr>
        <w:t>入</w:t>
      </w:r>
      <w:r>
        <w:rPr>
          <w:rFonts w:hint="eastAsia" w:ascii="方正仿宋_GBK" w:hAnsi="方正仿宋_GBK" w:eastAsia="方正仿宋_GBK" w:cs="方正仿宋_GBK"/>
          <w:color w:val="000000"/>
          <w:sz w:val="32"/>
          <w:szCs w:val="32"/>
        </w:rPr>
        <w:t>总计减少</w:t>
      </w:r>
      <w:r>
        <w:rPr>
          <w:rFonts w:hint="eastAsia" w:ascii="方正仿宋_GBK" w:hAnsi="方正仿宋_GBK" w:eastAsia="方正仿宋_GBK" w:cs="方正仿宋_GBK"/>
          <w:color w:val="000000"/>
          <w:sz w:val="32"/>
          <w:szCs w:val="32"/>
          <w:lang w:val="en-US" w:eastAsia="zh-CN"/>
        </w:rPr>
        <w:t>215.36万元，</w:t>
      </w:r>
      <w:r>
        <w:rPr>
          <w:rFonts w:hint="eastAsia" w:ascii="方正仿宋_GBK" w:hAnsi="方正仿宋_GBK" w:eastAsia="方正仿宋_GBK" w:cs="方正仿宋_GBK"/>
          <w:color w:val="000000"/>
          <w:sz w:val="32"/>
          <w:szCs w:val="32"/>
        </w:rPr>
        <w:t>下降</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%、支</w:t>
      </w:r>
      <w:r>
        <w:rPr>
          <w:rFonts w:hint="eastAsia" w:ascii="方正仿宋_GBK" w:hAnsi="方正仿宋_GBK" w:eastAsia="方正仿宋_GBK" w:cs="方正仿宋_GBK"/>
          <w:color w:val="000000"/>
          <w:sz w:val="32"/>
          <w:szCs w:val="32"/>
          <w:lang w:eastAsia="zh-CN"/>
        </w:rPr>
        <w:t>出</w:t>
      </w:r>
      <w:r>
        <w:rPr>
          <w:rFonts w:hint="eastAsia" w:ascii="方正仿宋_GBK" w:hAnsi="方正仿宋_GBK" w:eastAsia="方正仿宋_GBK" w:cs="方正仿宋_GBK"/>
          <w:color w:val="000000"/>
          <w:sz w:val="32"/>
          <w:szCs w:val="32"/>
        </w:rPr>
        <w:t>总计</w:t>
      </w:r>
      <w:r>
        <w:rPr>
          <w:rFonts w:hint="eastAsia" w:ascii="方正仿宋_GBK" w:hAnsi="方正仿宋_GBK" w:eastAsia="方正仿宋_GBK" w:cs="方正仿宋_GBK"/>
          <w:color w:val="000000"/>
          <w:sz w:val="32"/>
          <w:szCs w:val="32"/>
          <w:lang w:eastAsia="zh-CN"/>
        </w:rPr>
        <w:t>增加</w:t>
      </w:r>
      <w:r>
        <w:rPr>
          <w:rFonts w:hint="eastAsia" w:ascii="方正仿宋_GBK" w:hAnsi="方正仿宋_GBK" w:eastAsia="方正仿宋_GBK" w:cs="方正仿宋_GBK"/>
          <w:color w:val="000000"/>
          <w:sz w:val="32"/>
          <w:szCs w:val="32"/>
          <w:lang w:val="en-US" w:eastAsia="zh-CN"/>
        </w:rPr>
        <w:t>22.32</w:t>
      </w:r>
      <w:r>
        <w:rPr>
          <w:rFonts w:hint="eastAsia" w:ascii="方正仿宋_GBK" w:hAnsi="方正仿宋_GBK" w:eastAsia="方正仿宋_GBK" w:cs="方正仿宋_GBK"/>
          <w:color w:val="000000"/>
          <w:sz w:val="32"/>
          <w:szCs w:val="32"/>
        </w:rPr>
        <w:t>万元，</w:t>
      </w:r>
      <w:r>
        <w:rPr>
          <w:rFonts w:hint="eastAsia" w:ascii="方正仿宋_GBK" w:hAnsi="方正仿宋_GBK" w:eastAsia="方正仿宋_GBK" w:cs="方正仿宋_GBK"/>
          <w:color w:val="000000"/>
          <w:sz w:val="32"/>
          <w:szCs w:val="32"/>
          <w:lang w:eastAsia="zh-CN"/>
        </w:rPr>
        <w:t>增长</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主要变动原因是财政严格执行中央八项规定，厉行节约减少一般公共服务支出预算。</w:t>
      </w:r>
    </w:p>
    <w:p>
      <w:pPr>
        <w:spacing w:line="600" w:lineRule="exact"/>
        <w:ind w:firstLine="640" w:firstLineChars="200"/>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图1：收、支决算总计变动情况图</w:t>
      </w:r>
    </w:p>
    <w:p>
      <w:pPr>
        <w:spacing w:line="600" w:lineRule="exact"/>
        <w:ind w:firstLine="640" w:firstLineChars="200"/>
        <w:jc w:val="center"/>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（单位：万元）</w:t>
      </w:r>
    </w:p>
    <w:p>
      <w:pPr>
        <w:spacing w:line="600" w:lineRule="exact"/>
        <w:ind w:firstLine="420" w:firstLineChars="200"/>
        <w:rPr>
          <w:rFonts w:hint="eastAsia" w:ascii="仿宋" w:hAnsi="仿宋" w:eastAsia="仿宋"/>
          <w:color w:val="000000" w:themeColor="text1"/>
          <w:sz w:val="32"/>
          <w:szCs w:val="32"/>
          <w:lang w:eastAsia="zh-CN"/>
        </w:rPr>
      </w:pPr>
      <w:r>
        <w:drawing>
          <wp:anchor distT="0" distB="0" distL="114300" distR="114300" simplePos="0" relativeHeight="251671552" behindDoc="1" locked="0" layoutInCell="1" allowOverlap="1">
            <wp:simplePos x="0" y="0"/>
            <wp:positionH relativeFrom="column">
              <wp:posOffset>295275</wp:posOffset>
            </wp:positionH>
            <wp:positionV relativeFrom="paragraph">
              <wp:posOffset>160655</wp:posOffset>
            </wp:positionV>
            <wp:extent cx="4572000" cy="2176780"/>
            <wp:effectExtent l="4445" t="4445" r="14605" b="952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000000" w:themeColor="text1"/>
          <w:sz w:val="32"/>
          <w:szCs w:val="32"/>
          <w:lang w:eastAsia="zh-CN"/>
        </w:rPr>
      </w:pPr>
    </w:p>
    <w:p>
      <w:pPr>
        <w:spacing w:line="600" w:lineRule="exact"/>
        <w:ind w:firstLine="640" w:firstLineChars="200"/>
        <w:rPr>
          <w:rFonts w:hint="eastAsia" w:ascii="仿宋" w:hAnsi="仿宋" w:eastAsia="仿宋"/>
          <w:color w:val="000000" w:themeColor="text1"/>
          <w:sz w:val="32"/>
          <w:szCs w:val="32"/>
          <w:lang w:eastAsia="zh-CN"/>
        </w:rPr>
      </w:pPr>
    </w:p>
    <w:p>
      <w:pPr>
        <w:spacing w:line="600" w:lineRule="exact"/>
        <w:ind w:firstLine="640" w:firstLineChars="200"/>
        <w:rPr>
          <w:rFonts w:hint="eastAsia" w:ascii="仿宋" w:hAnsi="仿宋" w:eastAsia="仿宋"/>
          <w:color w:val="000000" w:themeColor="text1"/>
          <w:sz w:val="32"/>
          <w:szCs w:val="32"/>
          <w:lang w:eastAsia="zh-CN"/>
        </w:rPr>
      </w:pPr>
    </w:p>
    <w:p>
      <w:pPr>
        <w:spacing w:line="600" w:lineRule="exact"/>
        <w:ind w:firstLine="640" w:firstLineChars="200"/>
        <w:rPr>
          <w:rFonts w:hint="eastAsia" w:ascii="仿宋" w:hAnsi="仿宋" w:eastAsia="仿宋"/>
          <w:color w:val="000000" w:themeColor="text1"/>
          <w:sz w:val="32"/>
          <w:szCs w:val="32"/>
          <w:lang w:eastAsia="zh-CN"/>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31"/>
        <w:numPr>
          <w:ilvl w:val="0"/>
          <w:numId w:val="1"/>
        </w:numPr>
        <w:spacing w:line="600" w:lineRule="exact"/>
        <w:ind w:firstLineChars="0"/>
        <w:outlineLvl w:val="1"/>
        <w:rPr>
          <w:rStyle w:val="33"/>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33"/>
          <w:rFonts w:hint="eastAsia" w:ascii="黑体" w:hAnsi="黑体" w:eastAsia="黑体"/>
          <w:b w:val="0"/>
        </w:rPr>
        <w:t>入决算情况说明</w:t>
      </w:r>
      <w:bookmarkEnd w:id="30"/>
      <w:bookmarkEnd w:id="31"/>
    </w:p>
    <w:p>
      <w:pPr>
        <w:spacing w:line="600" w:lineRule="exact"/>
        <w:ind w:firstLine="640" w:firstLineChars="200"/>
        <w:outlineLvl w:val="1"/>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2019年本年收入合计</w:t>
      </w:r>
      <w:r>
        <w:rPr>
          <w:rFonts w:hint="eastAsia" w:ascii="方正仿宋_GBK" w:hAnsi="方正仿宋_GBK" w:eastAsia="方正仿宋_GBK" w:cs="方正仿宋_GBK"/>
          <w:color w:val="000000"/>
          <w:sz w:val="32"/>
          <w:szCs w:val="32"/>
          <w:lang w:val="en-US" w:eastAsia="zh-CN"/>
        </w:rPr>
        <w:t>2404.4</w:t>
      </w:r>
      <w:r>
        <w:rPr>
          <w:rFonts w:hint="eastAsia" w:ascii="方正仿宋_GBK" w:hAnsi="方正仿宋_GBK" w:eastAsia="方正仿宋_GBK" w:cs="方正仿宋_GBK"/>
          <w:color w:val="000000"/>
          <w:sz w:val="32"/>
          <w:szCs w:val="32"/>
        </w:rPr>
        <w:t>万元，其中：一般公共预算财政拨款收入</w:t>
      </w:r>
      <w:r>
        <w:rPr>
          <w:rFonts w:hint="eastAsia" w:ascii="方正仿宋_GBK" w:hAnsi="方正仿宋_GBK" w:eastAsia="方正仿宋_GBK" w:cs="方正仿宋_GBK"/>
          <w:color w:val="000000"/>
          <w:sz w:val="32"/>
          <w:szCs w:val="32"/>
          <w:lang w:val="en-US" w:eastAsia="zh-CN"/>
        </w:rPr>
        <w:t>2384.72</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99</w:t>
      </w:r>
      <w:r>
        <w:rPr>
          <w:rFonts w:hint="eastAsia" w:ascii="方正仿宋_GBK" w:hAnsi="方正仿宋_GBK" w:eastAsia="方正仿宋_GBK" w:cs="方正仿宋_GBK"/>
          <w:color w:val="000000"/>
          <w:sz w:val="32"/>
          <w:szCs w:val="32"/>
        </w:rPr>
        <w:t>%；政府性基金预算财政拨款收入</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themeColor="text1"/>
          <w:sz w:val="32"/>
          <w:szCs w:val="32"/>
        </w:rPr>
        <w:t>上级补助收入</w:t>
      </w:r>
      <w:r>
        <w:rPr>
          <w:rFonts w:hint="eastAsia" w:ascii="方正仿宋_GBK" w:hAnsi="方正仿宋_GBK" w:eastAsia="方正仿宋_GBK" w:cs="方正仿宋_GBK"/>
          <w:color w:val="000000" w:themeColor="text1"/>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%；事业收入</w:t>
      </w:r>
      <w:r>
        <w:rPr>
          <w:rFonts w:hint="eastAsia" w:ascii="方正仿宋_GBK" w:hAnsi="方正仿宋_GBK" w:eastAsia="方正仿宋_GBK" w:cs="方正仿宋_GBK"/>
          <w:color w:val="000000"/>
          <w:sz w:val="32"/>
          <w:szCs w:val="32"/>
          <w:lang w:val="en-US" w:eastAsia="zh-CN"/>
        </w:rPr>
        <w:t>19.68</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%；经营收入</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%；附属单位上缴收入</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%；其他收入</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w:t>
      </w:r>
    </w:p>
    <w:p>
      <w:pPr>
        <w:spacing w:line="600" w:lineRule="exact"/>
        <w:ind w:firstLine="960" w:firstLineChars="300"/>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图2：收入决算结构图</w:t>
      </w:r>
    </w:p>
    <w:p>
      <w:pPr>
        <w:spacing w:line="600" w:lineRule="exact"/>
        <w:ind w:firstLine="960" w:firstLineChars="300"/>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单位：万元</w:t>
      </w:r>
      <w:r>
        <w:rPr>
          <w:rFonts w:hint="eastAsia" w:ascii="方正仿宋_GBK" w:hAnsi="方正仿宋_GBK" w:eastAsia="方正仿宋_GBK" w:cs="方正仿宋_GBK"/>
          <w:color w:val="000000" w:themeColor="text1"/>
          <w:sz w:val="32"/>
          <w:szCs w:val="32"/>
        </w:rPr>
        <w:t>）</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70528" behindDoc="0" locked="0" layoutInCell="1" allowOverlap="1">
            <wp:simplePos x="0" y="0"/>
            <wp:positionH relativeFrom="column">
              <wp:posOffset>404495</wp:posOffset>
            </wp:positionH>
            <wp:positionV relativeFrom="paragraph">
              <wp:posOffset>190500</wp:posOffset>
            </wp:positionV>
            <wp:extent cx="4516120" cy="1887220"/>
            <wp:effectExtent l="4445" t="4445" r="13335" b="13335"/>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pPr>
    </w:p>
    <w:p>
      <w:pPr>
        <w:pStyle w:val="31"/>
        <w:numPr>
          <w:ilvl w:val="0"/>
          <w:numId w:val="1"/>
        </w:numPr>
        <w:spacing w:line="600" w:lineRule="exact"/>
        <w:ind w:firstLineChars="0"/>
        <w:outlineLvl w:val="1"/>
        <w:rPr>
          <w:rStyle w:val="33"/>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33"/>
          <w:rFonts w:hint="eastAsia" w:ascii="黑体" w:hAnsi="黑体" w:eastAsia="黑体"/>
          <w:b w:val="0"/>
        </w:rPr>
        <w:t>出决算情况说明</w:t>
      </w:r>
      <w:bookmarkEnd w:id="32"/>
      <w:bookmarkEnd w:id="33"/>
    </w:p>
    <w:p>
      <w:pPr>
        <w:spacing w:line="600" w:lineRule="exact"/>
        <w:ind w:firstLine="640" w:firstLineChars="200"/>
        <w:outlineLvl w:val="1"/>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2019年本年支出合计</w:t>
      </w:r>
      <w:r>
        <w:rPr>
          <w:rFonts w:hint="eastAsia" w:ascii="方正仿宋_GBK" w:hAnsi="方正仿宋_GBK" w:eastAsia="方正仿宋_GBK" w:cs="方正仿宋_GBK"/>
          <w:color w:val="000000"/>
          <w:sz w:val="32"/>
          <w:szCs w:val="32"/>
          <w:lang w:val="en-US" w:eastAsia="zh-CN"/>
        </w:rPr>
        <w:t>2487.05</w:t>
      </w:r>
      <w:r>
        <w:rPr>
          <w:rFonts w:hint="eastAsia" w:ascii="方正仿宋_GBK" w:hAnsi="方正仿宋_GBK" w:eastAsia="方正仿宋_GBK" w:cs="方正仿宋_GBK"/>
          <w:color w:val="000000"/>
          <w:sz w:val="32"/>
          <w:szCs w:val="32"/>
        </w:rPr>
        <w:t>万元，其中：基本支出</w:t>
      </w:r>
      <w:r>
        <w:rPr>
          <w:rFonts w:hint="eastAsia" w:ascii="方正仿宋_GBK" w:hAnsi="方正仿宋_GBK" w:eastAsia="方正仿宋_GBK" w:cs="方正仿宋_GBK"/>
          <w:color w:val="000000"/>
          <w:sz w:val="32"/>
          <w:szCs w:val="32"/>
          <w:lang w:val="en-US" w:eastAsia="zh-CN"/>
        </w:rPr>
        <w:t>1516.52</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61</w:t>
      </w:r>
      <w:r>
        <w:rPr>
          <w:rFonts w:hint="eastAsia" w:ascii="方正仿宋_GBK" w:hAnsi="方正仿宋_GBK" w:eastAsia="方正仿宋_GBK" w:cs="方正仿宋_GBK"/>
          <w:color w:val="000000"/>
          <w:sz w:val="32"/>
          <w:szCs w:val="32"/>
        </w:rPr>
        <w:t>%；项目支出</w:t>
      </w:r>
      <w:r>
        <w:rPr>
          <w:rFonts w:hint="eastAsia" w:ascii="方正仿宋_GBK" w:hAnsi="方正仿宋_GBK" w:eastAsia="方正仿宋_GBK" w:cs="方正仿宋_GBK"/>
          <w:color w:val="000000"/>
          <w:sz w:val="32"/>
          <w:szCs w:val="32"/>
          <w:lang w:val="en-US" w:eastAsia="zh-CN"/>
        </w:rPr>
        <w:t>970.53</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39</w:t>
      </w:r>
      <w:r>
        <w:rPr>
          <w:rFonts w:hint="eastAsia" w:ascii="方正仿宋_GBK" w:hAnsi="方正仿宋_GBK" w:eastAsia="方正仿宋_GBK" w:cs="方正仿宋_GBK"/>
          <w:color w:val="000000"/>
          <w:sz w:val="32"/>
          <w:szCs w:val="32"/>
        </w:rPr>
        <w:t>%；上缴上级支出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%；经营支出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%；对附属单位补助支出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w:t>
      </w:r>
    </w:p>
    <w:p>
      <w:pPr>
        <w:spacing w:line="600" w:lineRule="exact"/>
        <w:ind w:firstLine="640" w:firstLineChars="200"/>
        <w:jc w:val="center"/>
        <w:rPr>
          <w:rFonts w:hint="eastAsia" w:ascii="方正仿宋_GBK" w:hAnsi="方正仿宋_GBK" w:eastAsia="方正仿宋_GBK" w:cs="方正仿宋_GBK"/>
          <w:color w:val="000000" w:themeColor="text1"/>
          <w:sz w:val="32"/>
          <w:szCs w:val="32"/>
        </w:rPr>
      </w:pPr>
    </w:p>
    <w:p>
      <w:pPr>
        <w:spacing w:line="600" w:lineRule="exact"/>
        <w:ind w:firstLine="640" w:firstLineChars="200"/>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图3：支出决算结构图</w:t>
      </w:r>
    </w:p>
    <w:p>
      <w:pPr>
        <w:spacing w:line="600" w:lineRule="exact"/>
        <w:ind w:firstLine="640" w:firstLineChars="200"/>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单位：万元</w:t>
      </w:r>
      <w:r>
        <w:rPr>
          <w:rFonts w:hint="eastAsia" w:ascii="方正仿宋_GBK" w:hAnsi="方正仿宋_GBK" w:eastAsia="方正仿宋_GBK" w:cs="方正仿宋_GBK"/>
          <w:color w:val="000000" w:themeColor="text1"/>
          <w:sz w:val="32"/>
          <w:szCs w:val="32"/>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pPr>
    </w:p>
    <w:p>
      <w:pPr>
        <w:spacing w:line="600" w:lineRule="exact"/>
        <w:ind w:firstLine="420" w:firstLineChars="200"/>
      </w:pPr>
      <w:r>
        <w:drawing>
          <wp:anchor distT="0" distB="0" distL="114300" distR="114300" simplePos="0" relativeHeight="251660288" behindDoc="0" locked="0" layoutInCell="1" allowOverlap="1">
            <wp:simplePos x="0" y="0"/>
            <wp:positionH relativeFrom="column">
              <wp:posOffset>271145</wp:posOffset>
            </wp:positionH>
            <wp:positionV relativeFrom="paragraph">
              <wp:posOffset>-1443355</wp:posOffset>
            </wp:positionV>
            <wp:extent cx="4572000" cy="1956435"/>
            <wp:effectExtent l="5080" t="4445" r="13970" b="20320"/>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outlineLvl w:val="1"/>
        <w:rPr>
          <w:rFonts w:hint="eastAsia" w:ascii="黑体" w:hAnsi="黑体" w:eastAsia="黑体"/>
          <w:color w:val="000000"/>
          <w:sz w:val="32"/>
          <w:szCs w:val="32"/>
        </w:rPr>
      </w:pPr>
      <w:bookmarkStart w:id="34" w:name="_Toc15396606"/>
      <w:bookmarkStart w:id="35" w:name="_Toc15377208"/>
    </w:p>
    <w:p>
      <w:pPr>
        <w:spacing w:line="600" w:lineRule="exact"/>
        <w:ind w:firstLine="640" w:firstLineChars="200"/>
        <w:outlineLvl w:val="1"/>
        <w:rPr>
          <w:rStyle w:val="33"/>
          <w:rFonts w:ascii="黑体" w:hAnsi="黑体" w:eastAsia="黑体"/>
          <w:b w:val="0"/>
        </w:rPr>
      </w:pPr>
      <w:r>
        <w:rPr>
          <w:rFonts w:hint="eastAsia" w:ascii="黑体" w:hAnsi="黑体" w:eastAsia="黑体"/>
          <w:color w:val="000000"/>
          <w:sz w:val="32"/>
          <w:szCs w:val="32"/>
        </w:rPr>
        <w:t>四、财</w:t>
      </w:r>
      <w:r>
        <w:rPr>
          <w:rStyle w:val="33"/>
          <w:rFonts w:hint="eastAsia" w:ascii="黑体" w:hAnsi="黑体" w:eastAsia="黑体"/>
          <w:b w:val="0"/>
        </w:rPr>
        <w:t>政拨款收入支出决算总体情况说明</w:t>
      </w:r>
      <w:bookmarkEnd w:id="34"/>
      <w:bookmarkEnd w:id="35"/>
    </w:p>
    <w:p>
      <w:pPr>
        <w:spacing w:line="600" w:lineRule="exact"/>
        <w:ind w:firstLine="64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2019年财政拨款收</w:t>
      </w:r>
      <w:r>
        <w:rPr>
          <w:rFonts w:hint="eastAsia" w:ascii="方正仿宋_GBK" w:hAnsi="方正仿宋_GBK" w:eastAsia="方正仿宋_GBK" w:cs="方正仿宋_GBK"/>
          <w:color w:val="000000"/>
          <w:sz w:val="32"/>
          <w:szCs w:val="32"/>
          <w:lang w:eastAsia="zh-CN"/>
        </w:rPr>
        <w:t>入总计</w:t>
      </w:r>
      <w:r>
        <w:rPr>
          <w:rFonts w:hint="eastAsia" w:ascii="方正仿宋_GBK" w:hAnsi="方正仿宋_GBK" w:eastAsia="方正仿宋_GBK" w:cs="方正仿宋_GBK"/>
          <w:color w:val="000000"/>
          <w:sz w:val="32"/>
          <w:szCs w:val="32"/>
          <w:lang w:val="en-US" w:eastAsia="zh-CN"/>
        </w:rPr>
        <w:t>2384.72万元</w:t>
      </w:r>
      <w:r>
        <w:rPr>
          <w:rFonts w:hint="eastAsia" w:ascii="方正仿宋_GBK" w:hAnsi="方正仿宋_GBK" w:eastAsia="方正仿宋_GBK" w:cs="方正仿宋_GBK"/>
          <w:color w:val="000000"/>
          <w:sz w:val="32"/>
          <w:szCs w:val="32"/>
        </w:rPr>
        <w:t>、支</w:t>
      </w:r>
      <w:r>
        <w:rPr>
          <w:rFonts w:hint="eastAsia" w:ascii="方正仿宋_GBK" w:hAnsi="方正仿宋_GBK" w:eastAsia="方正仿宋_GBK" w:cs="方正仿宋_GBK"/>
          <w:color w:val="000000"/>
          <w:sz w:val="32"/>
          <w:szCs w:val="32"/>
          <w:lang w:eastAsia="zh-CN"/>
        </w:rPr>
        <w:t>出</w:t>
      </w:r>
      <w:r>
        <w:rPr>
          <w:rFonts w:hint="eastAsia" w:ascii="方正仿宋_GBK" w:hAnsi="方正仿宋_GBK" w:eastAsia="方正仿宋_GBK" w:cs="方正仿宋_GBK"/>
          <w:color w:val="000000"/>
          <w:sz w:val="32"/>
          <w:szCs w:val="32"/>
        </w:rPr>
        <w:t>总计</w:t>
      </w:r>
      <w:r>
        <w:rPr>
          <w:rFonts w:hint="eastAsia" w:ascii="方正仿宋_GBK" w:hAnsi="方正仿宋_GBK" w:eastAsia="方正仿宋_GBK" w:cs="方正仿宋_GBK"/>
          <w:color w:val="000000"/>
          <w:sz w:val="32"/>
          <w:szCs w:val="32"/>
          <w:lang w:val="en-US" w:eastAsia="zh-CN"/>
        </w:rPr>
        <w:t>2487.05</w:t>
      </w:r>
      <w:r>
        <w:rPr>
          <w:rFonts w:hint="eastAsia" w:ascii="方正仿宋_GBK" w:hAnsi="方正仿宋_GBK" w:eastAsia="方正仿宋_GBK" w:cs="方正仿宋_GBK"/>
          <w:color w:val="000000"/>
          <w:sz w:val="32"/>
          <w:szCs w:val="32"/>
        </w:rPr>
        <w:t>万元。与2018年相比，财政拨款收</w:t>
      </w:r>
      <w:r>
        <w:rPr>
          <w:rFonts w:hint="eastAsia" w:ascii="方正仿宋_GBK" w:hAnsi="方正仿宋_GBK" w:eastAsia="方正仿宋_GBK" w:cs="方正仿宋_GBK"/>
          <w:color w:val="000000"/>
          <w:sz w:val="32"/>
          <w:szCs w:val="32"/>
          <w:lang w:eastAsia="zh-CN"/>
        </w:rPr>
        <w:t>入总计</w:t>
      </w:r>
      <w:r>
        <w:rPr>
          <w:rFonts w:hint="eastAsia" w:ascii="方正仿宋_GBK" w:hAnsi="方正仿宋_GBK" w:eastAsia="方正仿宋_GBK" w:cs="方正仿宋_GBK"/>
          <w:color w:val="000000"/>
          <w:sz w:val="32"/>
          <w:szCs w:val="32"/>
        </w:rPr>
        <w:t>减少</w:t>
      </w:r>
      <w:r>
        <w:rPr>
          <w:rFonts w:hint="eastAsia" w:ascii="方正仿宋_GBK" w:hAnsi="方正仿宋_GBK" w:eastAsia="方正仿宋_GBK" w:cs="方正仿宋_GBK"/>
          <w:color w:val="000000"/>
          <w:sz w:val="32"/>
          <w:szCs w:val="32"/>
          <w:lang w:val="en-US" w:eastAsia="zh-CN"/>
        </w:rPr>
        <w:t>235.04</w:t>
      </w:r>
      <w:r>
        <w:rPr>
          <w:rFonts w:hint="eastAsia" w:ascii="方正仿宋_GBK" w:hAnsi="方正仿宋_GBK" w:eastAsia="方正仿宋_GBK" w:cs="方正仿宋_GBK"/>
          <w:color w:val="000000"/>
          <w:sz w:val="32"/>
          <w:szCs w:val="32"/>
        </w:rPr>
        <w:t>万元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下降</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%、支</w:t>
      </w:r>
      <w:r>
        <w:rPr>
          <w:rFonts w:hint="eastAsia" w:ascii="方正仿宋_GBK" w:hAnsi="方正仿宋_GBK" w:eastAsia="方正仿宋_GBK" w:cs="方正仿宋_GBK"/>
          <w:color w:val="000000"/>
          <w:sz w:val="32"/>
          <w:szCs w:val="32"/>
          <w:lang w:eastAsia="zh-CN"/>
        </w:rPr>
        <w:t>出</w:t>
      </w:r>
      <w:r>
        <w:rPr>
          <w:rFonts w:hint="eastAsia" w:ascii="方正仿宋_GBK" w:hAnsi="方正仿宋_GBK" w:eastAsia="方正仿宋_GBK" w:cs="方正仿宋_GBK"/>
          <w:color w:val="000000"/>
          <w:sz w:val="32"/>
          <w:szCs w:val="32"/>
        </w:rPr>
        <w:t>总计</w:t>
      </w:r>
      <w:r>
        <w:rPr>
          <w:rFonts w:hint="eastAsia" w:ascii="方正仿宋_GBK" w:hAnsi="方正仿宋_GBK" w:eastAsia="方正仿宋_GBK" w:cs="方正仿宋_GBK"/>
          <w:color w:val="000000"/>
          <w:sz w:val="32"/>
          <w:szCs w:val="32"/>
          <w:lang w:val="en-US" w:eastAsia="zh-CN"/>
        </w:rPr>
        <w:t>2487.65</w:t>
      </w:r>
      <w:r>
        <w:rPr>
          <w:rFonts w:hint="eastAsia" w:ascii="方正仿宋_GBK" w:hAnsi="方正仿宋_GBK" w:eastAsia="方正仿宋_GBK" w:cs="方正仿宋_GBK"/>
          <w:color w:val="000000"/>
          <w:sz w:val="32"/>
          <w:szCs w:val="32"/>
        </w:rPr>
        <w:t>万元，</w:t>
      </w:r>
      <w:r>
        <w:rPr>
          <w:rFonts w:hint="eastAsia" w:ascii="方正仿宋_GBK" w:hAnsi="方正仿宋_GBK" w:eastAsia="方正仿宋_GBK" w:cs="方正仿宋_GBK"/>
          <w:color w:val="000000"/>
          <w:sz w:val="32"/>
          <w:szCs w:val="32"/>
          <w:lang w:eastAsia="zh-CN"/>
        </w:rPr>
        <w:t>支出总计增长</w:t>
      </w:r>
      <w:r>
        <w:rPr>
          <w:rFonts w:hint="eastAsia" w:ascii="方正仿宋_GBK" w:hAnsi="方正仿宋_GBK" w:eastAsia="方正仿宋_GBK" w:cs="方正仿宋_GBK"/>
          <w:color w:val="000000"/>
          <w:sz w:val="32"/>
          <w:szCs w:val="32"/>
          <w:lang w:val="en-US" w:eastAsia="zh-CN"/>
        </w:rPr>
        <w:t>22.32万元，</w:t>
      </w:r>
      <w:r>
        <w:rPr>
          <w:rFonts w:hint="eastAsia" w:ascii="方正仿宋_GBK" w:hAnsi="方正仿宋_GBK" w:eastAsia="方正仿宋_GBK" w:cs="方正仿宋_GBK"/>
          <w:color w:val="000000"/>
          <w:sz w:val="32"/>
          <w:szCs w:val="32"/>
        </w:rPr>
        <w:t>增长</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%。主要变动原因</w:t>
      </w:r>
      <w:r>
        <w:rPr>
          <w:rFonts w:hint="eastAsia" w:ascii="方正仿宋_GBK" w:hAnsi="方正仿宋_GBK" w:eastAsia="方正仿宋_GBK" w:cs="方正仿宋_GBK"/>
          <w:color w:val="000000"/>
          <w:sz w:val="32"/>
          <w:szCs w:val="32"/>
          <w:lang w:eastAsia="zh-CN"/>
        </w:rPr>
        <w:t>严格执行中央八项规定、厉行节约，财政统一压缩一般公共支出</w:t>
      </w:r>
      <w:r>
        <w:rPr>
          <w:rFonts w:hint="eastAsia" w:ascii="方正仿宋_GBK" w:hAnsi="方正仿宋_GBK" w:eastAsia="方正仿宋_GBK" w:cs="方正仿宋_GBK"/>
          <w:color w:val="000000"/>
          <w:sz w:val="32"/>
          <w:szCs w:val="32"/>
          <w:lang w:val="en-US" w:eastAsia="zh-CN"/>
        </w:rPr>
        <w:t>5%。2019年财政统一为市级部门配备电算化软件，增加采购支出117万元。</w:t>
      </w:r>
    </w:p>
    <w:p>
      <w:pPr>
        <w:spacing w:line="600" w:lineRule="exact"/>
        <w:jc w:val="center"/>
        <w:rPr>
          <w:rFonts w:hint="eastAsia" w:ascii="方正仿宋_GBK" w:hAnsi="方正仿宋_GBK" w:eastAsia="方正仿宋_GBK" w:cs="方正仿宋_GBK"/>
          <w:color w:val="000000" w:themeColor="text1"/>
          <w:sz w:val="32"/>
          <w:szCs w:val="32"/>
        </w:rPr>
      </w:pPr>
    </w:p>
    <w:p>
      <w:pPr>
        <w:spacing w:line="600" w:lineRule="exact"/>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图4：财政拨款收、支决算总计变动情况</w:t>
      </w:r>
    </w:p>
    <w:p>
      <w:pPr>
        <w:spacing w:line="600" w:lineRule="exact"/>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单位：万元</w:t>
      </w:r>
      <w:r>
        <w:rPr>
          <w:rFonts w:hint="eastAsia" w:ascii="方正仿宋_GBK" w:hAnsi="方正仿宋_GBK" w:eastAsia="方正仿宋_GBK" w:cs="方正仿宋_GBK"/>
          <w:color w:val="000000" w:themeColor="text1"/>
          <w:sz w:val="32"/>
          <w:szCs w:val="32"/>
        </w:rPr>
        <w:t>）</w:t>
      </w: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r>
        <w:drawing>
          <wp:anchor distT="0" distB="0" distL="114300" distR="114300" simplePos="0" relativeHeight="251661312" behindDoc="0" locked="0" layoutInCell="1" allowOverlap="1">
            <wp:simplePos x="0" y="0"/>
            <wp:positionH relativeFrom="column">
              <wp:posOffset>410845</wp:posOffset>
            </wp:positionH>
            <wp:positionV relativeFrom="paragraph">
              <wp:posOffset>635</wp:posOffset>
            </wp:positionV>
            <wp:extent cx="4572000" cy="1847850"/>
            <wp:effectExtent l="4445" t="4445" r="14605" b="1460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rPr>
          <w:rFonts w:ascii="仿宋" w:hAnsi="仿宋" w:eastAsia="仿宋"/>
          <w:b/>
          <w:color w:val="00B050"/>
          <w:sz w:val="32"/>
          <w:szCs w:val="32"/>
        </w:rPr>
      </w:pPr>
    </w:p>
    <w:p>
      <w:pPr>
        <w:spacing w:line="600" w:lineRule="exact"/>
        <w:ind w:left="638" w:leftChars="304" w:firstLine="0" w:firstLineChars="0"/>
        <w:outlineLvl w:val="1"/>
        <w:rPr>
          <w:rStyle w:val="33"/>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3"/>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default" w:ascii="仿宋" w:hAnsi="仿宋" w:eastAsia="仿宋"/>
          <w:color w:val="000000"/>
          <w:sz w:val="32"/>
          <w:szCs w:val="32"/>
          <w:lang w:val="en-US" w:eastAsia="zh-CN"/>
        </w:rPr>
      </w:pPr>
      <w:r>
        <w:rPr>
          <w:rFonts w:hint="eastAsia" w:ascii="方正仿宋_GBK" w:hAnsi="方正仿宋_GBK" w:eastAsia="方正仿宋_GBK" w:cs="方正仿宋_GBK"/>
          <w:color w:val="000000"/>
          <w:sz w:val="32"/>
          <w:szCs w:val="32"/>
        </w:rPr>
        <w:t>2019年一般公共预算财政拨款支出</w:t>
      </w:r>
      <w:r>
        <w:rPr>
          <w:rFonts w:hint="eastAsia" w:ascii="方正仿宋_GBK" w:hAnsi="方正仿宋_GBK" w:eastAsia="方正仿宋_GBK" w:cs="方正仿宋_GBK"/>
          <w:color w:val="000000"/>
          <w:sz w:val="32"/>
          <w:szCs w:val="32"/>
          <w:lang w:val="en-US" w:eastAsia="zh-CN"/>
        </w:rPr>
        <w:t>2487.05</w:t>
      </w:r>
      <w:r>
        <w:rPr>
          <w:rFonts w:hint="eastAsia" w:ascii="方正仿宋_GBK" w:hAnsi="方正仿宋_GBK" w:eastAsia="方正仿宋_GBK" w:cs="方正仿宋_GBK"/>
          <w:color w:val="000000"/>
          <w:sz w:val="32"/>
          <w:szCs w:val="32"/>
        </w:rPr>
        <w:t>万元，占本年支出合计的</w:t>
      </w:r>
      <w:r>
        <w:rPr>
          <w:rFonts w:hint="eastAsia" w:ascii="方正仿宋_GBK" w:hAnsi="方正仿宋_GBK" w:eastAsia="方正仿宋_GBK" w:cs="方正仿宋_GBK"/>
          <w:color w:val="000000"/>
          <w:sz w:val="32"/>
          <w:szCs w:val="32"/>
          <w:lang w:val="en-US" w:eastAsia="zh-CN"/>
        </w:rPr>
        <w:t>100</w:t>
      </w:r>
      <w:r>
        <w:rPr>
          <w:rFonts w:hint="eastAsia" w:ascii="方正仿宋_GBK" w:hAnsi="方正仿宋_GBK" w:eastAsia="方正仿宋_GBK" w:cs="方正仿宋_GBK"/>
          <w:color w:val="000000"/>
          <w:sz w:val="32"/>
          <w:szCs w:val="32"/>
        </w:rPr>
        <w:t>%。与2018年相比，一般公共预算财政拨款增加</w:t>
      </w:r>
      <w:r>
        <w:rPr>
          <w:rFonts w:hint="eastAsia" w:ascii="方正仿宋_GBK" w:hAnsi="方正仿宋_GBK" w:eastAsia="方正仿宋_GBK" w:cs="方正仿宋_GBK"/>
          <w:color w:val="000000"/>
          <w:sz w:val="32"/>
          <w:szCs w:val="32"/>
          <w:lang w:val="en-US" w:eastAsia="zh-CN"/>
        </w:rPr>
        <w:t>387.98</w:t>
      </w:r>
      <w:r>
        <w:rPr>
          <w:rFonts w:hint="eastAsia" w:ascii="方正仿宋_GBK" w:hAnsi="方正仿宋_GBK" w:eastAsia="方正仿宋_GBK" w:cs="方正仿宋_GBK"/>
          <w:color w:val="000000"/>
          <w:sz w:val="32"/>
          <w:szCs w:val="32"/>
        </w:rPr>
        <w:t>万元，</w:t>
      </w:r>
      <w:r>
        <w:rPr>
          <w:rFonts w:hint="eastAsia" w:ascii="方正仿宋_GBK" w:hAnsi="方正仿宋_GBK" w:eastAsia="方正仿宋_GBK" w:cs="方正仿宋_GBK"/>
          <w:color w:val="000000"/>
          <w:sz w:val="32"/>
          <w:szCs w:val="32"/>
          <w:lang w:eastAsia="zh-CN"/>
        </w:rPr>
        <w:t>增长</w:t>
      </w:r>
      <w:r>
        <w:rPr>
          <w:rFonts w:hint="eastAsia" w:ascii="方正仿宋_GBK" w:hAnsi="方正仿宋_GBK" w:eastAsia="方正仿宋_GBK" w:cs="方正仿宋_GBK"/>
          <w:color w:val="000000"/>
          <w:sz w:val="32"/>
          <w:szCs w:val="32"/>
          <w:lang w:val="en-US" w:eastAsia="zh-CN"/>
        </w:rPr>
        <w:t>18</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主要变动原因是</w:t>
      </w:r>
      <w:r>
        <w:rPr>
          <w:rFonts w:hint="eastAsia" w:ascii="方正仿宋_GBK" w:hAnsi="方正仿宋_GBK" w:eastAsia="方正仿宋_GBK" w:cs="方正仿宋_GBK"/>
          <w:color w:val="000000"/>
          <w:sz w:val="32"/>
          <w:szCs w:val="32"/>
          <w:lang w:val="en-US" w:eastAsia="zh-CN"/>
        </w:rPr>
        <w:t>2018年预算有基金收入300万元，2019年全部纳入</w:t>
      </w:r>
      <w:r>
        <w:rPr>
          <w:rFonts w:hint="eastAsia" w:ascii="方正仿宋_GBK" w:hAnsi="方正仿宋_GBK" w:eastAsia="方正仿宋_GBK" w:cs="方正仿宋_GBK"/>
          <w:color w:val="000000"/>
          <w:sz w:val="32"/>
          <w:szCs w:val="32"/>
        </w:rPr>
        <w:t>一般公共预算财政拨款</w:t>
      </w:r>
      <w:r>
        <w:rPr>
          <w:rFonts w:hint="eastAsia" w:ascii="方正仿宋_GBK" w:hAnsi="方正仿宋_GBK" w:eastAsia="方正仿宋_GBK" w:cs="方正仿宋_GBK"/>
          <w:color w:val="000000"/>
          <w:sz w:val="32"/>
          <w:szCs w:val="32"/>
          <w:lang w:eastAsia="zh-CN"/>
        </w:rPr>
        <w:t>预算，</w:t>
      </w:r>
      <w:r>
        <w:rPr>
          <w:rFonts w:hint="eastAsia" w:ascii="方正仿宋_GBK" w:hAnsi="方正仿宋_GBK" w:eastAsia="方正仿宋_GBK" w:cs="方正仿宋_GBK"/>
          <w:color w:val="000000"/>
          <w:sz w:val="32"/>
          <w:szCs w:val="32"/>
          <w:lang w:val="en-US" w:eastAsia="zh-CN"/>
        </w:rPr>
        <w:t>2019年调入人员3名，人员经费增加。</w:t>
      </w:r>
    </w:p>
    <w:p>
      <w:pPr>
        <w:spacing w:line="600" w:lineRule="exact"/>
        <w:jc w:val="center"/>
        <w:rPr>
          <w:rFonts w:hint="eastAsia" w:ascii="仿宋" w:hAnsi="仿宋" w:eastAsia="仿宋"/>
          <w:color w:val="000000" w:themeColor="text1"/>
          <w:sz w:val="32"/>
          <w:szCs w:val="32"/>
        </w:rPr>
      </w:pPr>
    </w:p>
    <w:p>
      <w:pPr>
        <w:spacing w:line="600" w:lineRule="exact"/>
        <w:jc w:val="center"/>
        <w:rPr>
          <w:rFonts w:hint="eastAsia" w:ascii="仿宋" w:hAnsi="仿宋" w:eastAsia="仿宋"/>
          <w:color w:val="000000" w:themeColor="text1"/>
          <w:sz w:val="32"/>
          <w:szCs w:val="32"/>
        </w:rPr>
      </w:pPr>
    </w:p>
    <w:p>
      <w:pPr>
        <w:spacing w:line="600" w:lineRule="exact"/>
        <w:jc w:val="center"/>
        <w:rPr>
          <w:rFonts w:hint="eastAsia" w:ascii="仿宋" w:hAnsi="仿宋" w:eastAsia="仿宋"/>
          <w:color w:val="000000" w:themeColor="text1"/>
          <w:sz w:val="32"/>
          <w:szCs w:val="32"/>
        </w:rPr>
      </w:pPr>
    </w:p>
    <w:p>
      <w:pPr>
        <w:spacing w:line="600" w:lineRule="exact"/>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图5：一般公共预算财政拨款支出决算变动情况</w:t>
      </w:r>
    </w:p>
    <w:p>
      <w:pPr>
        <w:spacing w:line="600" w:lineRule="exact"/>
        <w:jc w:val="center"/>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单位：万元</w:t>
      </w:r>
      <w:r>
        <w:rPr>
          <w:rFonts w:hint="eastAsia" w:ascii="方正仿宋_GBK" w:hAnsi="方正仿宋_GBK" w:eastAsia="方正仿宋_GBK" w:cs="方正仿宋_GBK"/>
          <w:color w:val="000000" w:themeColor="text1"/>
          <w:sz w:val="32"/>
          <w:szCs w:val="32"/>
        </w:rPr>
        <w:t>）</w:t>
      </w:r>
    </w:p>
    <w:p>
      <w:pPr>
        <w:spacing w:line="600" w:lineRule="exact"/>
        <w:rPr>
          <w:rFonts w:hint="eastAsia" w:ascii="仿宋" w:hAnsi="仿宋" w:eastAsia="仿宋"/>
          <w:color w:val="000000" w:themeColor="text1"/>
          <w:sz w:val="32"/>
          <w:szCs w:val="32"/>
        </w:rPr>
      </w:pPr>
      <w:r>
        <w:drawing>
          <wp:anchor distT="0" distB="0" distL="114300" distR="114300" simplePos="0" relativeHeight="251666432" behindDoc="1" locked="0" layoutInCell="1" allowOverlap="1">
            <wp:simplePos x="0" y="0"/>
            <wp:positionH relativeFrom="column">
              <wp:posOffset>500380</wp:posOffset>
            </wp:positionH>
            <wp:positionV relativeFrom="paragraph">
              <wp:posOffset>68580</wp:posOffset>
            </wp:positionV>
            <wp:extent cx="4572000" cy="1927860"/>
            <wp:effectExtent l="4445" t="4445" r="14605" b="67945"/>
            <wp:wrapThrough wrapText="bothSides">
              <wp:wrapPolygon>
                <wp:start x="-21" y="-50"/>
                <wp:lineTo x="-21" y="21508"/>
                <wp:lineTo x="21579" y="21508"/>
                <wp:lineTo x="21579" y="-50"/>
                <wp:lineTo x="-21" y="-50"/>
              </wp:wrapPolygon>
            </wp:wrapThrough>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2019年一般公共预算财</w:t>
      </w:r>
      <w:r>
        <w:rPr>
          <w:rFonts w:hint="eastAsia" w:ascii="方正仿宋_GBK" w:hAnsi="方正仿宋_GBK" w:eastAsia="方正仿宋_GBK" w:cs="方正仿宋_GBK"/>
          <w:color w:val="000000" w:themeColor="text1"/>
          <w:sz w:val="32"/>
          <w:szCs w:val="32"/>
        </w:rPr>
        <w:t>政拨款支出</w:t>
      </w:r>
      <w:r>
        <w:rPr>
          <w:rFonts w:hint="eastAsia" w:ascii="方正仿宋_GBK" w:hAnsi="方正仿宋_GBK" w:eastAsia="方正仿宋_GBK" w:cs="方正仿宋_GBK"/>
          <w:color w:val="000000" w:themeColor="text1"/>
          <w:sz w:val="32"/>
          <w:szCs w:val="32"/>
          <w:lang w:val="en-US" w:eastAsia="zh-CN"/>
        </w:rPr>
        <w:t>2487.05</w:t>
      </w:r>
      <w:r>
        <w:rPr>
          <w:rFonts w:hint="eastAsia" w:ascii="方正仿宋_GBK" w:hAnsi="方正仿宋_GBK" w:eastAsia="方正仿宋_GBK" w:cs="方正仿宋_GBK"/>
          <w:color w:val="000000" w:themeColor="text1"/>
          <w:sz w:val="32"/>
          <w:szCs w:val="32"/>
        </w:rPr>
        <w:t>万元，主要用于以下方面:</w:t>
      </w:r>
      <w:r>
        <w:rPr>
          <w:rFonts w:hint="eastAsia" w:ascii="方正仿宋_GBK" w:hAnsi="方正仿宋_GBK" w:eastAsia="方正仿宋_GBK" w:cs="方正仿宋_GBK"/>
          <w:color w:val="000000"/>
          <w:sz w:val="32"/>
          <w:szCs w:val="32"/>
        </w:rPr>
        <w:t>一般公共服务（类）支出</w:t>
      </w:r>
      <w:r>
        <w:rPr>
          <w:rFonts w:hint="eastAsia" w:ascii="方正仿宋_GBK" w:hAnsi="方正仿宋_GBK" w:eastAsia="方正仿宋_GBK" w:cs="方正仿宋_GBK"/>
          <w:color w:val="000000"/>
          <w:sz w:val="32"/>
          <w:szCs w:val="32"/>
          <w:lang w:val="en-US" w:eastAsia="zh-CN"/>
        </w:rPr>
        <w:t>2218.06</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89</w:t>
      </w:r>
      <w:r>
        <w:rPr>
          <w:rFonts w:hint="eastAsia" w:ascii="方正仿宋_GBK" w:hAnsi="方正仿宋_GBK" w:eastAsia="方正仿宋_GBK" w:cs="方正仿宋_GBK"/>
          <w:color w:val="000000"/>
          <w:sz w:val="32"/>
          <w:szCs w:val="32"/>
        </w:rPr>
        <w:t>%；教育支出（类）</w:t>
      </w:r>
      <w:r>
        <w:rPr>
          <w:rFonts w:hint="eastAsia" w:ascii="方正仿宋_GBK" w:hAnsi="方正仿宋_GBK" w:eastAsia="方正仿宋_GBK" w:cs="方正仿宋_GBK"/>
          <w:color w:val="000000"/>
          <w:sz w:val="32"/>
          <w:szCs w:val="32"/>
          <w:lang w:val="en-US" w:eastAsia="zh-CN"/>
        </w:rPr>
        <w:t>22.5</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%；科学技术（类）支出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%；文化旅游体育与传媒（类）支出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00</w:t>
      </w:r>
      <w:r>
        <w:rPr>
          <w:rFonts w:hint="eastAsia" w:ascii="方正仿宋_GBK" w:hAnsi="方正仿宋_GBK" w:eastAsia="方正仿宋_GBK" w:cs="方正仿宋_GBK"/>
          <w:color w:val="000000"/>
          <w:sz w:val="32"/>
          <w:szCs w:val="32"/>
        </w:rPr>
        <w:t>%；社会保障和就业（类）支出</w:t>
      </w:r>
      <w:r>
        <w:rPr>
          <w:rFonts w:hint="eastAsia" w:ascii="方正仿宋_GBK" w:hAnsi="方正仿宋_GBK" w:eastAsia="方正仿宋_GBK" w:cs="方正仿宋_GBK"/>
          <w:color w:val="000000"/>
          <w:sz w:val="32"/>
          <w:szCs w:val="32"/>
          <w:lang w:val="en-US" w:eastAsia="zh-CN"/>
        </w:rPr>
        <w:t>111.96</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%；卫生健康支出</w:t>
      </w:r>
      <w:r>
        <w:rPr>
          <w:rFonts w:hint="eastAsia" w:ascii="方正仿宋_GBK" w:hAnsi="方正仿宋_GBK" w:eastAsia="方正仿宋_GBK" w:cs="方正仿宋_GBK"/>
          <w:color w:val="000000"/>
          <w:sz w:val="32"/>
          <w:szCs w:val="32"/>
          <w:lang w:val="en-US" w:eastAsia="zh-CN"/>
        </w:rPr>
        <w:t>60.24</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%；住房保障支出</w:t>
      </w:r>
      <w:r>
        <w:rPr>
          <w:rFonts w:hint="eastAsia" w:ascii="方正仿宋_GBK" w:hAnsi="方正仿宋_GBK" w:eastAsia="方正仿宋_GBK" w:cs="方正仿宋_GBK"/>
          <w:color w:val="000000"/>
          <w:sz w:val="32"/>
          <w:szCs w:val="32"/>
          <w:lang w:val="en-US" w:eastAsia="zh-CN"/>
        </w:rPr>
        <w:t>74.29</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w:t>
      </w:r>
    </w:p>
    <w:p>
      <w:pPr>
        <w:spacing w:line="600" w:lineRule="exact"/>
        <w:jc w:val="center"/>
        <w:rPr>
          <w:rFonts w:hint="eastAsia" w:ascii="方正仿宋_GBK" w:hAnsi="方正仿宋_GBK" w:eastAsia="方正仿宋_GBK" w:cs="方正仿宋_GBK"/>
          <w:color w:val="000000"/>
          <w:sz w:val="32"/>
          <w:szCs w:val="32"/>
        </w:rPr>
      </w:pPr>
    </w:p>
    <w:p>
      <w:pPr>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图6：一般公共预算财政拨款支出决算结构</w:t>
      </w:r>
    </w:p>
    <w:p>
      <w:pPr>
        <w:spacing w:line="6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单位：万元</w:t>
      </w:r>
      <w:r>
        <w:rPr>
          <w:rFonts w:hint="eastAsia" w:ascii="方正仿宋_GBK" w:hAnsi="方正仿宋_GBK" w:eastAsia="方正仿宋_GBK" w:cs="方正仿宋_GBK"/>
          <w:color w:val="000000"/>
          <w:sz w:val="32"/>
          <w:szCs w:val="32"/>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7456" behindDoc="1" locked="0" layoutInCell="1" allowOverlap="1">
            <wp:simplePos x="0" y="0"/>
            <wp:positionH relativeFrom="column">
              <wp:posOffset>255270</wp:posOffset>
            </wp:positionH>
            <wp:positionV relativeFrom="paragraph">
              <wp:posOffset>136525</wp:posOffset>
            </wp:positionV>
            <wp:extent cx="4572000" cy="1946275"/>
            <wp:effectExtent l="4445" t="4445" r="14605" b="68580"/>
            <wp:wrapTight wrapText="bothSides">
              <wp:wrapPolygon>
                <wp:start x="-21" y="-49"/>
                <wp:lineTo x="-21" y="21515"/>
                <wp:lineTo x="21579" y="21515"/>
                <wp:lineTo x="21579" y="-49"/>
                <wp:lineTo x="-21" y="-49"/>
              </wp:wrapPolygon>
            </wp:wrapTight>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auto"/>
          <w:sz w:val="32"/>
          <w:szCs w:val="32"/>
        </w:rPr>
      </w:pPr>
      <w:bookmarkStart w:id="41" w:name="_Toc15377444"/>
      <w:bookmarkStart w:id="42" w:name="_Toc15377213"/>
      <w:bookmarkStart w:id="43" w:name="_Toc15378460"/>
      <w:r>
        <w:rPr>
          <w:rFonts w:hint="eastAsia" w:ascii="仿宋" w:hAnsi="仿宋" w:eastAsia="仿宋"/>
          <w:b/>
          <w:color w:val="auto"/>
          <w:sz w:val="32"/>
          <w:szCs w:val="32"/>
        </w:rPr>
        <w:t>2019年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2487.04</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94</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41"/>
      <w:bookmarkEnd w:id="42"/>
      <w:bookmarkEnd w:id="43"/>
    </w:p>
    <w:p>
      <w:pPr>
        <w:spacing w:line="600" w:lineRule="exact"/>
        <w:ind w:firstLine="643" w:firstLineChars="200"/>
        <w:rPr>
          <w:rStyle w:val="15"/>
          <w:rFonts w:hint="eastAsia" w:ascii="方正仿宋_GBK" w:hAnsi="方正仿宋_GBK" w:eastAsia="方正仿宋_GBK" w:cs="方正仿宋_GBK"/>
          <w:b w:val="0"/>
          <w:bCs/>
          <w:color w:val="000000"/>
          <w:sz w:val="32"/>
          <w:szCs w:val="32"/>
          <w:lang w:eastAsia="zh-CN"/>
        </w:rPr>
      </w:pPr>
      <w:r>
        <w:rPr>
          <w:rStyle w:val="15"/>
          <w:rFonts w:hint="eastAsia" w:ascii="方正仿宋_GBK" w:hAnsi="方正仿宋_GBK" w:eastAsia="方正仿宋_GBK" w:cs="方正仿宋_GBK"/>
          <w:bCs/>
          <w:color w:val="000000"/>
          <w:sz w:val="32"/>
          <w:szCs w:val="32"/>
        </w:rPr>
        <w:t>1.一般公共服务（类）</w:t>
      </w:r>
      <w:r>
        <w:rPr>
          <w:rStyle w:val="15"/>
          <w:rFonts w:hint="eastAsia" w:ascii="方正仿宋_GBK" w:hAnsi="方正仿宋_GBK" w:eastAsia="方正仿宋_GBK" w:cs="方正仿宋_GBK"/>
          <w:bCs/>
          <w:color w:val="000000"/>
          <w:sz w:val="32"/>
          <w:szCs w:val="32"/>
          <w:lang w:eastAsia="zh-CN"/>
        </w:rPr>
        <w:t>财政事务</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行政运行</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1016.52</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99.7</w:t>
      </w:r>
      <w:r>
        <w:rPr>
          <w:rStyle w:val="15"/>
          <w:rFonts w:hint="eastAsia" w:ascii="方正仿宋_GBK" w:hAnsi="方正仿宋_GBK" w:eastAsia="方正仿宋_GBK" w:cs="方正仿宋_GBK"/>
          <w:b w:val="0"/>
          <w:bCs/>
          <w:color w:val="000000"/>
          <w:sz w:val="32"/>
          <w:szCs w:val="32"/>
        </w:rPr>
        <w:t>%</w:t>
      </w:r>
      <w:r>
        <w:rPr>
          <w:rStyle w:val="15"/>
          <w:rFonts w:hint="eastAsia" w:ascii="方正仿宋_GBK" w:hAnsi="方正仿宋_GBK" w:eastAsia="方正仿宋_GBK" w:cs="方正仿宋_GBK"/>
          <w:b w:val="0"/>
          <w:bCs/>
          <w:color w:val="000000"/>
          <w:sz w:val="32"/>
          <w:szCs w:val="32"/>
          <w:lang w:eastAsia="zh-CN"/>
        </w:rPr>
        <w:t>。</w:t>
      </w:r>
      <w:r>
        <w:rPr>
          <w:rStyle w:val="15"/>
          <w:rFonts w:hint="eastAsia" w:ascii="方正仿宋_GBK" w:hAnsi="方正仿宋_GBK" w:eastAsia="方正仿宋_GBK" w:cs="方正仿宋_GBK"/>
          <w:b w:val="0"/>
          <w:bCs/>
          <w:color w:val="000000"/>
          <w:sz w:val="32"/>
          <w:szCs w:val="32"/>
        </w:rPr>
        <w:t>决算数小于/等于预算数的主要原因是</w:t>
      </w:r>
      <w:r>
        <w:rPr>
          <w:rStyle w:val="15"/>
          <w:rFonts w:hint="eastAsia" w:ascii="方正仿宋_GBK" w:hAnsi="方正仿宋_GBK" w:eastAsia="方正仿宋_GBK" w:cs="方正仿宋_GBK"/>
          <w:b w:val="0"/>
          <w:bCs/>
          <w:color w:val="000000"/>
          <w:sz w:val="32"/>
          <w:szCs w:val="32"/>
          <w:lang w:val="en-US" w:eastAsia="zh-CN"/>
        </w:rPr>
        <w:t>2019年有人员退休，人员工资支出有节余</w:t>
      </w:r>
      <w:r>
        <w:rPr>
          <w:rStyle w:val="15"/>
          <w:rFonts w:hint="eastAsia" w:ascii="方正仿宋_GBK" w:hAnsi="方正仿宋_GBK" w:eastAsia="方正仿宋_GBK" w:cs="方正仿宋_GBK"/>
          <w:b w:val="0"/>
          <w:bCs/>
          <w:color w:val="000000"/>
          <w:sz w:val="32"/>
          <w:szCs w:val="32"/>
        </w:rPr>
        <w:t>。</w:t>
      </w:r>
    </w:p>
    <w:p>
      <w:pPr>
        <w:numPr>
          <w:ilvl w:val="0"/>
          <w:numId w:val="0"/>
        </w:numPr>
        <w:spacing w:line="600" w:lineRule="exact"/>
        <w:ind w:firstLine="643" w:firstLineChars="200"/>
        <w:rPr>
          <w:rFonts w:hint="eastAsia" w:ascii="方正仿宋_GBK" w:hAnsi="方正仿宋_GBK" w:eastAsia="方正仿宋_GBK" w:cs="方正仿宋_GBK"/>
          <w:b/>
          <w:color w:val="000000"/>
          <w:sz w:val="32"/>
          <w:szCs w:val="32"/>
          <w:lang w:eastAsia="zh-CN"/>
        </w:rPr>
      </w:pPr>
      <w:r>
        <w:rPr>
          <w:rStyle w:val="15"/>
          <w:rFonts w:hint="eastAsia" w:ascii="方正仿宋_GBK" w:hAnsi="方正仿宋_GBK" w:eastAsia="方正仿宋_GBK" w:cs="方正仿宋_GBK"/>
          <w:bCs/>
          <w:color w:val="000000"/>
          <w:sz w:val="32"/>
          <w:szCs w:val="32"/>
          <w:lang w:val="en-US" w:eastAsia="zh-CN"/>
        </w:rPr>
        <w:t>2.</w:t>
      </w:r>
      <w:r>
        <w:rPr>
          <w:rStyle w:val="15"/>
          <w:rFonts w:hint="eastAsia" w:ascii="方正仿宋_GBK" w:hAnsi="方正仿宋_GBK" w:eastAsia="方正仿宋_GBK" w:cs="方正仿宋_GBK"/>
          <w:bCs/>
          <w:color w:val="000000"/>
          <w:sz w:val="32"/>
          <w:szCs w:val="32"/>
        </w:rPr>
        <w:t>一般公共服务（类）</w:t>
      </w:r>
      <w:r>
        <w:rPr>
          <w:rStyle w:val="15"/>
          <w:rFonts w:hint="eastAsia" w:ascii="方正仿宋_GBK" w:hAnsi="方正仿宋_GBK" w:eastAsia="方正仿宋_GBK" w:cs="方正仿宋_GBK"/>
          <w:bCs/>
          <w:color w:val="000000"/>
          <w:sz w:val="32"/>
          <w:szCs w:val="32"/>
          <w:lang w:eastAsia="zh-CN"/>
        </w:rPr>
        <w:t>财政事务</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一般行政事务</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371.19</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92</w:t>
      </w:r>
      <w:r>
        <w:rPr>
          <w:rStyle w:val="15"/>
          <w:rFonts w:hint="eastAsia" w:ascii="方正仿宋_GBK" w:hAnsi="方正仿宋_GBK" w:eastAsia="方正仿宋_GBK" w:cs="方正仿宋_GBK"/>
          <w:b w:val="0"/>
          <w:bCs/>
          <w:color w:val="000000"/>
          <w:sz w:val="32"/>
          <w:szCs w:val="32"/>
        </w:rPr>
        <w:t>%，决算数</w:t>
      </w:r>
      <w:r>
        <w:rPr>
          <w:rStyle w:val="15"/>
          <w:rFonts w:hint="eastAsia" w:ascii="方正仿宋_GBK" w:hAnsi="方正仿宋_GBK" w:eastAsia="方正仿宋_GBK" w:cs="方正仿宋_GBK"/>
          <w:b w:val="0"/>
          <w:bCs/>
          <w:color w:val="000000"/>
          <w:sz w:val="32"/>
          <w:szCs w:val="32"/>
          <w:lang w:eastAsia="zh-CN"/>
        </w:rPr>
        <w:t>小</w:t>
      </w:r>
      <w:r>
        <w:rPr>
          <w:rStyle w:val="15"/>
          <w:rFonts w:hint="eastAsia" w:ascii="方正仿宋_GBK" w:hAnsi="方正仿宋_GBK" w:eastAsia="方正仿宋_GBK" w:cs="方正仿宋_GBK"/>
          <w:b w:val="0"/>
          <w:bCs/>
          <w:color w:val="000000"/>
          <w:sz w:val="32"/>
          <w:szCs w:val="32"/>
        </w:rPr>
        <w:t>于预算数的主要原因是</w:t>
      </w:r>
      <w:r>
        <w:rPr>
          <w:rStyle w:val="15"/>
          <w:rFonts w:hint="eastAsia" w:ascii="方正仿宋_GBK" w:hAnsi="方正仿宋_GBK" w:eastAsia="方正仿宋_GBK" w:cs="方正仿宋_GBK"/>
          <w:b w:val="0"/>
          <w:bCs/>
          <w:color w:val="000000"/>
          <w:sz w:val="32"/>
          <w:szCs w:val="32"/>
          <w:lang w:val="en-US" w:eastAsia="zh-CN"/>
        </w:rPr>
        <w:t>2019年未支款项</w:t>
      </w:r>
      <w:r>
        <w:rPr>
          <w:rStyle w:val="15"/>
          <w:rFonts w:hint="eastAsia" w:ascii="方正仿宋_GBK" w:hAnsi="方正仿宋_GBK" w:eastAsia="方正仿宋_GBK" w:cs="方正仿宋_GBK"/>
          <w:b w:val="0"/>
          <w:bCs/>
          <w:color w:val="000000"/>
          <w:sz w:val="32"/>
          <w:szCs w:val="32"/>
          <w:lang w:eastAsia="zh-CN"/>
        </w:rPr>
        <w:t>。</w:t>
      </w:r>
    </w:p>
    <w:p>
      <w:pPr>
        <w:spacing w:line="600" w:lineRule="exact"/>
        <w:ind w:firstLine="643" w:firstLineChars="200"/>
        <w:rPr>
          <w:rFonts w:hint="eastAsia" w:ascii="方正仿宋_GBK" w:hAnsi="方正仿宋_GBK" w:eastAsia="方正仿宋_GBK" w:cs="方正仿宋_GBK"/>
          <w:b/>
          <w:color w:val="000000"/>
          <w:sz w:val="32"/>
          <w:szCs w:val="32"/>
          <w:lang w:eastAsia="zh-CN"/>
        </w:rPr>
      </w:pPr>
      <w:r>
        <w:rPr>
          <w:rStyle w:val="15"/>
          <w:rFonts w:hint="eastAsia" w:ascii="方正仿宋_GBK" w:hAnsi="方正仿宋_GBK" w:eastAsia="方正仿宋_GBK" w:cs="方正仿宋_GBK"/>
          <w:bCs/>
          <w:color w:val="000000"/>
          <w:sz w:val="32"/>
          <w:szCs w:val="32"/>
          <w:lang w:val="en-US" w:eastAsia="zh-CN"/>
        </w:rPr>
        <w:t>3.</w:t>
      </w:r>
      <w:r>
        <w:rPr>
          <w:rStyle w:val="15"/>
          <w:rFonts w:hint="eastAsia" w:ascii="方正仿宋_GBK" w:hAnsi="方正仿宋_GBK" w:eastAsia="方正仿宋_GBK" w:cs="方正仿宋_GBK"/>
          <w:bCs/>
          <w:color w:val="000000"/>
          <w:sz w:val="32"/>
          <w:szCs w:val="32"/>
        </w:rPr>
        <w:t>一般公共服务（类）</w:t>
      </w:r>
      <w:r>
        <w:rPr>
          <w:rStyle w:val="15"/>
          <w:rFonts w:hint="eastAsia" w:ascii="方正仿宋_GBK" w:hAnsi="方正仿宋_GBK" w:eastAsia="方正仿宋_GBK" w:cs="方正仿宋_GBK"/>
          <w:bCs/>
          <w:color w:val="000000"/>
          <w:sz w:val="32"/>
          <w:szCs w:val="32"/>
          <w:lang w:eastAsia="zh-CN"/>
        </w:rPr>
        <w:t>财政事务</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财政委托业务</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10.97</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r>
        <w:rPr>
          <w:rStyle w:val="15"/>
          <w:rFonts w:hint="eastAsia" w:ascii="方正仿宋_GBK" w:hAnsi="方正仿宋_GBK" w:eastAsia="方正仿宋_GBK" w:cs="方正仿宋_GBK"/>
          <w:b w:val="0"/>
          <w:bCs/>
          <w:color w:val="000000"/>
          <w:sz w:val="32"/>
          <w:szCs w:val="32"/>
          <w:lang w:eastAsia="zh-CN"/>
        </w:rPr>
        <w:t>。</w:t>
      </w:r>
    </w:p>
    <w:p>
      <w:pPr>
        <w:spacing w:line="600" w:lineRule="exact"/>
        <w:ind w:firstLine="643" w:firstLineChars="200"/>
        <w:rPr>
          <w:rFonts w:hint="eastAsia" w:ascii="方正仿宋_GBK" w:hAnsi="方正仿宋_GBK" w:eastAsia="方正仿宋_GBK" w:cs="方正仿宋_GBK"/>
          <w:b/>
          <w:color w:val="000000"/>
          <w:sz w:val="32"/>
          <w:szCs w:val="32"/>
        </w:rPr>
      </w:pPr>
      <w:r>
        <w:rPr>
          <w:rStyle w:val="15"/>
          <w:rFonts w:hint="eastAsia" w:ascii="方正仿宋_GBK" w:hAnsi="方正仿宋_GBK" w:eastAsia="方正仿宋_GBK" w:cs="方正仿宋_GBK"/>
          <w:bCs/>
          <w:color w:val="000000"/>
          <w:sz w:val="32"/>
          <w:szCs w:val="32"/>
          <w:lang w:val="en-US" w:eastAsia="zh-CN"/>
        </w:rPr>
        <w:t>5.</w:t>
      </w:r>
      <w:r>
        <w:rPr>
          <w:rStyle w:val="15"/>
          <w:rFonts w:hint="eastAsia" w:ascii="方正仿宋_GBK" w:hAnsi="方正仿宋_GBK" w:eastAsia="方正仿宋_GBK" w:cs="方正仿宋_GBK"/>
          <w:bCs/>
          <w:color w:val="000000"/>
          <w:sz w:val="32"/>
          <w:szCs w:val="32"/>
        </w:rPr>
        <w:t>一般公共服务（类）</w:t>
      </w:r>
      <w:r>
        <w:rPr>
          <w:rStyle w:val="15"/>
          <w:rFonts w:hint="eastAsia" w:ascii="方正仿宋_GBK" w:hAnsi="方正仿宋_GBK" w:eastAsia="方正仿宋_GBK" w:cs="方正仿宋_GBK"/>
          <w:bCs/>
          <w:color w:val="000000"/>
          <w:sz w:val="32"/>
          <w:szCs w:val="32"/>
          <w:lang w:eastAsia="zh-CN"/>
        </w:rPr>
        <w:t>财政事务</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事业运行</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253.52</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lang w:eastAsia="zh-CN"/>
        </w:rPr>
      </w:pPr>
      <w:r>
        <w:rPr>
          <w:rStyle w:val="15"/>
          <w:rFonts w:hint="eastAsia" w:ascii="方正仿宋_GBK" w:hAnsi="方正仿宋_GBK" w:eastAsia="方正仿宋_GBK" w:cs="方正仿宋_GBK"/>
          <w:bCs/>
          <w:color w:val="000000"/>
          <w:sz w:val="32"/>
          <w:szCs w:val="32"/>
          <w:lang w:val="en-US" w:eastAsia="zh-CN"/>
        </w:rPr>
        <w:t>6.</w:t>
      </w:r>
      <w:r>
        <w:rPr>
          <w:rStyle w:val="15"/>
          <w:rFonts w:hint="eastAsia" w:ascii="方正仿宋_GBK" w:hAnsi="方正仿宋_GBK" w:eastAsia="方正仿宋_GBK" w:cs="方正仿宋_GBK"/>
          <w:bCs/>
          <w:color w:val="000000"/>
          <w:sz w:val="32"/>
          <w:szCs w:val="32"/>
        </w:rPr>
        <w:t>一般公共服务（类）</w:t>
      </w:r>
      <w:r>
        <w:rPr>
          <w:rStyle w:val="15"/>
          <w:rFonts w:hint="eastAsia" w:ascii="方正仿宋_GBK" w:hAnsi="方正仿宋_GBK" w:eastAsia="方正仿宋_GBK" w:cs="方正仿宋_GBK"/>
          <w:bCs/>
          <w:color w:val="000000"/>
          <w:sz w:val="32"/>
          <w:szCs w:val="32"/>
          <w:lang w:eastAsia="zh-CN"/>
        </w:rPr>
        <w:t>财政事务</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其他财政事务</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565.87</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86</w:t>
      </w:r>
      <w:r>
        <w:rPr>
          <w:rStyle w:val="15"/>
          <w:rFonts w:hint="eastAsia" w:ascii="方正仿宋_GBK" w:hAnsi="方正仿宋_GBK" w:eastAsia="方正仿宋_GBK" w:cs="方正仿宋_GBK"/>
          <w:b w:val="0"/>
          <w:bCs/>
          <w:color w:val="000000"/>
          <w:sz w:val="32"/>
          <w:szCs w:val="32"/>
        </w:rPr>
        <w:t>%，决算数小于预算数的主要原因是</w:t>
      </w:r>
      <w:r>
        <w:rPr>
          <w:rStyle w:val="15"/>
          <w:rFonts w:hint="eastAsia" w:ascii="方正仿宋_GBK" w:hAnsi="方正仿宋_GBK" w:eastAsia="方正仿宋_GBK" w:cs="方正仿宋_GBK"/>
          <w:b w:val="0"/>
          <w:bCs/>
          <w:color w:val="000000"/>
          <w:sz w:val="32"/>
          <w:szCs w:val="32"/>
          <w:lang w:eastAsia="zh-CN"/>
        </w:rPr>
        <w:t>局机关和财政国库支付中心有未支款项。</w:t>
      </w:r>
    </w:p>
    <w:p>
      <w:pPr>
        <w:spacing w:line="600" w:lineRule="exact"/>
        <w:ind w:firstLine="643" w:firstLineChars="200"/>
        <w:rPr>
          <w:rFonts w:hint="eastAsia" w:ascii="方正仿宋_GBK" w:hAnsi="方正仿宋_GBK" w:eastAsia="方正仿宋_GBK" w:cs="方正仿宋_GBK"/>
          <w:b/>
          <w:color w:val="000000"/>
          <w:sz w:val="32"/>
          <w:szCs w:val="32"/>
        </w:rPr>
      </w:pPr>
      <w:r>
        <w:rPr>
          <w:rStyle w:val="15"/>
          <w:rFonts w:hint="eastAsia" w:ascii="方正仿宋_GBK" w:hAnsi="方正仿宋_GBK" w:eastAsia="方正仿宋_GBK" w:cs="方正仿宋_GBK"/>
          <w:bCs/>
          <w:color w:val="000000"/>
          <w:sz w:val="32"/>
          <w:szCs w:val="32"/>
          <w:lang w:val="en-US" w:eastAsia="zh-CN"/>
        </w:rPr>
        <w:t>7.</w:t>
      </w:r>
      <w:r>
        <w:rPr>
          <w:rStyle w:val="15"/>
          <w:rFonts w:hint="eastAsia" w:ascii="方正仿宋_GBK" w:hAnsi="方正仿宋_GBK" w:eastAsia="方正仿宋_GBK" w:cs="方正仿宋_GBK"/>
          <w:bCs/>
          <w:color w:val="000000"/>
          <w:sz w:val="32"/>
          <w:szCs w:val="32"/>
        </w:rPr>
        <w:t>教育（类）</w:t>
      </w:r>
      <w:r>
        <w:rPr>
          <w:rStyle w:val="15"/>
          <w:rFonts w:hint="eastAsia" w:ascii="方正仿宋_GBK" w:hAnsi="方正仿宋_GBK" w:eastAsia="方正仿宋_GBK" w:cs="方正仿宋_GBK"/>
          <w:bCs/>
          <w:color w:val="000000"/>
          <w:sz w:val="32"/>
          <w:szCs w:val="32"/>
          <w:lang w:eastAsia="zh-CN"/>
        </w:rPr>
        <w:t>进修及培训</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培训支出</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22.5</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rPr>
      </w:pPr>
      <w:r>
        <w:rPr>
          <w:rStyle w:val="15"/>
          <w:rFonts w:hint="eastAsia" w:ascii="方正仿宋_GBK" w:hAnsi="方正仿宋_GBK" w:eastAsia="方正仿宋_GBK" w:cs="方正仿宋_GBK"/>
          <w:bCs/>
          <w:color w:val="000000"/>
          <w:sz w:val="32"/>
          <w:szCs w:val="32"/>
          <w:lang w:val="en-US" w:eastAsia="zh-CN"/>
        </w:rPr>
        <w:t>8.</w:t>
      </w:r>
      <w:r>
        <w:rPr>
          <w:rStyle w:val="15"/>
          <w:rFonts w:hint="eastAsia" w:ascii="方正仿宋_GBK" w:hAnsi="方正仿宋_GBK" w:eastAsia="方正仿宋_GBK" w:cs="方正仿宋_GBK"/>
          <w:bCs/>
          <w:color w:val="000000"/>
          <w:sz w:val="32"/>
          <w:szCs w:val="32"/>
        </w:rPr>
        <w:t>社会保障和就业（类）</w:t>
      </w:r>
      <w:r>
        <w:rPr>
          <w:rStyle w:val="15"/>
          <w:rFonts w:hint="eastAsia" w:ascii="方正仿宋_GBK" w:hAnsi="方正仿宋_GBK" w:eastAsia="方正仿宋_GBK" w:cs="方正仿宋_GBK"/>
          <w:bCs/>
          <w:color w:val="000000"/>
          <w:sz w:val="32"/>
          <w:szCs w:val="32"/>
          <w:lang w:eastAsia="zh-CN"/>
        </w:rPr>
        <w:t>行政事业单位离退休</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机关事业单位养老保险支出</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121.74</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rPr>
      </w:pPr>
      <w:r>
        <w:rPr>
          <w:rStyle w:val="15"/>
          <w:rFonts w:hint="eastAsia" w:ascii="方正仿宋_GBK" w:hAnsi="方正仿宋_GBK" w:eastAsia="方正仿宋_GBK" w:cs="方正仿宋_GBK"/>
          <w:bCs/>
          <w:color w:val="000000"/>
          <w:sz w:val="32"/>
          <w:szCs w:val="32"/>
          <w:lang w:val="en-US" w:eastAsia="zh-CN"/>
        </w:rPr>
        <w:t>9.</w:t>
      </w:r>
      <w:r>
        <w:rPr>
          <w:rStyle w:val="15"/>
          <w:rFonts w:hint="eastAsia" w:ascii="方正仿宋_GBK" w:hAnsi="方正仿宋_GBK" w:eastAsia="方正仿宋_GBK" w:cs="方正仿宋_GBK"/>
          <w:bCs/>
          <w:color w:val="000000"/>
          <w:sz w:val="32"/>
          <w:szCs w:val="32"/>
        </w:rPr>
        <w:t>社会保障和就业（类）</w:t>
      </w:r>
      <w:r>
        <w:rPr>
          <w:rStyle w:val="15"/>
          <w:rFonts w:hint="eastAsia" w:ascii="方正仿宋_GBK" w:hAnsi="方正仿宋_GBK" w:eastAsia="方正仿宋_GBK" w:cs="方正仿宋_GBK"/>
          <w:bCs/>
          <w:color w:val="000000"/>
          <w:sz w:val="32"/>
          <w:szCs w:val="32"/>
          <w:lang w:eastAsia="zh-CN"/>
        </w:rPr>
        <w:t>行政事业单位离退休</w:t>
      </w:r>
      <w:r>
        <w:rPr>
          <w:rStyle w:val="15"/>
          <w:rFonts w:hint="eastAsia" w:ascii="方正仿宋_GBK" w:hAnsi="方正仿宋_GBK" w:eastAsia="方正仿宋_GBK" w:cs="方正仿宋_GBK"/>
          <w:bCs/>
          <w:color w:val="000000"/>
          <w:sz w:val="32"/>
          <w:szCs w:val="32"/>
        </w:rPr>
        <w:t>（款） 机关事业单位基本养老保险缴费支出（项）: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108.06</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rPr>
      </w:pPr>
      <w:r>
        <w:rPr>
          <w:rStyle w:val="15"/>
          <w:rFonts w:hint="eastAsia" w:ascii="方正仿宋_GBK" w:hAnsi="方正仿宋_GBK" w:eastAsia="方正仿宋_GBK" w:cs="方正仿宋_GBK"/>
          <w:bCs/>
          <w:color w:val="000000"/>
          <w:sz w:val="32"/>
          <w:szCs w:val="32"/>
          <w:lang w:val="en-US" w:eastAsia="zh-CN"/>
        </w:rPr>
        <w:t>10.</w:t>
      </w:r>
      <w:r>
        <w:rPr>
          <w:rStyle w:val="15"/>
          <w:rFonts w:hint="eastAsia" w:ascii="方正仿宋_GBK" w:hAnsi="方正仿宋_GBK" w:eastAsia="方正仿宋_GBK" w:cs="方正仿宋_GBK"/>
          <w:bCs/>
          <w:color w:val="000000"/>
          <w:sz w:val="32"/>
          <w:szCs w:val="32"/>
        </w:rPr>
        <w:t>社会保障和就业（类）</w:t>
      </w:r>
      <w:r>
        <w:rPr>
          <w:rStyle w:val="15"/>
          <w:rFonts w:hint="eastAsia" w:ascii="方正仿宋_GBK" w:hAnsi="方正仿宋_GBK" w:eastAsia="方正仿宋_GBK" w:cs="方正仿宋_GBK"/>
          <w:bCs/>
          <w:color w:val="000000"/>
          <w:sz w:val="32"/>
          <w:szCs w:val="32"/>
          <w:lang w:eastAsia="zh-CN"/>
        </w:rPr>
        <w:t>行政事业单位离退休</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其他行政事业单位养老保险支出</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2.5</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rPr>
      </w:pPr>
      <w:r>
        <w:rPr>
          <w:rStyle w:val="15"/>
          <w:rFonts w:hint="eastAsia" w:ascii="方正仿宋_GBK" w:hAnsi="方正仿宋_GBK" w:eastAsia="方正仿宋_GBK" w:cs="方正仿宋_GBK"/>
          <w:bCs/>
          <w:color w:val="000000"/>
          <w:sz w:val="32"/>
          <w:szCs w:val="32"/>
          <w:lang w:val="en-US" w:eastAsia="zh-CN"/>
        </w:rPr>
        <w:t>10.</w:t>
      </w:r>
      <w:r>
        <w:rPr>
          <w:rStyle w:val="15"/>
          <w:rFonts w:hint="eastAsia" w:ascii="方正仿宋_GBK" w:hAnsi="方正仿宋_GBK" w:eastAsia="方正仿宋_GBK" w:cs="方正仿宋_GBK"/>
          <w:bCs/>
          <w:color w:val="000000"/>
          <w:sz w:val="32"/>
          <w:szCs w:val="32"/>
        </w:rPr>
        <w:t>社会保障和就业（类）</w:t>
      </w:r>
      <w:r>
        <w:rPr>
          <w:rStyle w:val="15"/>
          <w:rFonts w:hint="eastAsia" w:ascii="方正仿宋_GBK" w:hAnsi="方正仿宋_GBK" w:eastAsia="方正仿宋_GBK" w:cs="方正仿宋_GBK"/>
          <w:bCs/>
          <w:color w:val="000000"/>
          <w:sz w:val="32"/>
          <w:szCs w:val="32"/>
          <w:lang w:eastAsia="zh-CN"/>
        </w:rPr>
        <w:t>抚恤</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死亡抚恤</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 xml:space="preserve"> 支出决算为</w:t>
      </w:r>
      <w:r>
        <w:rPr>
          <w:rStyle w:val="15"/>
          <w:rFonts w:hint="eastAsia" w:ascii="方正仿宋_GBK" w:hAnsi="方正仿宋_GBK" w:eastAsia="方正仿宋_GBK" w:cs="方正仿宋_GBK"/>
          <w:b w:val="0"/>
          <w:bCs/>
          <w:color w:val="000000"/>
          <w:sz w:val="32"/>
          <w:szCs w:val="32"/>
          <w:lang w:val="en-US" w:eastAsia="zh-CN"/>
        </w:rPr>
        <w:t>1.4</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Fonts w:hint="eastAsia" w:ascii="方正仿宋_GBK" w:hAnsi="方正仿宋_GBK" w:eastAsia="方正仿宋_GBK" w:cs="方正仿宋_GBK"/>
          <w:b/>
          <w:color w:val="000000"/>
          <w:sz w:val="32"/>
          <w:szCs w:val="32"/>
        </w:rPr>
      </w:pPr>
      <w:r>
        <w:rPr>
          <w:rStyle w:val="15"/>
          <w:rFonts w:hint="eastAsia" w:ascii="方正仿宋_GBK" w:hAnsi="方正仿宋_GBK" w:eastAsia="方正仿宋_GBK" w:cs="方正仿宋_GBK"/>
          <w:bCs/>
          <w:color w:val="000000"/>
          <w:sz w:val="32"/>
          <w:szCs w:val="32"/>
          <w:lang w:val="en-US" w:eastAsia="zh-CN"/>
        </w:rPr>
        <w:t>10</w:t>
      </w:r>
      <w:r>
        <w:rPr>
          <w:rStyle w:val="15"/>
          <w:rFonts w:hint="eastAsia" w:ascii="方正仿宋_GBK" w:hAnsi="方正仿宋_GBK" w:eastAsia="方正仿宋_GBK" w:cs="方正仿宋_GBK"/>
          <w:bCs/>
          <w:color w:val="000000"/>
          <w:sz w:val="32"/>
          <w:szCs w:val="32"/>
        </w:rPr>
        <w:t>.医疗卫生与计划生育（类）</w:t>
      </w:r>
      <w:r>
        <w:rPr>
          <w:rStyle w:val="15"/>
          <w:rFonts w:hint="eastAsia" w:ascii="方正仿宋_GBK" w:hAnsi="方正仿宋_GBK" w:eastAsia="方正仿宋_GBK" w:cs="方正仿宋_GBK"/>
          <w:bCs/>
          <w:color w:val="000000"/>
          <w:sz w:val="32"/>
          <w:szCs w:val="32"/>
          <w:lang w:eastAsia="zh-CN"/>
        </w:rPr>
        <w:t>行政事业单位医疗</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行政单位医疗</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支出决算为</w:t>
      </w:r>
      <w:r>
        <w:rPr>
          <w:rStyle w:val="15"/>
          <w:rFonts w:hint="eastAsia" w:ascii="方正仿宋_GBK" w:hAnsi="方正仿宋_GBK" w:eastAsia="方正仿宋_GBK" w:cs="方正仿宋_GBK"/>
          <w:b w:val="0"/>
          <w:bCs/>
          <w:color w:val="000000"/>
          <w:sz w:val="32"/>
          <w:szCs w:val="32"/>
          <w:lang w:val="en-US" w:eastAsia="zh-CN"/>
        </w:rPr>
        <w:t>37.44</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rPr>
      </w:pPr>
      <w:r>
        <w:rPr>
          <w:rStyle w:val="15"/>
          <w:rFonts w:hint="eastAsia" w:ascii="方正仿宋_GBK" w:hAnsi="方正仿宋_GBK" w:eastAsia="方正仿宋_GBK" w:cs="方正仿宋_GBK"/>
          <w:bCs/>
          <w:color w:val="000000"/>
          <w:sz w:val="32"/>
          <w:szCs w:val="32"/>
          <w:lang w:val="en-US" w:eastAsia="zh-CN"/>
        </w:rPr>
        <w:t>11</w:t>
      </w:r>
      <w:r>
        <w:rPr>
          <w:rStyle w:val="15"/>
          <w:rFonts w:hint="eastAsia" w:ascii="方正仿宋_GBK" w:hAnsi="方正仿宋_GBK" w:eastAsia="方正仿宋_GBK" w:cs="方正仿宋_GBK"/>
          <w:bCs/>
          <w:color w:val="000000"/>
          <w:sz w:val="32"/>
          <w:szCs w:val="32"/>
        </w:rPr>
        <w:t>.医疗卫生与计划生育（类）</w:t>
      </w:r>
      <w:r>
        <w:rPr>
          <w:rStyle w:val="15"/>
          <w:rFonts w:hint="eastAsia" w:ascii="方正仿宋_GBK" w:hAnsi="方正仿宋_GBK" w:eastAsia="方正仿宋_GBK" w:cs="方正仿宋_GBK"/>
          <w:bCs/>
          <w:color w:val="000000"/>
          <w:sz w:val="32"/>
          <w:szCs w:val="32"/>
          <w:lang w:eastAsia="zh-CN"/>
        </w:rPr>
        <w:t>行政事业单位医疗</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Cs/>
          <w:color w:val="000000"/>
          <w:sz w:val="32"/>
          <w:szCs w:val="32"/>
          <w:lang w:eastAsia="zh-CN"/>
        </w:rPr>
        <w:t>事业单位医疗</w:t>
      </w:r>
      <w:r>
        <w:rPr>
          <w:rStyle w:val="15"/>
          <w:rFonts w:hint="eastAsia" w:ascii="方正仿宋_GBK" w:hAnsi="方正仿宋_GBK" w:eastAsia="方正仿宋_GBK" w:cs="方正仿宋_GBK"/>
          <w:bCs/>
          <w:color w:val="000000"/>
          <w:sz w:val="32"/>
          <w:szCs w:val="32"/>
        </w:rPr>
        <w:t>（项）:</w:t>
      </w:r>
      <w:r>
        <w:rPr>
          <w:rStyle w:val="15"/>
          <w:rFonts w:hint="eastAsia" w:ascii="方正仿宋_GBK" w:hAnsi="方正仿宋_GBK" w:eastAsia="方正仿宋_GBK" w:cs="方正仿宋_GBK"/>
          <w:b w:val="0"/>
          <w:bCs/>
          <w:color w:val="000000"/>
          <w:sz w:val="32"/>
          <w:szCs w:val="32"/>
        </w:rPr>
        <w:t>支出决算为</w:t>
      </w:r>
      <w:r>
        <w:rPr>
          <w:rStyle w:val="15"/>
          <w:rFonts w:hint="eastAsia" w:ascii="方正仿宋_GBK" w:hAnsi="方正仿宋_GBK" w:eastAsia="方正仿宋_GBK" w:cs="方正仿宋_GBK"/>
          <w:b w:val="0"/>
          <w:bCs/>
          <w:color w:val="000000"/>
          <w:sz w:val="32"/>
          <w:szCs w:val="32"/>
          <w:lang w:val="en-US" w:eastAsia="zh-CN"/>
        </w:rPr>
        <w:t>14.4</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3" w:firstLineChars="200"/>
        <w:rPr>
          <w:rStyle w:val="15"/>
          <w:rFonts w:hint="eastAsia" w:ascii="方正仿宋_GBK" w:hAnsi="方正仿宋_GBK" w:eastAsia="方正仿宋_GBK" w:cs="方正仿宋_GBK"/>
          <w:b w:val="0"/>
          <w:bCs/>
          <w:color w:val="000000"/>
          <w:sz w:val="32"/>
          <w:szCs w:val="32"/>
        </w:rPr>
      </w:pPr>
      <w:r>
        <w:rPr>
          <w:rStyle w:val="15"/>
          <w:rFonts w:hint="eastAsia" w:ascii="方正仿宋_GBK" w:hAnsi="方正仿宋_GBK" w:eastAsia="方正仿宋_GBK" w:cs="方正仿宋_GBK"/>
          <w:bCs/>
          <w:color w:val="000000"/>
          <w:sz w:val="32"/>
          <w:szCs w:val="32"/>
          <w:lang w:val="en-US" w:eastAsia="zh-CN"/>
        </w:rPr>
        <w:t>12.</w:t>
      </w:r>
      <w:r>
        <w:rPr>
          <w:rStyle w:val="15"/>
          <w:rFonts w:hint="eastAsia" w:ascii="方正仿宋_GBK" w:hAnsi="方正仿宋_GBK" w:eastAsia="方正仿宋_GBK" w:cs="方正仿宋_GBK"/>
          <w:bCs/>
          <w:color w:val="000000"/>
          <w:sz w:val="32"/>
          <w:szCs w:val="32"/>
        </w:rPr>
        <w:t>医疗卫生与计划生育（类）</w:t>
      </w:r>
      <w:r>
        <w:rPr>
          <w:rStyle w:val="15"/>
          <w:rFonts w:hint="eastAsia" w:ascii="方正仿宋_GBK" w:hAnsi="方正仿宋_GBK" w:eastAsia="方正仿宋_GBK" w:cs="方正仿宋_GBK"/>
          <w:bCs/>
          <w:color w:val="000000"/>
          <w:sz w:val="32"/>
          <w:szCs w:val="32"/>
          <w:lang w:eastAsia="zh-CN"/>
        </w:rPr>
        <w:t>行政事业单位医疗</w:t>
      </w:r>
      <w:r>
        <w:rPr>
          <w:rStyle w:val="15"/>
          <w:rFonts w:hint="eastAsia" w:ascii="方正仿宋_GBK" w:hAnsi="方正仿宋_GBK" w:eastAsia="方正仿宋_GBK" w:cs="方正仿宋_GBK"/>
          <w:bCs/>
          <w:color w:val="000000"/>
          <w:sz w:val="32"/>
          <w:szCs w:val="32"/>
        </w:rPr>
        <w:t>（款）</w:t>
      </w:r>
      <w:r>
        <w:rPr>
          <w:rStyle w:val="15"/>
          <w:rFonts w:hint="eastAsia" w:ascii="方正仿宋_GBK" w:hAnsi="方正仿宋_GBK" w:eastAsia="方正仿宋_GBK" w:cs="方正仿宋_GBK"/>
          <w:b/>
          <w:bCs w:val="0"/>
          <w:color w:val="000000"/>
          <w:sz w:val="32"/>
          <w:szCs w:val="32"/>
          <w:lang w:eastAsia="zh-CN"/>
        </w:rPr>
        <w:t>公务员医疗补助</w:t>
      </w:r>
      <w:r>
        <w:rPr>
          <w:rStyle w:val="15"/>
          <w:rFonts w:hint="eastAsia" w:ascii="方正仿宋_GBK" w:hAnsi="方正仿宋_GBK" w:eastAsia="方正仿宋_GBK" w:cs="方正仿宋_GBK"/>
          <w:b/>
          <w:bCs w:val="0"/>
          <w:color w:val="000000"/>
          <w:sz w:val="32"/>
          <w:szCs w:val="32"/>
        </w:rPr>
        <w:t>（项）</w:t>
      </w:r>
      <w:r>
        <w:rPr>
          <w:rStyle w:val="15"/>
          <w:rFonts w:hint="eastAsia" w:ascii="方正仿宋_GBK" w:hAnsi="方正仿宋_GBK" w:eastAsia="方正仿宋_GBK" w:cs="方正仿宋_GBK"/>
          <w:b w:val="0"/>
          <w:bCs/>
          <w:color w:val="000000"/>
          <w:sz w:val="32"/>
          <w:szCs w:val="32"/>
        </w:rPr>
        <w:t>:支出决算为</w:t>
      </w:r>
      <w:r>
        <w:rPr>
          <w:rStyle w:val="15"/>
          <w:rFonts w:hint="eastAsia" w:ascii="方正仿宋_GBK" w:hAnsi="方正仿宋_GBK" w:eastAsia="方正仿宋_GBK" w:cs="方正仿宋_GBK"/>
          <w:b w:val="0"/>
          <w:bCs/>
          <w:color w:val="000000"/>
          <w:sz w:val="32"/>
          <w:szCs w:val="32"/>
          <w:lang w:val="en-US" w:eastAsia="zh-CN"/>
        </w:rPr>
        <w:t>8.39</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p>
    <w:p>
      <w:pPr>
        <w:spacing w:line="600" w:lineRule="exact"/>
        <w:ind w:firstLine="640" w:firstLineChars="200"/>
        <w:rPr>
          <w:rFonts w:hint="eastAsia" w:ascii="方正仿宋_GBK" w:hAnsi="方正仿宋_GBK" w:eastAsia="方正仿宋_GBK" w:cs="方正仿宋_GBK"/>
          <w:b/>
          <w:color w:val="000000"/>
          <w:sz w:val="32"/>
          <w:szCs w:val="32"/>
        </w:rPr>
      </w:pPr>
      <w:r>
        <w:rPr>
          <w:rStyle w:val="15"/>
          <w:rFonts w:hint="eastAsia" w:ascii="方正仿宋_GBK" w:hAnsi="方正仿宋_GBK" w:eastAsia="方正仿宋_GBK" w:cs="方正仿宋_GBK"/>
          <w:b w:val="0"/>
          <w:bCs/>
          <w:color w:val="000000"/>
          <w:sz w:val="32"/>
          <w:szCs w:val="32"/>
          <w:lang w:val="en-US" w:eastAsia="zh-CN"/>
        </w:rPr>
        <w:t>13.</w:t>
      </w:r>
      <w:r>
        <w:rPr>
          <w:rStyle w:val="15"/>
          <w:rFonts w:hint="eastAsia" w:ascii="方正仿宋_GBK" w:hAnsi="方正仿宋_GBK" w:eastAsia="方正仿宋_GBK" w:cs="方正仿宋_GBK"/>
          <w:b/>
          <w:bCs w:val="0"/>
          <w:color w:val="000000"/>
          <w:sz w:val="32"/>
          <w:szCs w:val="32"/>
          <w:lang w:eastAsia="zh-CN"/>
        </w:rPr>
        <w:t>住房保障支出</w:t>
      </w:r>
      <w:r>
        <w:rPr>
          <w:rStyle w:val="15"/>
          <w:rFonts w:hint="eastAsia" w:ascii="方正仿宋_GBK" w:hAnsi="方正仿宋_GBK" w:eastAsia="方正仿宋_GBK" w:cs="方正仿宋_GBK"/>
          <w:b/>
          <w:bCs w:val="0"/>
          <w:color w:val="000000"/>
          <w:sz w:val="32"/>
          <w:szCs w:val="32"/>
        </w:rPr>
        <w:t>（</w:t>
      </w:r>
      <w:r>
        <w:rPr>
          <w:rStyle w:val="15"/>
          <w:rFonts w:hint="eastAsia" w:ascii="方正仿宋_GBK" w:hAnsi="方正仿宋_GBK" w:eastAsia="方正仿宋_GBK" w:cs="方正仿宋_GBK"/>
          <w:b/>
          <w:bCs w:val="0"/>
          <w:color w:val="000000"/>
          <w:sz w:val="32"/>
          <w:szCs w:val="32"/>
          <w:lang w:eastAsia="zh-CN"/>
        </w:rPr>
        <w:t>类）</w:t>
      </w:r>
      <w:r>
        <w:rPr>
          <w:rStyle w:val="15"/>
          <w:rFonts w:hint="eastAsia" w:ascii="方正仿宋_GBK" w:hAnsi="方正仿宋_GBK" w:eastAsia="方正仿宋_GBK" w:cs="方正仿宋_GBK"/>
          <w:b/>
          <w:bCs w:val="0"/>
          <w:color w:val="000000"/>
          <w:sz w:val="32"/>
          <w:szCs w:val="32"/>
        </w:rPr>
        <w:t>类</w:t>
      </w:r>
      <w:r>
        <w:rPr>
          <w:rStyle w:val="15"/>
          <w:rFonts w:hint="eastAsia" w:ascii="方正仿宋_GBK" w:hAnsi="方正仿宋_GBK" w:eastAsia="方正仿宋_GBK" w:cs="方正仿宋_GBK"/>
          <w:b/>
          <w:bCs w:val="0"/>
          <w:color w:val="000000"/>
          <w:sz w:val="32"/>
          <w:szCs w:val="32"/>
          <w:lang w:eastAsia="zh-CN"/>
        </w:rPr>
        <w:t>住房改革支出</w:t>
      </w:r>
      <w:r>
        <w:rPr>
          <w:rStyle w:val="15"/>
          <w:rFonts w:hint="eastAsia" w:ascii="方正仿宋_GBK" w:hAnsi="方正仿宋_GBK" w:eastAsia="方正仿宋_GBK" w:cs="方正仿宋_GBK"/>
          <w:b/>
          <w:bCs w:val="0"/>
          <w:color w:val="000000"/>
          <w:sz w:val="32"/>
          <w:szCs w:val="32"/>
        </w:rPr>
        <w:t>（款）</w:t>
      </w:r>
      <w:r>
        <w:rPr>
          <w:rStyle w:val="15"/>
          <w:rFonts w:hint="eastAsia" w:ascii="方正仿宋_GBK" w:hAnsi="方正仿宋_GBK" w:eastAsia="方正仿宋_GBK" w:cs="方正仿宋_GBK"/>
          <w:b/>
          <w:bCs w:val="0"/>
          <w:color w:val="000000"/>
          <w:sz w:val="32"/>
          <w:szCs w:val="32"/>
          <w:lang w:eastAsia="zh-CN"/>
        </w:rPr>
        <w:t>住房公积金</w:t>
      </w:r>
      <w:r>
        <w:rPr>
          <w:rStyle w:val="15"/>
          <w:rFonts w:hint="eastAsia" w:ascii="方正仿宋_GBK" w:hAnsi="方正仿宋_GBK" w:eastAsia="方正仿宋_GBK" w:cs="方正仿宋_GBK"/>
          <w:b/>
          <w:bCs w:val="0"/>
          <w:color w:val="000000"/>
          <w:sz w:val="32"/>
          <w:szCs w:val="32"/>
        </w:rPr>
        <w:t>（项）</w:t>
      </w:r>
      <w:r>
        <w:rPr>
          <w:rStyle w:val="15"/>
          <w:rFonts w:hint="eastAsia" w:ascii="方正仿宋_GBK" w:hAnsi="方正仿宋_GBK" w:eastAsia="方正仿宋_GBK" w:cs="方正仿宋_GBK"/>
          <w:b w:val="0"/>
          <w:bCs/>
          <w:color w:val="000000"/>
          <w:sz w:val="32"/>
          <w:szCs w:val="32"/>
        </w:rPr>
        <w:t>:支出决算为</w:t>
      </w:r>
      <w:r>
        <w:rPr>
          <w:rStyle w:val="15"/>
          <w:rFonts w:hint="eastAsia" w:ascii="方正仿宋_GBK" w:hAnsi="方正仿宋_GBK" w:eastAsia="方正仿宋_GBK" w:cs="方正仿宋_GBK"/>
          <w:b w:val="0"/>
          <w:bCs/>
          <w:color w:val="000000"/>
          <w:sz w:val="32"/>
          <w:szCs w:val="32"/>
          <w:lang w:val="en-US" w:eastAsia="zh-CN"/>
        </w:rPr>
        <w:t>74.29</w:t>
      </w:r>
      <w:r>
        <w:rPr>
          <w:rStyle w:val="15"/>
          <w:rFonts w:hint="eastAsia" w:ascii="方正仿宋_GBK" w:hAnsi="方正仿宋_GBK" w:eastAsia="方正仿宋_GBK" w:cs="方正仿宋_GBK"/>
          <w:b w:val="0"/>
          <w:bCs/>
          <w:color w:val="000000"/>
          <w:sz w:val="32"/>
          <w:szCs w:val="32"/>
        </w:rPr>
        <w:t>万元，完成预算</w:t>
      </w:r>
      <w:r>
        <w:rPr>
          <w:rStyle w:val="15"/>
          <w:rFonts w:hint="eastAsia" w:ascii="方正仿宋_GBK" w:hAnsi="方正仿宋_GBK" w:eastAsia="方正仿宋_GBK" w:cs="方正仿宋_GBK"/>
          <w:b w:val="0"/>
          <w:bCs/>
          <w:color w:val="000000"/>
          <w:sz w:val="32"/>
          <w:szCs w:val="32"/>
          <w:lang w:val="en-US" w:eastAsia="zh-CN"/>
        </w:rPr>
        <w:t>99.4</w:t>
      </w:r>
      <w:r>
        <w:rPr>
          <w:rStyle w:val="15"/>
          <w:rFonts w:hint="eastAsia" w:ascii="方正仿宋_GBK" w:hAnsi="方正仿宋_GBK" w:eastAsia="方正仿宋_GBK" w:cs="方正仿宋_GBK"/>
          <w:b w:val="0"/>
          <w:bCs/>
          <w:color w:val="000000"/>
          <w:sz w:val="32"/>
          <w:szCs w:val="32"/>
        </w:rPr>
        <w:t>%。</w:t>
      </w:r>
    </w:p>
    <w:p>
      <w:pPr>
        <w:tabs>
          <w:tab w:val="right" w:pos="8306"/>
        </w:tabs>
        <w:spacing w:line="600" w:lineRule="exact"/>
        <w:ind w:firstLine="640"/>
        <w:outlineLvl w:val="1"/>
        <w:rPr>
          <w:rStyle w:val="33"/>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3"/>
          <w:rFonts w:hint="eastAsia" w:ascii="黑体" w:hAnsi="黑体" w:eastAsia="黑体"/>
          <w:b w:val="0"/>
        </w:rPr>
        <w:t>般公共预算财政拨款基本支出决算情况说明</w:t>
      </w:r>
      <w:bookmarkEnd w:id="44"/>
      <w:bookmarkEnd w:id="45"/>
      <w:r>
        <w:rPr>
          <w:rStyle w:val="33"/>
          <w:rFonts w:ascii="黑体" w:hAnsi="黑体" w:eastAsia="黑体"/>
          <w:b w:val="0"/>
        </w:rPr>
        <w:tab/>
      </w:r>
    </w:p>
    <w:p>
      <w:pPr>
        <w:spacing w:line="600" w:lineRule="exact"/>
        <w:ind w:firstLine="645"/>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2019年一般公共预算财政拨款基本支出</w:t>
      </w:r>
      <w:r>
        <w:rPr>
          <w:rFonts w:hint="eastAsia" w:ascii="方正仿宋_GBK" w:hAnsi="方正仿宋_GBK" w:eastAsia="方正仿宋_GBK" w:cs="方正仿宋_GBK"/>
          <w:color w:val="000000"/>
          <w:sz w:val="32"/>
          <w:szCs w:val="32"/>
          <w:lang w:val="en-US" w:eastAsia="zh-CN"/>
        </w:rPr>
        <w:t>1516.52</w:t>
      </w:r>
      <w:r>
        <w:rPr>
          <w:rFonts w:hint="eastAsia" w:ascii="方正仿宋_GBK" w:hAnsi="方正仿宋_GBK" w:eastAsia="方正仿宋_GBK" w:cs="方正仿宋_GBK"/>
          <w:color w:val="000000"/>
          <w:sz w:val="32"/>
          <w:szCs w:val="32"/>
        </w:rPr>
        <w:t>万元，其中：</w:t>
      </w:r>
    </w:p>
    <w:p>
      <w:pPr>
        <w:spacing w:line="600" w:lineRule="exact"/>
        <w:ind w:firstLine="645"/>
        <w:rPr>
          <w:rFonts w:ascii="仿宋" w:hAnsi="仿宋" w:eastAsia="仿宋"/>
          <w:color w:val="000000"/>
          <w:sz w:val="32"/>
          <w:szCs w:val="32"/>
        </w:rPr>
      </w:pPr>
      <w:r>
        <w:rPr>
          <w:rFonts w:hint="eastAsia" w:ascii="方正仿宋_GBK" w:hAnsi="方正仿宋_GBK" w:eastAsia="方正仿宋_GBK" w:cs="方正仿宋_GBK"/>
          <w:color w:val="000000"/>
          <w:sz w:val="32"/>
          <w:szCs w:val="32"/>
        </w:rPr>
        <w:t>人员经费</w:t>
      </w:r>
      <w:r>
        <w:rPr>
          <w:rFonts w:hint="eastAsia" w:ascii="方正仿宋_GBK" w:hAnsi="方正仿宋_GBK" w:eastAsia="方正仿宋_GBK" w:cs="方正仿宋_GBK"/>
          <w:color w:val="000000"/>
          <w:sz w:val="32"/>
          <w:szCs w:val="32"/>
          <w:lang w:val="en-US" w:eastAsia="zh-CN"/>
        </w:rPr>
        <w:t>1281.27</w:t>
      </w:r>
      <w:r>
        <w:rPr>
          <w:rFonts w:hint="eastAsia" w:ascii="方正仿宋_GBK" w:hAnsi="方正仿宋_GBK" w:eastAsia="方正仿宋_GBK" w:cs="方正仿宋_GBK"/>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日常公用经费</w:t>
      </w:r>
      <w:r>
        <w:rPr>
          <w:rFonts w:hint="eastAsia" w:ascii="方正仿宋_GBK" w:hAnsi="方正仿宋_GBK" w:eastAsia="方正仿宋_GBK" w:cs="方正仿宋_GBK"/>
          <w:color w:val="000000"/>
          <w:sz w:val="32"/>
          <w:szCs w:val="32"/>
          <w:lang w:val="en-US" w:eastAsia="zh-CN"/>
        </w:rPr>
        <w:t>235.25</w:t>
      </w:r>
      <w:r>
        <w:rPr>
          <w:rFonts w:hint="eastAsia" w:ascii="方正仿宋_GBK" w:hAnsi="方正仿宋_GBK" w:eastAsia="方正仿宋_GBK" w:cs="方正仿宋_GBK"/>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3"/>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33"/>
          <w:rFonts w:hint="eastAsia" w:ascii="黑体" w:hAnsi="黑体" w:eastAsia="黑体"/>
        </w:rPr>
        <w:t>“</w:t>
      </w:r>
      <w:r>
        <w:rPr>
          <w:rStyle w:val="33"/>
          <w:rFonts w:hint="eastAsia" w:ascii="黑体" w:hAnsi="黑体" w:eastAsia="黑体"/>
          <w:b w:val="0"/>
        </w:rPr>
        <w:t>三公”经费财政拨款支出决算情况说明</w:t>
      </w:r>
      <w:bookmarkEnd w:id="46"/>
      <w:bookmarkEnd w:id="47"/>
    </w:p>
    <w:p>
      <w:pPr>
        <w:spacing w:line="600" w:lineRule="exact"/>
        <w:ind w:firstLine="640"/>
        <w:outlineLvl w:val="2"/>
        <w:rPr>
          <w:rFonts w:hint="eastAsia" w:ascii="方正仿宋_GBK" w:hAnsi="方正仿宋_GBK" w:eastAsia="方正仿宋_GBK" w:cs="方正仿宋_GBK"/>
          <w:b/>
          <w:color w:val="000000"/>
          <w:sz w:val="32"/>
          <w:szCs w:val="32"/>
        </w:rPr>
      </w:pPr>
      <w:bookmarkStart w:id="48" w:name="_Toc15377216"/>
      <w:r>
        <w:rPr>
          <w:rFonts w:hint="eastAsia" w:ascii="方正仿宋_GBK" w:hAnsi="方正仿宋_GBK" w:eastAsia="方正仿宋_GBK" w:cs="方正仿宋_GBK"/>
          <w:b/>
          <w:color w:val="000000"/>
          <w:sz w:val="32"/>
          <w:szCs w:val="32"/>
        </w:rPr>
        <w:t>（一）“三公”经费财政拨款支出决算总体情况说明</w:t>
      </w:r>
      <w:bookmarkEnd w:id="48"/>
    </w:p>
    <w:p>
      <w:pPr>
        <w:spacing w:line="600" w:lineRule="exact"/>
        <w:ind w:firstLine="640"/>
        <w:rPr>
          <w:rFonts w:hint="eastAsia" w:ascii="方正仿宋_GBK" w:hAnsi="方正仿宋_GBK" w:eastAsia="方正仿宋_GBK" w:cs="方正仿宋_GBK"/>
          <w:color w:val="C00000"/>
          <w:sz w:val="32"/>
          <w:szCs w:val="32"/>
        </w:rPr>
      </w:pPr>
      <w:r>
        <w:rPr>
          <w:rFonts w:hint="eastAsia" w:ascii="方正仿宋_GBK" w:hAnsi="方正仿宋_GBK" w:eastAsia="方正仿宋_GBK" w:cs="方正仿宋_GBK"/>
          <w:color w:val="000000"/>
          <w:sz w:val="32"/>
          <w:szCs w:val="32"/>
        </w:rPr>
        <w:t>2019年“三公”经费财政拨款支出决算为</w:t>
      </w:r>
      <w:r>
        <w:rPr>
          <w:rFonts w:hint="eastAsia" w:ascii="方正仿宋_GBK" w:hAnsi="方正仿宋_GBK" w:eastAsia="方正仿宋_GBK" w:cs="方正仿宋_GBK"/>
          <w:color w:val="000000"/>
          <w:sz w:val="32"/>
          <w:szCs w:val="32"/>
          <w:lang w:val="en-US" w:eastAsia="zh-CN"/>
        </w:rPr>
        <w:t>18.39</w:t>
      </w:r>
      <w:r>
        <w:rPr>
          <w:rFonts w:hint="eastAsia" w:ascii="方正仿宋_GBK" w:hAnsi="方正仿宋_GBK" w:eastAsia="方正仿宋_GBK" w:cs="方正仿宋_GBK"/>
          <w:color w:val="000000"/>
          <w:sz w:val="32"/>
          <w:szCs w:val="32"/>
        </w:rPr>
        <w:t>万元，完成预算</w:t>
      </w:r>
      <w:r>
        <w:rPr>
          <w:rFonts w:hint="eastAsia" w:ascii="方正仿宋_GBK" w:hAnsi="方正仿宋_GBK" w:eastAsia="方正仿宋_GBK" w:cs="方正仿宋_GBK"/>
          <w:color w:val="000000"/>
          <w:sz w:val="32"/>
          <w:szCs w:val="32"/>
          <w:lang w:val="en-US" w:eastAsia="zh-CN"/>
        </w:rPr>
        <w:t>82</w:t>
      </w:r>
      <w:r>
        <w:rPr>
          <w:rFonts w:hint="eastAsia" w:ascii="方正仿宋_GBK" w:hAnsi="方正仿宋_GBK" w:eastAsia="方正仿宋_GBK" w:cs="方正仿宋_GBK"/>
          <w:color w:val="000000"/>
          <w:sz w:val="32"/>
          <w:szCs w:val="32"/>
        </w:rPr>
        <w:t>%，决算数小于预算数的主要原因是</w:t>
      </w:r>
      <w:r>
        <w:rPr>
          <w:rFonts w:hint="eastAsia" w:ascii="方正仿宋_GBK" w:hAnsi="方正仿宋_GBK" w:eastAsia="方正仿宋_GBK" w:cs="方正仿宋_GBK"/>
          <w:color w:val="000000"/>
          <w:sz w:val="32"/>
          <w:szCs w:val="32"/>
          <w:lang w:eastAsia="zh-CN"/>
        </w:rPr>
        <w:t>认真</w:t>
      </w:r>
      <w:r>
        <w:rPr>
          <w:rFonts w:hint="eastAsia" w:ascii="方正仿宋_GBK" w:hAnsi="方正仿宋_GBK" w:eastAsia="方正仿宋_GBK" w:cs="方正仿宋_GBK"/>
          <w:color w:val="auto"/>
          <w:sz w:val="32"/>
          <w:szCs w:val="32"/>
          <w:lang w:eastAsia="zh-CN"/>
        </w:rPr>
        <w:t>贯彻落实中央八项规定和四川省委省政府十项规定、巴中市委市政府九项规定要求，厉行节约，从严控制“三公”经费支出，“三公”经费支出总额较以前年度有所下降。</w:t>
      </w:r>
    </w:p>
    <w:p>
      <w:pPr>
        <w:spacing w:line="600" w:lineRule="exact"/>
        <w:ind w:firstLine="640"/>
        <w:outlineLvl w:val="2"/>
        <w:rPr>
          <w:rFonts w:hint="eastAsia" w:ascii="方正仿宋_GBK" w:hAnsi="方正仿宋_GBK" w:eastAsia="方正仿宋_GBK" w:cs="方正仿宋_GBK"/>
          <w:b/>
          <w:color w:val="000000"/>
          <w:sz w:val="32"/>
          <w:szCs w:val="32"/>
        </w:rPr>
      </w:pPr>
      <w:bookmarkStart w:id="49" w:name="_Toc15377217"/>
      <w:r>
        <w:rPr>
          <w:rFonts w:hint="eastAsia" w:ascii="方正仿宋_GBK" w:hAnsi="方正仿宋_GBK" w:eastAsia="方正仿宋_GBK" w:cs="方正仿宋_GBK"/>
          <w:b/>
          <w:color w:val="000000"/>
          <w:sz w:val="32"/>
          <w:szCs w:val="32"/>
        </w:rPr>
        <w:t>（二）“三公”经费财政拨款支出决算具体情况说明</w:t>
      </w:r>
      <w:bookmarkEnd w:id="49"/>
    </w:p>
    <w:p>
      <w:pPr>
        <w:spacing w:line="60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2019年“三公”经费财政拨款支出决算中，因公出国（境）费支出决算</w:t>
      </w:r>
      <w:r>
        <w:rPr>
          <w:rFonts w:hint="eastAsia" w:ascii="方正仿宋_GBK" w:hAnsi="方正仿宋_GBK" w:eastAsia="方正仿宋_GBK" w:cs="方正仿宋_GBK"/>
          <w:color w:val="000000"/>
          <w:sz w:val="32"/>
          <w:szCs w:val="32"/>
          <w:lang w:val="en-US" w:eastAsia="zh-CN"/>
        </w:rPr>
        <w:t>4.24</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23</w:t>
      </w:r>
      <w:r>
        <w:rPr>
          <w:rFonts w:hint="eastAsia" w:ascii="方正仿宋_GBK" w:hAnsi="方正仿宋_GBK" w:eastAsia="方正仿宋_GBK" w:cs="方正仿宋_GBK"/>
          <w:color w:val="000000"/>
          <w:sz w:val="32"/>
          <w:szCs w:val="32"/>
        </w:rPr>
        <w:t>%；公务用车购置及运行维护费支出决算</w:t>
      </w:r>
      <w:r>
        <w:rPr>
          <w:rFonts w:hint="eastAsia" w:ascii="方正仿宋_GBK" w:hAnsi="方正仿宋_GBK" w:eastAsia="方正仿宋_GBK" w:cs="方正仿宋_GBK"/>
          <w:color w:val="000000"/>
          <w:sz w:val="32"/>
          <w:szCs w:val="32"/>
          <w:lang w:val="en-US" w:eastAsia="zh-CN"/>
        </w:rPr>
        <w:t>10.5</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57</w:t>
      </w:r>
      <w:r>
        <w:rPr>
          <w:rFonts w:hint="eastAsia" w:ascii="方正仿宋_GBK" w:hAnsi="方正仿宋_GBK" w:eastAsia="方正仿宋_GBK" w:cs="方正仿宋_GBK"/>
          <w:color w:val="000000"/>
          <w:sz w:val="32"/>
          <w:szCs w:val="32"/>
        </w:rPr>
        <w:t>%；公务接待费支出决算</w:t>
      </w:r>
      <w:r>
        <w:rPr>
          <w:rFonts w:hint="eastAsia" w:ascii="方正仿宋_GBK" w:hAnsi="方正仿宋_GBK" w:eastAsia="方正仿宋_GBK" w:cs="方正仿宋_GBK"/>
          <w:color w:val="000000"/>
          <w:sz w:val="32"/>
          <w:szCs w:val="32"/>
          <w:lang w:val="en-US" w:eastAsia="zh-CN"/>
        </w:rPr>
        <w:t>3.6</w:t>
      </w:r>
      <w:r>
        <w:rPr>
          <w:rFonts w:hint="eastAsia" w:ascii="方正仿宋_GBK" w:hAnsi="方正仿宋_GBK" w:eastAsia="方正仿宋_GBK" w:cs="方正仿宋_GBK"/>
          <w:color w:val="000000"/>
          <w:sz w:val="32"/>
          <w:szCs w:val="32"/>
        </w:rPr>
        <w:t>万元，占</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%。具体情况如下：</w:t>
      </w:r>
    </w:p>
    <w:p>
      <w:pPr>
        <w:spacing w:line="600" w:lineRule="exact"/>
        <w:jc w:val="center"/>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w:t>
      </w:r>
    </w:p>
    <w:p>
      <w:pPr>
        <w:spacing w:line="600" w:lineRule="exact"/>
        <w:ind w:firstLine="640"/>
        <w:jc w:val="center"/>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单位：万元</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r>
        <w:drawing>
          <wp:anchor distT="0" distB="0" distL="114300" distR="114300" simplePos="0" relativeHeight="251668480" behindDoc="1" locked="0" layoutInCell="1" allowOverlap="1">
            <wp:simplePos x="0" y="0"/>
            <wp:positionH relativeFrom="column">
              <wp:posOffset>241300</wp:posOffset>
            </wp:positionH>
            <wp:positionV relativeFrom="paragraph">
              <wp:posOffset>109855</wp:posOffset>
            </wp:positionV>
            <wp:extent cx="4572000" cy="1856105"/>
            <wp:effectExtent l="4445" t="4445" r="14605" b="82550"/>
            <wp:wrapTight wrapText="bothSides">
              <wp:wrapPolygon>
                <wp:start x="-21" y="-52"/>
                <wp:lineTo x="-21" y="21452"/>
                <wp:lineTo x="21579" y="21452"/>
                <wp:lineTo x="21579" y="-52"/>
                <wp:lineTo x="-21" y="-52"/>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b/>
          <w:color w:val="000000"/>
          <w:sz w:val="32"/>
          <w:szCs w:val="32"/>
        </w:rPr>
        <w:t>1.因公出国（境）经费支出</w:t>
      </w:r>
      <w:r>
        <w:rPr>
          <w:rFonts w:hint="eastAsia" w:ascii="方正仿宋_GBK" w:hAnsi="方正仿宋_GBK" w:eastAsia="方正仿宋_GBK" w:cs="方正仿宋_GBK"/>
          <w:color w:val="000000"/>
          <w:sz w:val="32"/>
          <w:szCs w:val="32"/>
          <w:lang w:val="en-US" w:eastAsia="zh-CN"/>
        </w:rPr>
        <w:t>4.24</w:t>
      </w:r>
      <w:r>
        <w:rPr>
          <w:rFonts w:hint="eastAsia" w:ascii="方正仿宋_GBK" w:hAnsi="方正仿宋_GBK" w:eastAsia="方正仿宋_GBK" w:cs="方正仿宋_GBK"/>
          <w:color w:val="000000"/>
          <w:sz w:val="32"/>
          <w:szCs w:val="32"/>
        </w:rPr>
        <w:t>万元，</w:t>
      </w:r>
      <w:r>
        <w:rPr>
          <w:rStyle w:val="15"/>
          <w:rFonts w:hint="eastAsia" w:ascii="方正仿宋_GBK" w:hAnsi="方正仿宋_GBK" w:eastAsia="方正仿宋_GBK" w:cs="方正仿宋_GBK"/>
          <w:b w:val="0"/>
          <w:bCs/>
          <w:color w:val="000000"/>
          <w:sz w:val="32"/>
          <w:szCs w:val="32"/>
        </w:rPr>
        <w:t>完成预算</w:t>
      </w:r>
      <w:r>
        <w:rPr>
          <w:rStyle w:val="15"/>
          <w:rFonts w:hint="eastAsia" w:ascii="方正仿宋_GBK" w:hAnsi="方正仿宋_GBK" w:eastAsia="方正仿宋_GBK" w:cs="方正仿宋_GBK"/>
          <w:b w:val="0"/>
          <w:bCs/>
          <w:color w:val="000000"/>
          <w:sz w:val="32"/>
          <w:szCs w:val="32"/>
          <w:lang w:val="en-US" w:eastAsia="zh-CN"/>
        </w:rPr>
        <w:t>100</w:t>
      </w:r>
      <w:r>
        <w:rPr>
          <w:rStyle w:val="15"/>
          <w:rFonts w:hint="eastAsia" w:ascii="方正仿宋_GBK" w:hAnsi="方正仿宋_GBK" w:eastAsia="方正仿宋_GBK" w:cs="方正仿宋_GBK"/>
          <w:b w:val="0"/>
          <w:bCs/>
          <w:color w:val="000000"/>
          <w:sz w:val="32"/>
          <w:szCs w:val="32"/>
        </w:rPr>
        <w:t>%。</w:t>
      </w:r>
      <w:r>
        <w:rPr>
          <w:rFonts w:hint="eastAsia" w:ascii="方正仿宋_GBK" w:hAnsi="方正仿宋_GBK" w:eastAsia="方正仿宋_GBK" w:cs="方正仿宋_GBK"/>
          <w:color w:val="000000"/>
          <w:sz w:val="32"/>
          <w:szCs w:val="32"/>
        </w:rPr>
        <w:t>全年安排因公出国（境）团组</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次，出国（境）</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人。因公出国（境）支出决算比2018年减少</w:t>
      </w:r>
      <w:r>
        <w:rPr>
          <w:rFonts w:hint="eastAsia" w:ascii="方正仿宋_GBK" w:hAnsi="方正仿宋_GBK" w:eastAsia="方正仿宋_GBK" w:cs="方正仿宋_GBK"/>
          <w:color w:val="000000"/>
          <w:sz w:val="32"/>
          <w:szCs w:val="32"/>
          <w:lang w:val="en-US" w:eastAsia="zh-CN"/>
        </w:rPr>
        <w:t>1.53</w:t>
      </w:r>
      <w:r>
        <w:rPr>
          <w:rFonts w:hint="eastAsia" w:ascii="方正仿宋_GBK" w:hAnsi="方正仿宋_GBK" w:eastAsia="方正仿宋_GBK" w:cs="方正仿宋_GBK"/>
          <w:color w:val="000000"/>
          <w:sz w:val="32"/>
          <w:szCs w:val="32"/>
        </w:rPr>
        <w:t>万元，下降</w:t>
      </w:r>
      <w:r>
        <w:rPr>
          <w:rFonts w:hint="eastAsia" w:ascii="方正仿宋_GBK" w:hAnsi="方正仿宋_GBK" w:eastAsia="方正仿宋_GBK" w:cs="方正仿宋_GBK"/>
          <w:color w:val="000000"/>
          <w:sz w:val="32"/>
          <w:szCs w:val="32"/>
          <w:lang w:val="en-US" w:eastAsia="zh-CN"/>
        </w:rPr>
        <w:t>27</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auto"/>
          <w:sz w:val="32"/>
          <w:szCs w:val="32"/>
          <w:lang w:eastAsia="zh-CN"/>
        </w:rPr>
        <w:t>主要原因是认真贯彻落实中央八项规定和省政府十项规定要求，厉行节约，从严控制出国人数和次数，</w:t>
      </w:r>
      <w:r>
        <w:rPr>
          <w:rFonts w:hint="eastAsia" w:ascii="方正仿宋_GBK" w:hAnsi="方正仿宋_GBK" w:eastAsia="方正仿宋_GBK" w:cs="方正仿宋_GBK"/>
          <w:color w:val="auto"/>
          <w:sz w:val="32"/>
          <w:szCs w:val="32"/>
          <w:lang w:val="en-US" w:eastAsia="zh-CN"/>
        </w:rPr>
        <w:t>2019年出国人数较2018年有所减少。</w:t>
      </w:r>
      <w:r>
        <w:rPr>
          <w:rFonts w:hint="eastAsia" w:ascii="方正仿宋_GBK" w:hAnsi="方正仿宋_GBK" w:eastAsia="方正仿宋_GBK" w:cs="方正仿宋_GBK"/>
          <w:color w:val="000000"/>
          <w:sz w:val="32"/>
          <w:szCs w:val="32"/>
        </w:rPr>
        <w:t>开支内容包括：</w:t>
      </w:r>
      <w:r>
        <w:rPr>
          <w:rFonts w:hint="eastAsia" w:ascii="方正仿宋_GBK" w:hAnsi="方正仿宋_GBK" w:eastAsia="方正仿宋_GBK" w:cs="方正仿宋_GBK"/>
          <w:color w:val="000000"/>
          <w:sz w:val="32"/>
          <w:szCs w:val="32"/>
          <w:lang w:eastAsia="zh-CN"/>
        </w:rPr>
        <w:t>为加快全市绩效管理改革，加强预算绩效管理力量，进一步提升绩效管理干部队伍理论素养和能力水平，推动财政资金聚力增效，财政局分管预算绩效工作领导</w:t>
      </w:r>
      <w:r>
        <w:rPr>
          <w:rFonts w:hint="eastAsia" w:ascii="方正仿宋_GBK" w:hAnsi="方正仿宋_GBK" w:eastAsia="方正仿宋_GBK" w:cs="方正仿宋_GBK"/>
          <w:color w:val="000000"/>
          <w:sz w:val="32"/>
          <w:szCs w:val="32"/>
          <w:lang w:val="en-US" w:eastAsia="zh-CN"/>
        </w:rPr>
        <w:t>2019年7月7日至20日</w:t>
      </w:r>
      <w:r>
        <w:rPr>
          <w:rFonts w:hint="eastAsia" w:ascii="方正仿宋_GBK" w:hAnsi="方正仿宋_GBK" w:eastAsia="方正仿宋_GBK" w:cs="方正仿宋_GBK"/>
          <w:color w:val="000000"/>
          <w:sz w:val="32"/>
          <w:szCs w:val="32"/>
          <w:lang w:eastAsia="zh-CN"/>
        </w:rPr>
        <w:t>参加省财政厅组团开展的双跨团赴英国预算绩效管理培训。</w:t>
      </w:r>
    </w:p>
    <w:p>
      <w:pPr>
        <w:spacing w:line="600" w:lineRule="exact"/>
        <w:ind w:firstLine="640"/>
        <w:rPr>
          <w:rFonts w:hint="eastAsia" w:ascii="方正仿宋_GBK" w:hAnsi="方正仿宋_GBK" w:eastAsia="方正仿宋_GBK" w:cs="方正仿宋_GBK"/>
          <w:b/>
          <w:color w:val="C00000"/>
          <w:sz w:val="32"/>
          <w:szCs w:val="32"/>
          <w:lang w:eastAsia="zh-CN"/>
        </w:rPr>
      </w:pPr>
      <w:r>
        <w:rPr>
          <w:rFonts w:hint="eastAsia" w:ascii="方正仿宋_GBK" w:hAnsi="方正仿宋_GBK" w:eastAsia="方正仿宋_GBK" w:cs="方正仿宋_GBK"/>
          <w:b/>
          <w:color w:val="000000"/>
          <w:sz w:val="32"/>
          <w:szCs w:val="32"/>
        </w:rPr>
        <w:t>2.公务用车购置及运行维护费支出</w:t>
      </w:r>
      <w:r>
        <w:rPr>
          <w:rFonts w:hint="eastAsia" w:ascii="方正仿宋_GBK" w:hAnsi="方正仿宋_GBK" w:eastAsia="方正仿宋_GBK" w:cs="方正仿宋_GBK"/>
          <w:color w:val="000000"/>
          <w:sz w:val="32"/>
          <w:szCs w:val="32"/>
          <w:lang w:val="en-US" w:eastAsia="zh-CN"/>
        </w:rPr>
        <w:t>10.55</w:t>
      </w:r>
      <w:r>
        <w:rPr>
          <w:rFonts w:hint="eastAsia" w:ascii="方正仿宋_GBK" w:hAnsi="方正仿宋_GBK" w:eastAsia="方正仿宋_GBK" w:cs="方正仿宋_GBK"/>
          <w:color w:val="000000"/>
          <w:sz w:val="32"/>
          <w:szCs w:val="32"/>
        </w:rPr>
        <w:t>万元,</w:t>
      </w:r>
      <w:r>
        <w:rPr>
          <w:rStyle w:val="15"/>
          <w:rFonts w:hint="eastAsia" w:ascii="方正仿宋_GBK" w:hAnsi="方正仿宋_GBK" w:eastAsia="方正仿宋_GBK" w:cs="方正仿宋_GBK"/>
          <w:b w:val="0"/>
          <w:bCs/>
          <w:color w:val="000000"/>
          <w:sz w:val="32"/>
          <w:szCs w:val="32"/>
        </w:rPr>
        <w:t>完成预算</w:t>
      </w:r>
      <w:r>
        <w:rPr>
          <w:rStyle w:val="15"/>
          <w:rFonts w:hint="eastAsia" w:ascii="方正仿宋_GBK" w:hAnsi="方正仿宋_GBK" w:eastAsia="方正仿宋_GBK" w:cs="方正仿宋_GBK"/>
          <w:b w:val="0"/>
          <w:bCs/>
          <w:color w:val="000000"/>
          <w:sz w:val="32"/>
          <w:szCs w:val="32"/>
          <w:lang w:val="en-US" w:eastAsia="zh-CN"/>
        </w:rPr>
        <w:t>91</w:t>
      </w:r>
      <w:r>
        <w:rPr>
          <w:rStyle w:val="15"/>
          <w:rFonts w:hint="eastAsia" w:ascii="方正仿宋_GBK" w:hAnsi="方正仿宋_GBK" w:eastAsia="方正仿宋_GBK" w:cs="方正仿宋_GBK"/>
          <w:b w:val="0"/>
          <w:bCs/>
          <w:color w:val="000000"/>
          <w:sz w:val="32"/>
          <w:szCs w:val="32"/>
        </w:rPr>
        <w:t>%。</w:t>
      </w:r>
      <w:r>
        <w:rPr>
          <w:rFonts w:hint="eastAsia" w:ascii="方正仿宋_GBK" w:hAnsi="方正仿宋_GBK" w:eastAsia="方正仿宋_GBK" w:cs="方正仿宋_GBK"/>
          <w:color w:val="000000"/>
          <w:sz w:val="32"/>
          <w:szCs w:val="32"/>
        </w:rPr>
        <w:t>公务用车购置及运行维护费支出决算比2018年减少</w:t>
      </w:r>
      <w:r>
        <w:rPr>
          <w:rFonts w:hint="eastAsia" w:ascii="方正仿宋_GBK" w:hAnsi="方正仿宋_GBK" w:eastAsia="方正仿宋_GBK" w:cs="方正仿宋_GBK"/>
          <w:color w:val="000000"/>
          <w:sz w:val="32"/>
          <w:szCs w:val="32"/>
          <w:lang w:val="en-US" w:eastAsia="zh-CN"/>
        </w:rPr>
        <w:t>1.45</w:t>
      </w:r>
      <w:r>
        <w:rPr>
          <w:rFonts w:hint="eastAsia" w:ascii="方正仿宋_GBK" w:hAnsi="方正仿宋_GBK" w:eastAsia="方正仿宋_GBK" w:cs="方正仿宋_GBK"/>
          <w:color w:val="000000"/>
          <w:sz w:val="32"/>
          <w:szCs w:val="32"/>
        </w:rPr>
        <w:t>万元，下降</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%。主要原因是</w:t>
      </w:r>
      <w:r>
        <w:rPr>
          <w:rFonts w:hint="eastAsia" w:ascii="方正仿宋_GBK" w:hAnsi="方正仿宋_GBK" w:eastAsia="方正仿宋_GBK" w:cs="方正仿宋_GBK"/>
          <w:color w:val="auto"/>
          <w:sz w:val="32"/>
          <w:szCs w:val="32"/>
          <w:lang w:eastAsia="zh-CN"/>
        </w:rPr>
        <w:t>认真贯彻落实中央八项规定和省政府十项规定要求，厉行节约，用车频率有所减少。</w:t>
      </w:r>
    </w:p>
    <w:p>
      <w:pPr>
        <w:spacing w:line="60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其中：</w:t>
      </w:r>
      <w:r>
        <w:rPr>
          <w:rFonts w:hint="eastAsia" w:ascii="方正仿宋_GBK" w:hAnsi="方正仿宋_GBK" w:eastAsia="方正仿宋_GBK" w:cs="方正仿宋_GBK"/>
          <w:b/>
          <w:color w:val="000000"/>
          <w:sz w:val="32"/>
          <w:szCs w:val="32"/>
        </w:rPr>
        <w:t>公务用车购置支出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万元。全年按规定更新购置公务用车</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辆，金额</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元。截至2019年12月底，单位共有公务用车</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辆，其中：主要领导干部用车</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辆、机要通信用车</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辆、应急保障用车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 xml:space="preserve">辆、 </w:t>
      </w:r>
      <w:r>
        <w:rPr>
          <w:rFonts w:hint="eastAsia" w:ascii="方正仿宋_GBK" w:hAnsi="方正仿宋_GBK" w:eastAsia="方正仿宋_GBK" w:cs="方正仿宋_GBK"/>
          <w:color w:val="000000"/>
          <w:sz w:val="32"/>
          <w:szCs w:val="32"/>
          <w:lang w:eastAsia="zh-CN"/>
        </w:rPr>
        <w:t>其他一般公务</w:t>
      </w:r>
      <w:r>
        <w:rPr>
          <w:rFonts w:hint="eastAsia" w:ascii="方正仿宋_GBK" w:hAnsi="方正仿宋_GBK" w:eastAsia="方正仿宋_GBK" w:cs="方正仿宋_GBK"/>
          <w:color w:val="000000"/>
          <w:sz w:val="32"/>
          <w:szCs w:val="32"/>
        </w:rPr>
        <w:t>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w:t>
      </w:r>
      <w:r>
        <w:rPr>
          <w:rFonts w:hint="eastAsia" w:ascii="方正仿宋_GBK" w:hAnsi="方正仿宋_GBK" w:eastAsia="方正仿宋_GBK" w:cs="方正仿宋_GBK"/>
          <w:color w:val="000000"/>
          <w:sz w:val="32"/>
          <w:szCs w:val="32"/>
          <w:lang w:eastAsia="zh-CN"/>
        </w:rPr>
        <w:t>。</w:t>
      </w:r>
    </w:p>
    <w:p>
      <w:pPr>
        <w:spacing w:line="60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公务用车运行维护费支出</w:t>
      </w:r>
      <w:r>
        <w:rPr>
          <w:rFonts w:hint="eastAsia" w:ascii="方正仿宋_GBK" w:hAnsi="方正仿宋_GBK" w:eastAsia="方正仿宋_GBK" w:cs="方正仿宋_GBK"/>
          <w:color w:val="000000"/>
          <w:sz w:val="32"/>
          <w:szCs w:val="32"/>
          <w:lang w:val="en-US" w:eastAsia="zh-CN"/>
        </w:rPr>
        <w:t>10.66</w:t>
      </w:r>
      <w:r>
        <w:rPr>
          <w:rFonts w:hint="eastAsia" w:ascii="方正仿宋_GBK" w:hAnsi="方正仿宋_GBK" w:eastAsia="方正仿宋_GBK" w:cs="方正仿宋_GBK"/>
          <w:color w:val="000000"/>
          <w:sz w:val="32"/>
          <w:szCs w:val="32"/>
        </w:rPr>
        <w:t>万元。主要用于</w:t>
      </w:r>
      <w:r>
        <w:rPr>
          <w:rFonts w:hint="eastAsia" w:ascii="方正仿宋_GBK" w:hAnsi="方正仿宋_GBK" w:eastAsia="方正仿宋_GBK" w:cs="方正仿宋_GBK"/>
          <w:color w:val="000000"/>
          <w:kern w:val="2"/>
          <w:sz w:val="32"/>
          <w:szCs w:val="32"/>
          <w:lang w:val="en-US" w:eastAsia="zh-CN" w:bidi="ar-SA"/>
        </w:rPr>
        <w:t>财政业务交流、财政项目工作检查、区县乡财政业务指导</w:t>
      </w:r>
      <w:r>
        <w:rPr>
          <w:rFonts w:hint="eastAsia" w:ascii="方正仿宋_GBK" w:hAnsi="方正仿宋_GBK" w:eastAsia="方正仿宋_GBK" w:cs="方正仿宋_GBK"/>
          <w:color w:val="000000"/>
          <w:sz w:val="32"/>
          <w:szCs w:val="32"/>
        </w:rPr>
        <w:t>等所需的公务用车燃料费、维修费、过路过桥费、保险费等支出。</w:t>
      </w:r>
    </w:p>
    <w:p>
      <w:pPr>
        <w:numPr>
          <w:ilvl w:val="0"/>
          <w:numId w:val="0"/>
        </w:numPr>
        <w:spacing w:line="600" w:lineRule="exact"/>
        <w:ind w:firstLine="643"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color w:val="000000"/>
          <w:sz w:val="32"/>
          <w:szCs w:val="32"/>
          <w:lang w:val="en-US" w:eastAsia="zh-CN"/>
        </w:rPr>
        <w:t>3.</w:t>
      </w:r>
      <w:r>
        <w:rPr>
          <w:rFonts w:hint="eastAsia" w:ascii="方正仿宋_GBK" w:hAnsi="方正仿宋_GBK" w:eastAsia="方正仿宋_GBK" w:cs="方正仿宋_GBK"/>
          <w:b/>
          <w:color w:val="000000"/>
          <w:sz w:val="32"/>
          <w:szCs w:val="32"/>
        </w:rPr>
        <w:t>公务接待费支出</w:t>
      </w:r>
      <w:r>
        <w:rPr>
          <w:rFonts w:hint="eastAsia" w:ascii="方正仿宋_GBK" w:hAnsi="方正仿宋_GBK" w:eastAsia="方正仿宋_GBK" w:cs="方正仿宋_GBK"/>
          <w:color w:val="000000"/>
          <w:sz w:val="32"/>
          <w:szCs w:val="32"/>
          <w:lang w:val="en-US" w:eastAsia="zh-CN"/>
        </w:rPr>
        <w:t>3.6</w:t>
      </w:r>
      <w:r>
        <w:rPr>
          <w:rFonts w:hint="eastAsia" w:ascii="方正仿宋_GBK" w:hAnsi="方正仿宋_GBK" w:eastAsia="方正仿宋_GBK" w:cs="方正仿宋_GBK"/>
          <w:color w:val="000000"/>
          <w:sz w:val="32"/>
          <w:szCs w:val="32"/>
        </w:rPr>
        <w:t>万元，</w:t>
      </w:r>
      <w:r>
        <w:rPr>
          <w:rStyle w:val="15"/>
          <w:rFonts w:hint="eastAsia" w:ascii="方正仿宋_GBK" w:hAnsi="方正仿宋_GBK" w:eastAsia="方正仿宋_GBK" w:cs="方正仿宋_GBK"/>
          <w:b w:val="0"/>
          <w:bCs/>
          <w:color w:val="000000"/>
          <w:sz w:val="32"/>
          <w:szCs w:val="32"/>
        </w:rPr>
        <w:t>完成预算</w:t>
      </w:r>
      <w:r>
        <w:rPr>
          <w:rStyle w:val="15"/>
          <w:rFonts w:hint="eastAsia" w:ascii="方正仿宋_GBK" w:hAnsi="方正仿宋_GBK" w:eastAsia="方正仿宋_GBK" w:cs="方正仿宋_GBK"/>
          <w:b w:val="0"/>
          <w:bCs/>
          <w:color w:val="000000"/>
          <w:sz w:val="32"/>
          <w:szCs w:val="32"/>
          <w:lang w:val="en-US" w:eastAsia="zh-CN"/>
        </w:rPr>
        <w:t>54</w:t>
      </w:r>
      <w:r>
        <w:rPr>
          <w:rStyle w:val="15"/>
          <w:rFonts w:hint="eastAsia" w:ascii="方正仿宋_GBK" w:hAnsi="方正仿宋_GBK" w:eastAsia="方正仿宋_GBK" w:cs="方正仿宋_GBK"/>
          <w:b w:val="0"/>
          <w:bCs/>
          <w:color w:val="000000"/>
          <w:sz w:val="32"/>
          <w:szCs w:val="32"/>
        </w:rPr>
        <w:t>%。</w:t>
      </w:r>
      <w:r>
        <w:rPr>
          <w:rFonts w:hint="eastAsia" w:ascii="方正仿宋_GBK" w:hAnsi="方正仿宋_GBK" w:eastAsia="方正仿宋_GBK" w:cs="方正仿宋_GBK"/>
          <w:color w:val="000000"/>
          <w:sz w:val="32"/>
          <w:szCs w:val="32"/>
        </w:rPr>
        <w:t>公务接待费支出决算比2018年增加</w:t>
      </w:r>
      <w:r>
        <w:rPr>
          <w:rFonts w:hint="eastAsia" w:ascii="方正仿宋_GBK" w:hAnsi="方正仿宋_GBK" w:eastAsia="方正仿宋_GBK" w:cs="方正仿宋_GBK"/>
          <w:color w:val="000000"/>
          <w:sz w:val="32"/>
          <w:szCs w:val="32"/>
          <w:lang w:val="en-US" w:eastAsia="zh-CN"/>
        </w:rPr>
        <w:t>1.41</w:t>
      </w:r>
      <w:r>
        <w:rPr>
          <w:rFonts w:hint="eastAsia" w:ascii="方正仿宋_GBK" w:hAnsi="方正仿宋_GBK" w:eastAsia="方正仿宋_GBK" w:cs="方正仿宋_GBK"/>
          <w:color w:val="000000"/>
          <w:sz w:val="32"/>
          <w:szCs w:val="32"/>
        </w:rPr>
        <w:t>万元，增长</w:t>
      </w:r>
      <w:r>
        <w:rPr>
          <w:rFonts w:hint="eastAsia" w:ascii="方正仿宋_GBK" w:hAnsi="方正仿宋_GBK" w:eastAsia="方正仿宋_GBK" w:cs="方正仿宋_GBK"/>
          <w:color w:val="000000"/>
          <w:sz w:val="32"/>
          <w:szCs w:val="32"/>
          <w:lang w:val="en-US" w:eastAsia="zh-CN"/>
        </w:rPr>
        <w:t>60</w:t>
      </w:r>
      <w:r>
        <w:rPr>
          <w:rFonts w:hint="eastAsia" w:ascii="方正仿宋_GBK" w:hAnsi="方正仿宋_GBK" w:eastAsia="方正仿宋_GBK" w:cs="方正仿宋_GBK"/>
          <w:color w:val="000000"/>
          <w:sz w:val="32"/>
          <w:szCs w:val="32"/>
        </w:rPr>
        <w:t>%。主要原因是</w:t>
      </w:r>
      <w:r>
        <w:rPr>
          <w:rFonts w:hint="eastAsia" w:ascii="方正仿宋_GBK" w:hAnsi="方正仿宋_GBK" w:eastAsia="方正仿宋_GBK" w:cs="方正仿宋_GBK"/>
          <w:color w:val="auto"/>
          <w:sz w:val="32"/>
          <w:szCs w:val="32"/>
          <w:lang w:eastAsia="zh-CN"/>
        </w:rPr>
        <w:t>我局认真贯彻落实中央八项规定和省政府十项规定要求，厉行节约，从严控制“三公”经费支出，全年实际支出比预算有所节约。</w:t>
      </w:r>
      <w:r>
        <w:rPr>
          <w:rFonts w:hint="eastAsia" w:ascii="方正仿宋_GBK" w:hAnsi="方正仿宋_GBK" w:eastAsia="方正仿宋_GBK" w:cs="方正仿宋_GBK"/>
          <w:color w:val="auto"/>
          <w:sz w:val="32"/>
          <w:szCs w:val="32"/>
          <w:lang w:val="en-US" w:eastAsia="zh-CN"/>
        </w:rPr>
        <w:t>2019年其他市州到巴中开展财政业务交流频次较2017年增多。</w:t>
      </w:r>
    </w:p>
    <w:p>
      <w:pPr>
        <w:spacing w:line="60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国内公务接待支出</w:t>
      </w:r>
      <w:r>
        <w:rPr>
          <w:rFonts w:hint="eastAsia" w:ascii="方正仿宋_GBK" w:hAnsi="方正仿宋_GBK" w:eastAsia="方正仿宋_GBK" w:cs="方正仿宋_GBK"/>
          <w:color w:val="000000"/>
          <w:sz w:val="32"/>
          <w:szCs w:val="32"/>
          <w:lang w:val="en-US" w:eastAsia="zh-CN"/>
        </w:rPr>
        <w:t>3.6</w:t>
      </w:r>
      <w:r>
        <w:rPr>
          <w:rFonts w:hint="eastAsia" w:ascii="方正仿宋_GBK" w:hAnsi="方正仿宋_GBK" w:eastAsia="方正仿宋_GBK" w:cs="方正仿宋_GBK"/>
          <w:color w:val="000000"/>
          <w:sz w:val="32"/>
          <w:szCs w:val="32"/>
        </w:rPr>
        <w:t>万元，主要用于执行公务、开展业务活动</w:t>
      </w:r>
      <w:r>
        <w:rPr>
          <w:rFonts w:hint="eastAsia" w:ascii="方正仿宋_GBK" w:hAnsi="方正仿宋_GBK" w:eastAsia="方正仿宋_GBK" w:cs="方正仿宋_GBK"/>
          <w:color w:val="000000"/>
          <w:sz w:val="32"/>
          <w:szCs w:val="32"/>
          <w:lang w:eastAsia="zh-CN"/>
        </w:rPr>
        <w:t>、外市到巴中开展财政业务调研等</w:t>
      </w:r>
      <w:r>
        <w:rPr>
          <w:rFonts w:hint="eastAsia" w:ascii="方正仿宋_GBK" w:hAnsi="方正仿宋_GBK" w:eastAsia="方正仿宋_GBK" w:cs="方正仿宋_GBK"/>
          <w:color w:val="000000"/>
          <w:sz w:val="32"/>
          <w:szCs w:val="32"/>
        </w:rPr>
        <w:t>开支的交通费、住宿费、用餐费</w:t>
      </w:r>
      <w:r>
        <w:rPr>
          <w:rFonts w:hint="eastAsia" w:ascii="方正仿宋_GBK" w:hAnsi="方正仿宋_GBK" w:eastAsia="方正仿宋_GBK" w:cs="方正仿宋_GBK"/>
          <w:color w:val="000000"/>
          <w:sz w:val="32"/>
          <w:szCs w:val="32"/>
          <w:lang w:eastAsia="zh-CN"/>
        </w:rPr>
        <w:t>等</w:t>
      </w:r>
      <w:r>
        <w:rPr>
          <w:rFonts w:hint="eastAsia" w:ascii="方正仿宋_GBK" w:hAnsi="方正仿宋_GBK" w:eastAsia="方正仿宋_GBK" w:cs="方正仿宋_GBK"/>
          <w:color w:val="000000"/>
          <w:sz w:val="32"/>
          <w:szCs w:val="32"/>
        </w:rPr>
        <w:t>。国内公务接待</w:t>
      </w:r>
      <w:r>
        <w:rPr>
          <w:rFonts w:hint="eastAsia" w:ascii="方正仿宋_GBK" w:hAnsi="方正仿宋_GBK" w:eastAsia="方正仿宋_GBK" w:cs="方正仿宋_GBK"/>
          <w:color w:val="000000"/>
          <w:sz w:val="32"/>
          <w:szCs w:val="32"/>
          <w:lang w:val="en-US" w:eastAsia="zh-CN"/>
        </w:rPr>
        <w:t>30</w:t>
      </w:r>
      <w:r>
        <w:rPr>
          <w:rFonts w:hint="eastAsia" w:ascii="方正仿宋_GBK" w:hAnsi="方正仿宋_GBK" w:eastAsia="方正仿宋_GBK" w:cs="方正仿宋_GBK"/>
          <w:color w:val="000000"/>
          <w:sz w:val="32"/>
          <w:szCs w:val="32"/>
        </w:rPr>
        <w:t>批次，</w:t>
      </w:r>
      <w:r>
        <w:rPr>
          <w:rFonts w:hint="eastAsia" w:ascii="方正仿宋_GBK" w:hAnsi="方正仿宋_GBK" w:eastAsia="方正仿宋_GBK" w:cs="方正仿宋_GBK"/>
          <w:color w:val="000000"/>
          <w:sz w:val="32"/>
          <w:szCs w:val="32"/>
          <w:lang w:val="en-US" w:eastAsia="zh-CN"/>
        </w:rPr>
        <w:t>321</w:t>
      </w:r>
      <w:r>
        <w:rPr>
          <w:rFonts w:hint="eastAsia" w:ascii="方正仿宋_GBK" w:hAnsi="方正仿宋_GBK" w:eastAsia="方正仿宋_GBK" w:cs="方正仿宋_GBK"/>
          <w:color w:val="000000"/>
          <w:sz w:val="32"/>
          <w:szCs w:val="32"/>
        </w:rPr>
        <w:t>人次（不包括陪同人员），共计支出</w:t>
      </w:r>
      <w:r>
        <w:rPr>
          <w:rFonts w:hint="eastAsia" w:ascii="方正仿宋_GBK" w:hAnsi="方正仿宋_GBK" w:eastAsia="方正仿宋_GBK" w:cs="方正仿宋_GBK"/>
          <w:color w:val="000000"/>
          <w:sz w:val="32"/>
          <w:szCs w:val="32"/>
          <w:lang w:val="en-US" w:eastAsia="zh-CN"/>
        </w:rPr>
        <w:t>3.6</w:t>
      </w:r>
      <w:r>
        <w:rPr>
          <w:rFonts w:hint="eastAsia" w:ascii="方正仿宋_GBK" w:hAnsi="方正仿宋_GBK" w:eastAsia="方正仿宋_GBK" w:cs="方正仿宋_GBK"/>
          <w:color w:val="000000"/>
          <w:sz w:val="32"/>
          <w:szCs w:val="32"/>
        </w:rPr>
        <w:t>万元，具体内容包括：内控监督检查接待</w:t>
      </w:r>
      <w:r>
        <w:rPr>
          <w:rFonts w:hint="eastAsia" w:ascii="方正仿宋_GBK" w:hAnsi="方正仿宋_GBK" w:eastAsia="方正仿宋_GBK" w:cs="方正仿宋_GBK"/>
          <w:color w:val="000000"/>
          <w:sz w:val="32"/>
          <w:szCs w:val="32"/>
          <w:lang w:val="en-US" w:eastAsia="zh-CN"/>
        </w:rPr>
        <w:t>0.5万元</w:t>
      </w:r>
      <w:r>
        <w:rPr>
          <w:rFonts w:hint="eastAsia" w:ascii="方正仿宋_GBK" w:hAnsi="方正仿宋_GBK" w:eastAsia="方正仿宋_GBK" w:cs="方正仿宋_GBK"/>
          <w:color w:val="000000"/>
          <w:sz w:val="32"/>
          <w:szCs w:val="32"/>
        </w:rPr>
        <w:t>，调研接待</w:t>
      </w:r>
      <w:r>
        <w:rPr>
          <w:rFonts w:hint="eastAsia" w:ascii="方正仿宋_GBK" w:hAnsi="方正仿宋_GBK" w:eastAsia="方正仿宋_GBK" w:cs="方正仿宋_GBK"/>
          <w:color w:val="000000"/>
          <w:sz w:val="32"/>
          <w:szCs w:val="32"/>
          <w:lang w:val="en-US" w:eastAsia="zh-CN"/>
        </w:rPr>
        <w:t>2.7万</w:t>
      </w:r>
      <w:r>
        <w:rPr>
          <w:rFonts w:hint="eastAsia" w:ascii="方正仿宋_GBK" w:hAnsi="方正仿宋_GBK" w:eastAsia="方正仿宋_GBK" w:cs="方正仿宋_GBK"/>
          <w:color w:val="000000"/>
          <w:sz w:val="32"/>
          <w:szCs w:val="32"/>
        </w:rPr>
        <w:t>元，，财政业务检查接待</w:t>
      </w:r>
      <w:r>
        <w:rPr>
          <w:rFonts w:hint="eastAsia" w:ascii="方正仿宋_GBK" w:hAnsi="方正仿宋_GBK" w:eastAsia="方正仿宋_GBK" w:cs="方正仿宋_GBK"/>
          <w:color w:val="000000"/>
          <w:sz w:val="32"/>
          <w:szCs w:val="32"/>
          <w:lang w:val="en-US" w:eastAsia="zh-CN"/>
        </w:rPr>
        <w:t>0.4万元</w:t>
      </w:r>
      <w:r>
        <w:rPr>
          <w:rFonts w:hint="eastAsia" w:ascii="方正仿宋_GBK" w:hAnsi="方正仿宋_GBK" w:eastAsia="方正仿宋_GBK" w:cs="方正仿宋_GBK"/>
          <w:color w:val="000000"/>
          <w:sz w:val="32"/>
          <w:szCs w:val="32"/>
        </w:rPr>
        <w:t>等。</w:t>
      </w:r>
    </w:p>
    <w:p>
      <w:pPr>
        <w:spacing w:line="60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外事接待支出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w:t>
      </w:r>
      <w:r>
        <w:rPr>
          <w:rFonts w:hint="eastAsia" w:ascii="方正仿宋_GBK" w:hAnsi="方正仿宋_GBK" w:eastAsia="方正仿宋_GBK" w:cs="方正仿宋_GBK"/>
          <w:color w:val="000000" w:themeColor="text1"/>
          <w:sz w:val="32"/>
          <w:szCs w:val="32"/>
        </w:rPr>
        <w:t>，外事接待</w:t>
      </w:r>
      <w:r>
        <w:rPr>
          <w:rFonts w:hint="eastAsia" w:ascii="方正仿宋_GBK" w:hAnsi="方正仿宋_GBK" w:eastAsia="方正仿宋_GBK" w:cs="方正仿宋_GBK"/>
          <w:color w:val="000000" w:themeColor="text1"/>
          <w:sz w:val="32"/>
          <w:szCs w:val="32"/>
          <w:lang w:val="en-US" w:eastAsia="zh-CN"/>
        </w:rPr>
        <w:t>0</w:t>
      </w:r>
      <w:r>
        <w:rPr>
          <w:rFonts w:hint="eastAsia" w:ascii="方正仿宋_GBK" w:hAnsi="方正仿宋_GBK" w:eastAsia="方正仿宋_GBK" w:cs="方正仿宋_GBK"/>
          <w:color w:val="000000" w:themeColor="text1"/>
          <w:sz w:val="32"/>
          <w:szCs w:val="32"/>
        </w:rPr>
        <w:t>批次，</w:t>
      </w:r>
      <w:r>
        <w:rPr>
          <w:rFonts w:hint="eastAsia" w:ascii="方正仿宋_GBK" w:hAnsi="方正仿宋_GBK" w:eastAsia="方正仿宋_GBK" w:cs="方正仿宋_GBK"/>
          <w:color w:val="000000" w:themeColor="text1"/>
          <w:sz w:val="32"/>
          <w:szCs w:val="32"/>
          <w:lang w:val="en-US" w:eastAsia="zh-CN"/>
        </w:rPr>
        <w:t>0</w:t>
      </w:r>
      <w:r>
        <w:rPr>
          <w:rFonts w:hint="eastAsia" w:ascii="方正仿宋_GBK" w:hAnsi="方正仿宋_GBK" w:eastAsia="方正仿宋_GBK" w:cs="方正仿宋_GBK"/>
          <w:color w:val="000000" w:themeColor="text1"/>
          <w:sz w:val="32"/>
          <w:szCs w:val="32"/>
        </w:rPr>
        <w:t>人，共计支出</w:t>
      </w:r>
      <w:r>
        <w:rPr>
          <w:rFonts w:hint="eastAsia" w:ascii="方正仿宋_GBK" w:hAnsi="方正仿宋_GBK" w:eastAsia="方正仿宋_GBK" w:cs="方正仿宋_GBK"/>
          <w:color w:val="000000" w:themeColor="text1"/>
          <w:sz w:val="32"/>
          <w:szCs w:val="32"/>
          <w:lang w:val="en-US" w:eastAsia="zh-CN"/>
        </w:rPr>
        <w:t>0</w:t>
      </w:r>
      <w:r>
        <w:rPr>
          <w:rFonts w:hint="eastAsia" w:ascii="方正仿宋_GBK" w:hAnsi="方正仿宋_GBK" w:eastAsia="方正仿宋_GBK" w:cs="方正仿宋_GBK"/>
          <w:color w:val="000000" w:themeColor="text1"/>
          <w:sz w:val="32"/>
          <w:szCs w:val="32"/>
        </w:rPr>
        <w:t>万元</w:t>
      </w:r>
      <w:r>
        <w:rPr>
          <w:rFonts w:hint="eastAsia" w:ascii="方正仿宋_GBK" w:hAnsi="方正仿宋_GBK" w:eastAsia="方正仿宋_GBK" w:cs="方正仿宋_GBK"/>
          <w:color w:val="000000" w:themeColor="text1"/>
          <w:sz w:val="32"/>
          <w:szCs w:val="32"/>
          <w:lang w:eastAsia="zh-CN"/>
        </w:rPr>
        <w:t>。</w:t>
      </w:r>
      <w:bookmarkStart w:id="50" w:name="_Toc15396610"/>
      <w:bookmarkStart w:id="51" w:name="_Toc15377218"/>
    </w:p>
    <w:p>
      <w:pPr>
        <w:spacing w:line="600" w:lineRule="exact"/>
        <w:ind w:firstLine="640"/>
        <w:outlineLvl w:val="1"/>
        <w:rPr>
          <w:rStyle w:val="33"/>
          <w:rFonts w:ascii="黑体" w:hAnsi="黑体" w:eastAsia="黑体"/>
        </w:rPr>
      </w:pPr>
      <w:r>
        <w:rPr>
          <w:rFonts w:hint="eastAsia" w:ascii="黑体" w:eastAsia="黑体"/>
          <w:color w:val="000000"/>
          <w:sz w:val="32"/>
          <w:szCs w:val="32"/>
        </w:rPr>
        <w:t>八、</w:t>
      </w:r>
      <w:r>
        <w:rPr>
          <w:rStyle w:val="33"/>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33"/>
          <w:rFonts w:ascii="黑体" w:hAnsi="黑体" w:eastAsia="黑体"/>
          <w:b w:val="0"/>
        </w:rPr>
      </w:pPr>
      <w:bookmarkStart w:id="52" w:name="_Toc15396611"/>
      <w:bookmarkStart w:id="53" w:name="_Toc15377219"/>
      <w:r>
        <w:rPr>
          <w:rStyle w:val="33"/>
          <w:rFonts w:hint="eastAsia" w:ascii="黑体" w:hAnsi="黑体" w:eastAsia="黑体"/>
          <w:b w:val="0"/>
        </w:rPr>
        <w:t>国有资本经营预算支出决算情况说明</w:t>
      </w:r>
      <w:bookmarkEnd w:id="52"/>
      <w:bookmarkEnd w:id="53"/>
    </w:p>
    <w:p>
      <w:pPr>
        <w:spacing w:line="600" w:lineRule="exact"/>
        <w:ind w:firstLine="640"/>
        <w:rPr>
          <w:rFonts w:hint="eastAsia" w:ascii="方正仿宋_GBK" w:hAnsi="方正仿宋_GBK" w:eastAsia="方正仿宋_GBK" w:cs="方正仿宋_GBK"/>
          <w:sz w:val="44"/>
          <w:szCs w:val="44"/>
        </w:rPr>
      </w:pPr>
      <w:r>
        <w:rPr>
          <w:rFonts w:hint="eastAsia" w:ascii="方正仿宋_GBK" w:hAnsi="方正仿宋_GBK" w:eastAsia="方正仿宋_GBK" w:cs="方正仿宋_GBK"/>
          <w:color w:val="000000"/>
          <w:sz w:val="32"/>
          <w:szCs w:val="32"/>
        </w:rPr>
        <w:t>2019年国有资本经营预算拨款支出</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万元。</w:t>
      </w:r>
    </w:p>
    <w:p>
      <w:pPr>
        <w:spacing w:line="600" w:lineRule="exact"/>
        <w:ind w:firstLine="800" w:firstLineChars="250"/>
        <w:outlineLvl w:val="1"/>
        <w:rPr>
          <w:rStyle w:val="33"/>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33"/>
          <w:rFonts w:hint="eastAsia" w:ascii="黑体" w:hAnsi="黑体" w:eastAsia="黑体"/>
        </w:rPr>
        <w:t>、</w:t>
      </w:r>
      <w:r>
        <w:rPr>
          <w:rStyle w:val="33"/>
          <w:rFonts w:hint="eastAsia" w:ascii="黑体" w:hAnsi="黑体" w:eastAsia="黑体"/>
          <w:b w:val="0"/>
        </w:rPr>
        <w:t>其他重要事项的情况说明</w:t>
      </w:r>
      <w:bookmarkEnd w:id="54"/>
      <w:bookmarkEnd w:id="55"/>
    </w:p>
    <w:p>
      <w:pPr>
        <w:spacing w:line="600" w:lineRule="exact"/>
        <w:ind w:firstLine="643" w:firstLineChars="200"/>
        <w:outlineLvl w:val="2"/>
        <w:rPr>
          <w:rFonts w:hint="eastAsia" w:ascii="方正仿宋_GBK" w:hAnsi="方正仿宋_GBK" w:eastAsia="方正仿宋_GBK" w:cs="方正仿宋_GBK"/>
          <w:color w:val="000000"/>
          <w:sz w:val="32"/>
          <w:szCs w:val="32"/>
        </w:rPr>
      </w:pPr>
      <w:bookmarkStart w:id="56" w:name="_Toc15377222"/>
      <w:r>
        <w:rPr>
          <w:rFonts w:hint="eastAsia" w:ascii="方正仿宋_GBK" w:hAnsi="方正仿宋_GBK" w:eastAsia="方正仿宋_GBK" w:cs="方正仿宋_GBK"/>
          <w:b/>
          <w:color w:val="000000"/>
          <w:sz w:val="32"/>
          <w:szCs w:val="32"/>
        </w:rPr>
        <w:t>（一）机关运行经费支出情况</w:t>
      </w:r>
      <w:bookmarkEnd w:id="56"/>
    </w:p>
    <w:p>
      <w:pPr>
        <w:spacing w:line="600" w:lineRule="exact"/>
        <w:ind w:firstLine="640" w:firstLineChars="200"/>
        <w:rPr>
          <w:rFonts w:hint="eastAsia" w:ascii="方正仿宋_GBK" w:hAnsi="方正仿宋_GBK" w:eastAsia="方正仿宋_GBK" w:cs="方正仿宋_GBK"/>
          <w:color w:val="C00000"/>
          <w:sz w:val="32"/>
          <w:szCs w:val="32"/>
          <w:lang w:val="en-US" w:eastAsia="zh-CN"/>
        </w:rPr>
      </w:pPr>
      <w:r>
        <w:rPr>
          <w:rFonts w:hint="eastAsia" w:ascii="方正仿宋_GBK" w:hAnsi="方正仿宋_GBK" w:eastAsia="方正仿宋_GBK" w:cs="方正仿宋_GBK"/>
          <w:color w:val="000000"/>
          <w:sz w:val="32"/>
          <w:szCs w:val="32"/>
        </w:rPr>
        <w:t>2019年，</w:t>
      </w:r>
      <w:r>
        <w:rPr>
          <w:rFonts w:hint="eastAsia" w:ascii="方正仿宋_GBK" w:hAnsi="方正仿宋_GBK" w:eastAsia="方正仿宋_GBK" w:cs="方正仿宋_GBK"/>
          <w:color w:val="000000"/>
          <w:sz w:val="32"/>
          <w:szCs w:val="32"/>
          <w:lang w:eastAsia="zh-CN"/>
        </w:rPr>
        <w:t>巴中市财政局</w:t>
      </w:r>
      <w:r>
        <w:rPr>
          <w:rFonts w:hint="eastAsia" w:ascii="方正仿宋_GBK" w:hAnsi="方正仿宋_GBK" w:eastAsia="方正仿宋_GBK" w:cs="方正仿宋_GBK"/>
          <w:color w:val="000000"/>
          <w:sz w:val="32"/>
          <w:szCs w:val="32"/>
        </w:rPr>
        <w:t>机关运行经费支出</w:t>
      </w:r>
      <w:r>
        <w:rPr>
          <w:rFonts w:hint="eastAsia" w:ascii="方正仿宋_GBK" w:hAnsi="方正仿宋_GBK" w:eastAsia="方正仿宋_GBK" w:cs="方正仿宋_GBK"/>
          <w:color w:val="000000"/>
          <w:sz w:val="32"/>
          <w:szCs w:val="32"/>
          <w:lang w:val="en-US" w:eastAsia="zh-CN"/>
        </w:rPr>
        <w:t>215.67</w:t>
      </w:r>
      <w:r>
        <w:rPr>
          <w:rFonts w:hint="eastAsia" w:ascii="方正仿宋_GBK" w:hAnsi="方正仿宋_GBK" w:eastAsia="方正仿宋_GBK" w:cs="方正仿宋_GBK"/>
          <w:color w:val="000000"/>
          <w:sz w:val="32"/>
          <w:szCs w:val="32"/>
        </w:rPr>
        <w:t>万元，比2018年减少</w:t>
      </w:r>
      <w:r>
        <w:rPr>
          <w:rFonts w:hint="eastAsia" w:ascii="方正仿宋_GBK" w:hAnsi="方正仿宋_GBK" w:eastAsia="方正仿宋_GBK" w:cs="方正仿宋_GBK"/>
          <w:color w:val="000000"/>
          <w:sz w:val="32"/>
          <w:szCs w:val="32"/>
          <w:lang w:val="en-US" w:eastAsia="zh-CN"/>
        </w:rPr>
        <w:t>30.18</w:t>
      </w:r>
      <w:r>
        <w:rPr>
          <w:rFonts w:hint="eastAsia" w:ascii="方正仿宋_GBK" w:hAnsi="方正仿宋_GBK" w:eastAsia="方正仿宋_GBK" w:cs="方正仿宋_GBK"/>
          <w:color w:val="000000"/>
          <w:sz w:val="32"/>
          <w:szCs w:val="32"/>
        </w:rPr>
        <w:t>万元，下降</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auto"/>
          <w:sz w:val="32"/>
          <w:szCs w:val="32"/>
          <w:lang w:eastAsia="zh-CN"/>
        </w:rPr>
        <w:t>主要原因一是认真贯彻落实中央八项规定和省政府十项规定要求，厉行节约，财政统一压缩一般公共服务支出</w:t>
      </w:r>
      <w:r>
        <w:rPr>
          <w:rFonts w:hint="eastAsia" w:ascii="方正仿宋_GBK" w:hAnsi="方正仿宋_GBK" w:eastAsia="方正仿宋_GBK" w:cs="方正仿宋_GBK"/>
          <w:color w:val="auto"/>
          <w:sz w:val="32"/>
          <w:szCs w:val="32"/>
          <w:lang w:val="en-US" w:eastAsia="zh-CN"/>
        </w:rPr>
        <w:t>5%；二是2019年因机构改革财政监督检查局人员转隶到审计部门，机关运行经费相应减少。</w:t>
      </w:r>
    </w:p>
    <w:p>
      <w:pPr>
        <w:autoSpaceDE w:val="0"/>
        <w:autoSpaceDN w:val="0"/>
        <w:adjustRightInd w:val="0"/>
        <w:spacing w:line="600" w:lineRule="exact"/>
        <w:ind w:firstLine="643" w:firstLineChars="200"/>
        <w:jc w:val="left"/>
        <w:outlineLvl w:val="2"/>
        <w:rPr>
          <w:rFonts w:hint="eastAsia" w:ascii="方正仿宋_GBK" w:hAnsi="方正仿宋_GBK" w:eastAsia="方正仿宋_GBK" w:cs="方正仿宋_GBK"/>
          <w:b/>
          <w:color w:val="000000"/>
          <w:sz w:val="32"/>
          <w:szCs w:val="32"/>
        </w:rPr>
      </w:pPr>
      <w:bookmarkStart w:id="57" w:name="_Toc15377223"/>
      <w:r>
        <w:rPr>
          <w:rFonts w:hint="eastAsia" w:ascii="方正仿宋_GBK" w:hAnsi="方正仿宋_GBK" w:eastAsia="方正仿宋_GBK" w:cs="方正仿宋_GBK"/>
          <w:b/>
          <w:color w:val="000000"/>
          <w:sz w:val="32"/>
          <w:szCs w:val="32"/>
        </w:rPr>
        <w:t>（二）政府采购支出情况</w:t>
      </w:r>
      <w:bookmarkEnd w:id="57"/>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2019年，</w:t>
      </w:r>
      <w:r>
        <w:rPr>
          <w:rFonts w:hint="eastAsia" w:ascii="方正仿宋_GBK" w:hAnsi="方正仿宋_GBK" w:eastAsia="方正仿宋_GBK" w:cs="方正仿宋_GBK"/>
          <w:color w:val="auto"/>
          <w:sz w:val="32"/>
          <w:szCs w:val="32"/>
          <w:lang w:eastAsia="zh-CN"/>
        </w:rPr>
        <w:t>巴中市财政局</w:t>
      </w:r>
      <w:r>
        <w:rPr>
          <w:rFonts w:hint="eastAsia" w:ascii="方正仿宋_GBK" w:hAnsi="方正仿宋_GBK" w:eastAsia="方正仿宋_GBK" w:cs="方正仿宋_GBK"/>
          <w:color w:val="auto"/>
          <w:sz w:val="32"/>
          <w:szCs w:val="32"/>
        </w:rPr>
        <w:t>政府采购支出总额</w:t>
      </w:r>
      <w:r>
        <w:rPr>
          <w:rFonts w:hint="eastAsia" w:ascii="方正仿宋_GBK" w:hAnsi="方正仿宋_GBK" w:eastAsia="方正仿宋_GBK" w:cs="方正仿宋_GBK"/>
          <w:color w:val="auto"/>
          <w:sz w:val="32"/>
          <w:szCs w:val="32"/>
          <w:lang w:val="en-US" w:eastAsia="zh-CN"/>
        </w:rPr>
        <w:t>121.78</w:t>
      </w:r>
      <w:r>
        <w:rPr>
          <w:rFonts w:hint="eastAsia" w:ascii="方正仿宋_GBK" w:hAnsi="方正仿宋_GBK" w:eastAsia="方正仿宋_GBK" w:cs="方正仿宋_GBK"/>
          <w:color w:val="auto"/>
          <w:sz w:val="32"/>
          <w:szCs w:val="32"/>
        </w:rPr>
        <w:t>万元，其中：政府采购货物支出</w:t>
      </w:r>
      <w:r>
        <w:rPr>
          <w:rFonts w:hint="eastAsia" w:ascii="方正仿宋_GBK" w:hAnsi="方正仿宋_GBK" w:eastAsia="方正仿宋_GBK" w:cs="方正仿宋_GBK"/>
          <w:color w:val="auto"/>
          <w:sz w:val="32"/>
          <w:szCs w:val="32"/>
          <w:lang w:val="en-US" w:eastAsia="zh-CN"/>
        </w:rPr>
        <w:t>4.78</w:t>
      </w:r>
      <w:r>
        <w:rPr>
          <w:rFonts w:hint="eastAsia" w:ascii="方正仿宋_GBK" w:hAnsi="方正仿宋_GBK" w:eastAsia="方正仿宋_GBK" w:cs="方正仿宋_GBK"/>
          <w:color w:val="auto"/>
          <w:sz w:val="32"/>
          <w:szCs w:val="32"/>
        </w:rPr>
        <w:t>万元、政府采购工程支出</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万元、政府采购服务支出</w:t>
      </w:r>
      <w:r>
        <w:rPr>
          <w:rFonts w:hint="eastAsia" w:ascii="方正仿宋_GBK" w:hAnsi="方正仿宋_GBK" w:eastAsia="方正仿宋_GBK" w:cs="方正仿宋_GBK"/>
          <w:color w:val="auto"/>
          <w:sz w:val="32"/>
          <w:szCs w:val="32"/>
          <w:lang w:val="en-US" w:eastAsia="zh-CN"/>
        </w:rPr>
        <w:t>117</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val="en-US" w:eastAsia="zh-CN"/>
        </w:rPr>
        <w:t>。主要用于主要用于采购办公用电脑12台、打印机7台、空调9台、复印机1台、照相机1台、文件柜及会议室主席台33件（台）、会计考试中心购软件1套等设备设施应用软件购买。授予中小企业合同金额121.78万元，占政府采购支出总额的100%，其</w:t>
      </w:r>
      <w:r>
        <w:rPr>
          <w:rFonts w:hint="eastAsia" w:ascii="方正仿宋_GBK" w:hAnsi="方正仿宋_GBK" w:eastAsia="方正仿宋_GBK" w:cs="方正仿宋_GBK"/>
          <w:color w:val="auto"/>
          <w:sz w:val="32"/>
          <w:szCs w:val="32"/>
        </w:rPr>
        <w:t>中：授予小微企业合同金额</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万元，占政府采购支出总额的</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w:t>
      </w:r>
    </w:p>
    <w:p>
      <w:pPr>
        <w:autoSpaceDE w:val="0"/>
        <w:autoSpaceDN w:val="0"/>
        <w:adjustRightInd w:val="0"/>
        <w:spacing w:line="600" w:lineRule="exact"/>
        <w:ind w:firstLine="643" w:firstLineChars="200"/>
        <w:jc w:val="left"/>
        <w:outlineLvl w:val="2"/>
        <w:rPr>
          <w:rFonts w:hint="eastAsia" w:ascii="方正仿宋_GBK" w:hAnsi="方正仿宋_GBK" w:eastAsia="方正仿宋_GBK" w:cs="方正仿宋_GBK"/>
          <w:b/>
          <w:color w:val="000000"/>
          <w:sz w:val="32"/>
          <w:szCs w:val="32"/>
        </w:rPr>
      </w:pPr>
      <w:bookmarkStart w:id="58" w:name="_Toc15377224"/>
      <w:r>
        <w:rPr>
          <w:rFonts w:hint="eastAsia" w:ascii="方正仿宋_GBK" w:hAnsi="方正仿宋_GBK" w:eastAsia="方正仿宋_GBK" w:cs="方正仿宋_GBK"/>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hint="eastAsia" w:ascii="方正仿宋_GBK" w:hAnsi="方正仿宋_GBK" w:eastAsia="方正仿宋_GBK" w:cs="方正仿宋_GBK"/>
          <w:b/>
          <w:color w:val="FF0000"/>
          <w:sz w:val="32"/>
          <w:szCs w:val="32"/>
        </w:rPr>
      </w:pPr>
      <w:r>
        <w:rPr>
          <w:rFonts w:hint="eastAsia" w:ascii="方正仿宋_GBK" w:hAnsi="方正仿宋_GBK" w:eastAsia="方正仿宋_GBK" w:cs="方正仿宋_GBK"/>
          <w:color w:val="000000"/>
          <w:sz w:val="32"/>
          <w:szCs w:val="32"/>
        </w:rPr>
        <w:t>截至2019年12月31日，</w:t>
      </w:r>
      <w:r>
        <w:rPr>
          <w:rFonts w:hint="eastAsia" w:ascii="方正仿宋_GBK" w:hAnsi="方正仿宋_GBK" w:eastAsia="方正仿宋_GBK" w:cs="方正仿宋_GBK"/>
          <w:color w:val="000000"/>
          <w:sz w:val="32"/>
          <w:szCs w:val="32"/>
          <w:lang w:eastAsia="zh-CN"/>
        </w:rPr>
        <w:t>巴中市财政局</w:t>
      </w:r>
      <w:r>
        <w:rPr>
          <w:rFonts w:hint="eastAsia" w:ascii="方正仿宋_GBK" w:hAnsi="方正仿宋_GBK" w:eastAsia="方正仿宋_GBK" w:cs="方正仿宋_GBK"/>
          <w:color w:val="000000"/>
          <w:sz w:val="32"/>
          <w:szCs w:val="32"/>
        </w:rPr>
        <w:t>共有车辆</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辆，其中：主要领导干部用车</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辆、机要通信用车</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辆、应急保障用车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辆、其他用车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themeColor="text1"/>
          <w:sz w:val="32"/>
          <w:szCs w:val="32"/>
        </w:rPr>
        <w:t>其他用车主要是用于</w:t>
      </w:r>
      <w:r>
        <w:rPr>
          <w:rFonts w:hint="eastAsia" w:ascii="方正仿宋_GBK" w:hAnsi="方正仿宋_GBK" w:eastAsia="方正仿宋_GBK" w:cs="方正仿宋_GBK"/>
          <w:color w:val="000000" w:themeColor="text1"/>
          <w:sz w:val="32"/>
          <w:szCs w:val="32"/>
          <w:lang w:eastAsia="zh-CN"/>
        </w:rPr>
        <w:t>开展财政业务检查保障用车。</w:t>
      </w:r>
      <w:r>
        <w:rPr>
          <w:rFonts w:hint="eastAsia" w:ascii="方正仿宋_GBK" w:hAnsi="方正仿宋_GBK" w:eastAsia="方正仿宋_GBK" w:cs="方正仿宋_GBK"/>
          <w:color w:val="000000" w:themeColor="text1"/>
          <w:sz w:val="32"/>
          <w:szCs w:val="32"/>
        </w:rPr>
        <w:t>单价50万元以上通用设备</w:t>
      </w:r>
      <w:r>
        <w:rPr>
          <w:rFonts w:hint="eastAsia" w:ascii="方正仿宋_GBK" w:hAnsi="方正仿宋_GBK" w:eastAsia="方正仿宋_GBK" w:cs="方正仿宋_GBK"/>
          <w:color w:val="000000" w:themeColor="text1"/>
          <w:sz w:val="32"/>
          <w:szCs w:val="32"/>
          <w:lang w:val="en-US" w:eastAsia="zh-CN"/>
        </w:rPr>
        <w:t>0</w:t>
      </w:r>
      <w:r>
        <w:rPr>
          <w:rFonts w:hint="eastAsia" w:ascii="方正仿宋_GBK" w:hAnsi="方正仿宋_GBK" w:eastAsia="方正仿宋_GBK" w:cs="方正仿宋_GBK"/>
          <w:color w:val="000000" w:themeColor="text1"/>
          <w:sz w:val="32"/>
          <w:szCs w:val="32"/>
        </w:rPr>
        <w:t>台（套），单价100</w:t>
      </w:r>
      <w:r>
        <w:rPr>
          <w:rFonts w:hint="eastAsia" w:ascii="方正仿宋_GBK" w:hAnsi="方正仿宋_GBK" w:eastAsia="方正仿宋_GBK" w:cs="方正仿宋_GBK"/>
          <w:color w:val="000000"/>
          <w:sz w:val="32"/>
          <w:szCs w:val="32"/>
        </w:rPr>
        <w:t>万元以上专用设备</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台（套）。</w:t>
      </w:r>
    </w:p>
    <w:p>
      <w:pPr>
        <w:autoSpaceDE w:val="0"/>
        <w:autoSpaceDN w:val="0"/>
        <w:adjustRightInd w:val="0"/>
        <w:spacing w:line="600" w:lineRule="exact"/>
        <w:ind w:firstLine="643" w:firstLineChars="200"/>
        <w:jc w:val="left"/>
        <w:outlineLvl w:val="2"/>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（四）预算绩效管理情况。</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根据预算绩效管理要求，本部门（单位）在年初预算编制阶段，组织对</w:t>
      </w:r>
      <w:r>
        <w:rPr>
          <w:rFonts w:hint="eastAsia" w:ascii="方正仿宋_GBK" w:hAnsi="方正仿宋_GBK" w:eastAsia="方正仿宋_GBK" w:cs="方正仿宋_GBK"/>
          <w:sz w:val="32"/>
          <w:szCs w:val="32"/>
          <w:lang w:val="en-US" w:eastAsia="zh-CN"/>
        </w:rPr>
        <w:t>14个</w:t>
      </w:r>
      <w:r>
        <w:rPr>
          <w:rFonts w:hint="eastAsia" w:ascii="方正仿宋_GBK" w:hAnsi="方正仿宋_GBK" w:eastAsia="方正仿宋_GBK" w:cs="方正仿宋_GBK"/>
          <w:sz w:val="32"/>
          <w:szCs w:val="32"/>
        </w:rPr>
        <w:t>项目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党建工作经费、</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依法治市工作经费、</w:t>
      </w:r>
      <w:r>
        <w:rPr>
          <w:rFonts w:hint="eastAsia" w:ascii="方正仿宋_GBK" w:hAnsi="方正仿宋_GBK" w:eastAsia="方正仿宋_GBK" w:cs="方正仿宋_GBK"/>
          <w:sz w:val="32"/>
          <w:szCs w:val="32"/>
          <w:lang w:val="en-US" w:eastAsia="zh-CN"/>
        </w:rPr>
        <w:t>3.驻村第一书记工作经费、4.脱贫攻坚工作经费、5.公务接待费、6.会议费、7.干部培训费、8.机关物业管理费、9.网络运行维护费、10.资料印刷费、11.财政监督专项经费、12.财政支付管理、预算指标、资产管理、债务管理等系统升级及维护费、13.执纪问责经费、14.PPP工作经费）</w:t>
      </w:r>
      <w:r>
        <w:rPr>
          <w:rFonts w:hint="eastAsia" w:ascii="方正仿宋_GBK" w:hAnsi="方正仿宋_GBK" w:eastAsia="方正仿宋_GBK" w:cs="方正仿宋_GBK"/>
          <w:sz w:val="32"/>
          <w:szCs w:val="32"/>
        </w:rPr>
        <w:t>开展了预算事前绩效评估，对</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个项目编制了绩效目标，预算执行过程中，选取</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个项目开展绩效监控，年终执行完毕后，对</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个项目开展了绩效目标完成情况自评。</w:t>
      </w:r>
    </w:p>
    <w:p>
      <w:pPr>
        <w:spacing w:line="58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本部门按要求对2019年部门整体支出开展绩效自评，从评价情况来看</w:t>
      </w:r>
      <w:r>
        <w:rPr>
          <w:rFonts w:hint="eastAsia" w:ascii="方正仿宋_GBK" w:hAnsi="方正仿宋_GBK" w:eastAsia="方正仿宋_GBK" w:cs="方正仿宋_GBK"/>
          <w:sz w:val="32"/>
          <w:szCs w:val="32"/>
          <w:lang w:eastAsia="zh-CN"/>
        </w:rPr>
        <w:t>整体支出绩效目标基本完成，确保了各项资金的安全、有效性，实现了收支基本平衡，保障了民生、人员经费、重点项目等基本和重点支出</w:t>
      </w:r>
      <w:r>
        <w:rPr>
          <w:rFonts w:hint="eastAsia" w:ascii="方正仿宋_GBK" w:hAnsi="方正仿宋_GBK" w:eastAsia="方正仿宋_GBK" w:cs="方正仿宋_GBK"/>
          <w:sz w:val="32"/>
          <w:szCs w:val="32"/>
        </w:rPr>
        <w:t>。本部门还自行组织了</w:t>
      </w:r>
      <w:r>
        <w:rPr>
          <w:rFonts w:hint="eastAsia" w:ascii="方正仿宋_GBK" w:hAnsi="方正仿宋_GBK" w:eastAsia="方正仿宋_GBK" w:cs="方正仿宋_GBK"/>
          <w:sz w:val="32"/>
          <w:szCs w:val="32"/>
          <w:lang w:eastAsia="zh-CN"/>
        </w:rPr>
        <w:t>对“财政支付管理、预算指标、资产管理、债务管理等系统升级及维护管理”</w:t>
      </w:r>
      <w:r>
        <w:rPr>
          <w:rFonts w:hint="eastAsia" w:ascii="方正仿宋_GBK" w:hAnsi="方正仿宋_GBK" w:eastAsia="方正仿宋_GBK" w:cs="方正仿宋_GBK"/>
          <w:sz w:val="32"/>
          <w:szCs w:val="32"/>
        </w:rPr>
        <w:t>项目支出绩效评价，从评价情况来看</w:t>
      </w:r>
      <w:r>
        <w:rPr>
          <w:rFonts w:hint="eastAsia" w:ascii="方正仿宋_GBK" w:hAnsi="方正仿宋_GBK" w:eastAsia="方正仿宋_GBK" w:cs="方正仿宋_GBK"/>
          <w:sz w:val="32"/>
          <w:szCs w:val="32"/>
          <w:lang w:eastAsia="zh-CN"/>
        </w:rPr>
        <w:t>已全部完成目标任务。财政预算、决算、资产系统、债务系统运行通畅，全年软件未发生安全事故。</w:t>
      </w:r>
    </w:p>
    <w:p>
      <w:pPr>
        <w:numPr>
          <w:ilvl w:val="0"/>
          <w:numId w:val="3"/>
        </w:numPr>
        <w:spacing w:line="5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项目绩效目标完成情况。</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本部门在2019年度部门决算中反映“财政事务征管经费”“财政支付管理、预算指标、资产管理、债务管理等系统升级及维护管理”“</w:t>
      </w:r>
      <w:r>
        <w:rPr>
          <w:rFonts w:hint="eastAsia" w:ascii="方正仿宋_GBK" w:hAnsi="方正仿宋_GBK" w:eastAsia="方正仿宋_GBK" w:cs="方正仿宋_GBK"/>
          <w:sz w:val="32"/>
          <w:szCs w:val="32"/>
          <w:lang w:val="en-US" w:eastAsia="zh-CN"/>
        </w:rPr>
        <w:t>PPP项目工作经费</w:t>
      </w:r>
      <w:r>
        <w:rPr>
          <w:rFonts w:hint="eastAsia" w:ascii="方正仿宋_GBK" w:hAnsi="方正仿宋_GBK" w:eastAsia="方正仿宋_GBK" w:cs="方正仿宋_GBK"/>
          <w:sz w:val="32"/>
          <w:szCs w:val="32"/>
          <w:lang w:eastAsia="zh-CN"/>
        </w:rPr>
        <w:t>”“依法治市工作经费”“网络运行维护费”等</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个项目绩效目标实际完成情况。</w:t>
      </w:r>
      <w:r>
        <w:rPr>
          <w:rFonts w:hint="eastAsia" w:ascii="方正仿宋_GBK" w:hAnsi="方正仿宋_GBK" w:eastAsia="方正仿宋_GBK" w:cs="方正仿宋_GBK"/>
          <w:sz w:val="32"/>
          <w:szCs w:val="32"/>
          <w:lang w:val="en-US" w:eastAsia="zh-CN"/>
        </w:rPr>
        <w:t xml:space="preserve"> </w:t>
      </w:r>
    </w:p>
    <w:p>
      <w:pPr>
        <w:numPr>
          <w:ilvl w:val="0"/>
          <w:numId w:val="4"/>
        </w:numPr>
        <w:spacing w:line="580" w:lineRule="exact"/>
        <w:ind w:firstLine="640" w:firstLineChars="200"/>
        <w:rPr>
          <w:rFonts w:hint="eastAsia" w:ascii="方正仿宋_GBK" w:hAnsi="方正仿宋_GBK" w:eastAsia="方正仿宋_GBK" w:cs="方正仿宋_GBK"/>
          <w:color w:val="000000"/>
          <w:sz w:val="31"/>
          <w:lang w:eastAsia="zh-CN"/>
        </w:rPr>
      </w:pPr>
      <w:r>
        <w:rPr>
          <w:rFonts w:hint="eastAsia" w:ascii="方正仿宋_GBK" w:hAnsi="方正仿宋_GBK" w:eastAsia="方正仿宋_GBK" w:cs="方正仿宋_GBK"/>
          <w:sz w:val="32"/>
          <w:szCs w:val="32"/>
          <w:lang w:eastAsia="zh-CN"/>
        </w:rPr>
        <w:t>“财政事务征管经费”绩效目标完成情况综述。项目全年预算数</w:t>
      </w:r>
      <w:r>
        <w:rPr>
          <w:rFonts w:hint="eastAsia" w:ascii="方正仿宋_GBK" w:hAnsi="方正仿宋_GBK" w:eastAsia="方正仿宋_GBK" w:cs="方正仿宋_GBK"/>
          <w:sz w:val="32"/>
          <w:szCs w:val="32"/>
          <w:lang w:val="en-US" w:eastAsia="zh-CN"/>
        </w:rPr>
        <w:t>194.4</w:t>
      </w:r>
      <w:r>
        <w:rPr>
          <w:rFonts w:hint="eastAsia" w:ascii="方正仿宋_GBK" w:hAnsi="方正仿宋_GBK" w:eastAsia="方正仿宋_GBK" w:cs="方正仿宋_GBK"/>
          <w:sz w:val="32"/>
          <w:szCs w:val="32"/>
          <w:lang w:eastAsia="zh-CN"/>
        </w:rPr>
        <w:t>万元，执行数为</w:t>
      </w:r>
      <w:r>
        <w:rPr>
          <w:rFonts w:hint="eastAsia" w:ascii="方正仿宋_GBK" w:hAnsi="方正仿宋_GBK" w:eastAsia="方正仿宋_GBK" w:cs="方正仿宋_GBK"/>
          <w:sz w:val="32"/>
          <w:szCs w:val="32"/>
          <w:lang w:val="en-US" w:eastAsia="zh-CN"/>
        </w:rPr>
        <w:t>142.4</w:t>
      </w:r>
      <w:r>
        <w:rPr>
          <w:rFonts w:hint="eastAsia" w:ascii="方正仿宋_GBK" w:hAnsi="方正仿宋_GBK" w:eastAsia="方正仿宋_GBK" w:cs="方正仿宋_GBK"/>
          <w:sz w:val="32"/>
          <w:szCs w:val="32"/>
          <w:lang w:eastAsia="zh-CN"/>
        </w:rPr>
        <w:t>万元，完成预算的</w:t>
      </w:r>
      <w:r>
        <w:rPr>
          <w:rFonts w:hint="eastAsia" w:ascii="方正仿宋_GBK" w:hAnsi="方正仿宋_GBK" w:eastAsia="方正仿宋_GBK" w:cs="方正仿宋_GBK"/>
          <w:sz w:val="32"/>
          <w:szCs w:val="32"/>
          <w:lang w:val="en-US" w:eastAsia="zh-CN"/>
        </w:rPr>
        <w:t>73</w:t>
      </w:r>
      <w:r>
        <w:rPr>
          <w:rFonts w:hint="eastAsia" w:ascii="方正仿宋_GBK" w:hAnsi="方正仿宋_GBK" w:eastAsia="方正仿宋_GBK" w:cs="方正仿宋_GBK"/>
          <w:sz w:val="32"/>
          <w:szCs w:val="32"/>
          <w:lang w:eastAsia="zh-CN"/>
        </w:rPr>
        <w:t>%。通过项目实施，</w:t>
      </w:r>
      <w:r>
        <w:rPr>
          <w:rFonts w:hint="eastAsia" w:ascii="方正仿宋_GBK" w:hAnsi="方正仿宋_GBK" w:eastAsia="方正仿宋_GBK" w:cs="方正仿宋_GBK"/>
          <w:sz w:val="32"/>
          <w:szCs w:val="32"/>
        </w:rPr>
        <w:t>以票管收、清欠促收，加大非税收入征管力度，全面完成全年非税收入征收目标任务</w:t>
      </w:r>
      <w:r>
        <w:rPr>
          <w:rFonts w:hint="eastAsia" w:ascii="方正仿宋_GBK" w:hAnsi="方正仿宋_GBK" w:eastAsia="方正仿宋_GBK" w:cs="方正仿宋_GBK"/>
          <w:sz w:val="32"/>
          <w:szCs w:val="32"/>
          <w:lang w:eastAsia="zh-CN"/>
        </w:rPr>
        <w:t>，为全市经费提供了有力的保障，</w:t>
      </w:r>
      <w:r>
        <w:rPr>
          <w:rFonts w:hint="eastAsia" w:ascii="方正仿宋_GBK" w:hAnsi="方正仿宋_GBK" w:eastAsia="方正仿宋_GBK" w:cs="方正仿宋_GBK"/>
          <w:sz w:val="32"/>
          <w:szCs w:val="32"/>
        </w:rPr>
        <w:t>全年全市到位上级转移支付239.63亿元，同比增长5.56%，其中，市级到位44亿元，增长8.23%；到位均衡性转移支付增量 46.66亿元，增长6.58%。</w:t>
      </w:r>
      <w:r>
        <w:rPr>
          <w:rFonts w:hint="eastAsia" w:ascii="方正仿宋_GBK" w:hAnsi="方正仿宋_GBK" w:eastAsia="方正仿宋_GBK" w:cs="方正仿宋_GBK"/>
          <w:color w:val="auto"/>
          <w:sz w:val="32"/>
          <w:szCs w:val="32"/>
          <w:lang w:eastAsia="zh-CN"/>
        </w:rPr>
        <w:t>发现的主要问题：绩效目标设定还不科学，预计项目存在偏差。下一步改进措施：</w:t>
      </w:r>
      <w:r>
        <w:rPr>
          <w:rFonts w:hint="eastAsia" w:ascii="方正仿宋_GBK" w:hAnsi="方正仿宋_GBK" w:eastAsia="方正仿宋_GBK" w:cs="方正仿宋_GBK"/>
          <w:color w:val="000000"/>
          <w:sz w:val="31"/>
        </w:rPr>
        <w:t>针对存在的问题</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我们将进一步科学设定绩效目标</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加强预算执行管理。一是改进部门收支预算编制</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夯实预算基础工作</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提高预算编制质量</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二是认真研究政策</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加强项目绩效目标审核</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力求科学合理</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三是认真研究重点项目的执行</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特别是涉及政府采购的项目</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提早规划</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提前实施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确保项目顺利实施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提高财政资金的使用效益</w:t>
      </w:r>
      <w:r>
        <w:rPr>
          <w:rFonts w:hint="eastAsia" w:ascii="方正仿宋_GBK" w:hAnsi="方正仿宋_GBK" w:eastAsia="方正仿宋_GBK" w:cs="方正仿宋_GBK"/>
          <w:color w:val="000000"/>
          <w:sz w:val="31"/>
          <w:lang w:eastAsia="zh-CN"/>
        </w:rPr>
        <w:t>。</w:t>
      </w:r>
    </w:p>
    <w:p>
      <w:pPr>
        <w:numPr>
          <w:ilvl w:val="0"/>
          <w:numId w:val="4"/>
        </w:numPr>
        <w:spacing w:line="580" w:lineRule="exact"/>
        <w:ind w:firstLine="640" w:firstLineChars="200"/>
        <w:rPr>
          <w:rFonts w:hint="eastAsia" w:ascii="方正仿宋_GBK" w:hAnsi="方正仿宋_GBK" w:eastAsia="方正仿宋_GBK" w:cs="方正仿宋_GBK"/>
          <w:color w:val="000000"/>
          <w:sz w:val="31"/>
          <w:lang w:eastAsia="zh-CN"/>
        </w:rPr>
      </w:pPr>
      <w:r>
        <w:rPr>
          <w:rFonts w:hint="eastAsia" w:ascii="方正仿宋_GBK" w:hAnsi="方正仿宋_GBK" w:eastAsia="方正仿宋_GBK" w:cs="方正仿宋_GBK"/>
          <w:sz w:val="32"/>
          <w:szCs w:val="32"/>
          <w:lang w:eastAsia="zh-CN"/>
        </w:rPr>
        <w:t>“财政支付管理、预算指标、资产管理、债务管理等系统升级及维护管理”绩效目标完成情况综述。项目全年预算数</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lang w:eastAsia="zh-CN"/>
        </w:rPr>
        <w:t>万元，执行数为</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lang w:eastAsia="zh-CN"/>
        </w:rPr>
        <w:t>万元，完成预算的</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eastAsia="zh-CN"/>
        </w:rPr>
        <w:t>%。通过项目实施，保障全市预算、决算、资产、债务软件的正常运行，提高了财务管理水平和效率，减少了财务人员的负担。</w:t>
      </w:r>
      <w:r>
        <w:rPr>
          <w:rFonts w:hint="eastAsia" w:ascii="方正仿宋_GBK" w:hAnsi="方正仿宋_GBK" w:eastAsia="方正仿宋_GBK" w:cs="方正仿宋_GBK"/>
          <w:color w:val="auto"/>
          <w:sz w:val="32"/>
          <w:szCs w:val="32"/>
          <w:lang w:eastAsia="zh-CN"/>
        </w:rPr>
        <w:t>发现的主要问题：绩效目标设定还不科学，预计项目和金额存在偏差。下一步改进措施：</w:t>
      </w:r>
      <w:r>
        <w:rPr>
          <w:rFonts w:hint="eastAsia" w:ascii="方正仿宋_GBK" w:hAnsi="方正仿宋_GBK" w:eastAsia="方正仿宋_GBK" w:cs="方正仿宋_GBK"/>
          <w:color w:val="000000"/>
          <w:sz w:val="31"/>
        </w:rPr>
        <w:t>针对存在的问题</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我们将进一步科学设定绩效目标</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加强预算执行管理。一是改进部门收支预算编制</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夯实预算基础工作</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提高预算编制质量</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二是认真研究政策</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加强项目绩效目标审核</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力求科学合理</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三是认真研究重点项目的执行</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特别是涉及政府采购的项目</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提早规划</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提前实施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确保项目顺利实施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提高财政资金的使用效益</w:t>
      </w:r>
      <w:r>
        <w:rPr>
          <w:rFonts w:hint="eastAsia" w:ascii="方正仿宋_GBK" w:hAnsi="方正仿宋_GBK" w:eastAsia="方正仿宋_GBK" w:cs="方正仿宋_GBK"/>
          <w:color w:val="000000"/>
          <w:sz w:val="31"/>
          <w:lang w:eastAsia="zh-CN"/>
        </w:rPr>
        <w:t>。</w:t>
      </w:r>
    </w:p>
    <w:p>
      <w:pPr>
        <w:numPr>
          <w:ilvl w:val="0"/>
          <w:numId w:val="4"/>
        </w:numPr>
        <w:spacing w:line="580" w:lineRule="exact"/>
        <w:ind w:firstLine="640" w:firstLineChars="200"/>
        <w:rPr>
          <w:rFonts w:hint="eastAsia" w:ascii="方正仿宋_GBK" w:hAnsi="方正仿宋_GBK" w:eastAsia="方正仿宋_GBK" w:cs="方正仿宋_GBK"/>
          <w:color w:val="000000"/>
          <w:sz w:val="31"/>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PPP项目工作经费</w:t>
      </w:r>
      <w:r>
        <w:rPr>
          <w:rFonts w:hint="eastAsia" w:ascii="方正仿宋_GBK" w:hAnsi="方正仿宋_GBK" w:eastAsia="方正仿宋_GBK" w:cs="方正仿宋_GBK"/>
          <w:sz w:val="32"/>
          <w:szCs w:val="32"/>
          <w:lang w:eastAsia="zh-CN"/>
        </w:rPr>
        <w:t>”绩效目标完成情况综述。项目全年预算数</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eastAsia="zh-CN"/>
        </w:rPr>
        <w:t>万元，执行数为</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eastAsia="zh-CN"/>
        </w:rPr>
        <w:t>万元，完成预算的</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eastAsia="zh-CN"/>
        </w:rPr>
        <w:t>%。通过项目实施，保障了全市基础设施和公共服务</w:t>
      </w:r>
      <w:r>
        <w:rPr>
          <w:rFonts w:hint="eastAsia" w:ascii="方正仿宋_GBK" w:hAnsi="方正仿宋_GBK" w:eastAsia="方正仿宋_GBK" w:cs="方正仿宋_GBK"/>
          <w:sz w:val="32"/>
          <w:szCs w:val="32"/>
          <w:lang w:val="en-US" w:eastAsia="zh-CN"/>
        </w:rPr>
        <w:t>3P项目的规范管理，2019年</w:t>
      </w:r>
      <w:r>
        <w:rPr>
          <w:rFonts w:hint="eastAsia" w:ascii="方正仿宋_GBK" w:hAnsi="方正仿宋_GBK" w:eastAsia="方正仿宋_GBK" w:cs="方正仿宋_GBK"/>
          <w:sz w:val="32"/>
          <w:szCs w:val="32"/>
        </w:rPr>
        <w:t>纳入财政部PPP综合信息平台库管理项目48个，总投资538.92亿元。最大限度发挥国有资本融资功能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统筹协调支持市属国有企业通过企业债、公司债、PPN、专项债等方式融资到位40.55亿元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eastAsia="zh-CN"/>
        </w:rPr>
        <w:t>发现的主要问题：绩效目标设定还不科学，预计发生的费用与实际存在偏差。下一步改进措施：</w:t>
      </w:r>
      <w:r>
        <w:rPr>
          <w:rFonts w:hint="eastAsia" w:ascii="方正仿宋_GBK" w:hAnsi="方正仿宋_GBK" w:eastAsia="方正仿宋_GBK" w:cs="方正仿宋_GBK"/>
          <w:color w:val="000000"/>
          <w:sz w:val="31"/>
        </w:rPr>
        <w:t>针对存在的问题</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我们将进一步科学设定绩效目标</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加强预算执行管理。一是改进部门收支预算编制</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夯实预算基础工作</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提高预算编制质量</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二是认真研究政策</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加强项目绩效目标审核</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力求科学合理</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三是认真研究重点项目的执行</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特别是涉及政府采购的项目</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提早规划</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提前实施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确保项目顺利实施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提高财政资金的使用效益</w:t>
      </w:r>
      <w:r>
        <w:rPr>
          <w:rFonts w:hint="eastAsia" w:ascii="方正仿宋_GBK" w:hAnsi="方正仿宋_GBK" w:eastAsia="方正仿宋_GBK" w:cs="方正仿宋_GBK"/>
          <w:color w:val="000000"/>
          <w:sz w:val="31"/>
          <w:lang w:eastAsia="zh-CN"/>
        </w:rPr>
        <w:t>。</w:t>
      </w:r>
    </w:p>
    <w:p>
      <w:pPr>
        <w:numPr>
          <w:ilvl w:val="0"/>
          <w:numId w:val="4"/>
        </w:numPr>
        <w:spacing w:line="58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“依法治市工作经费”绩效目标完成情况综述。全年预算数</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万元，执行数为</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万元，完成预算的</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eastAsia="zh-CN"/>
        </w:rPr>
        <w:t>%。通过项目实施，</w:t>
      </w:r>
      <w:r>
        <w:rPr>
          <w:rFonts w:hint="eastAsia" w:ascii="方正仿宋_GBK" w:hAnsi="方正仿宋_GBK" w:eastAsia="方正仿宋_GBK" w:cs="方正仿宋_GBK"/>
          <w:color w:val="000000" w:themeColor="text1"/>
          <w:sz w:val="32"/>
          <w:szCs w:val="32"/>
        </w:rPr>
        <w:t>加强法治财政建设</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认真落实领导干部带头学法、严格守法执法，规范遵守财经纪律和“三重一大”决策制度，全市针对政府采购违法违规行为作出行政处罚116项，涉及110个政府采购项目共17.76亿元</w:t>
      </w:r>
      <w:r>
        <w:rPr>
          <w:rFonts w:hint="eastAsia" w:ascii="方正仿宋_GBK" w:hAnsi="方正仿宋_GBK" w:eastAsia="方正仿宋_GBK" w:cs="方正仿宋_GBK"/>
          <w:color w:val="000000" w:themeColor="text1"/>
          <w:sz w:val="32"/>
          <w:szCs w:val="32"/>
          <w:lang w:eastAsia="zh-CN"/>
        </w:rPr>
        <w:t>，保障了财政资金的安全有效。</w:t>
      </w:r>
      <w:r>
        <w:rPr>
          <w:rFonts w:hint="eastAsia" w:ascii="方正仿宋_GBK" w:hAnsi="方正仿宋_GBK" w:eastAsia="方正仿宋_GBK" w:cs="方正仿宋_GBK"/>
          <w:color w:val="auto"/>
          <w:sz w:val="32"/>
          <w:szCs w:val="32"/>
          <w:lang w:eastAsia="zh-CN"/>
        </w:rPr>
        <w:t>发现的主要问题：绩效目标设定还不科学。下一步改进措施：</w:t>
      </w:r>
      <w:r>
        <w:rPr>
          <w:rFonts w:hint="eastAsia" w:ascii="方正仿宋_GBK" w:hAnsi="方正仿宋_GBK" w:eastAsia="方正仿宋_GBK" w:cs="方正仿宋_GBK"/>
          <w:color w:val="000000"/>
          <w:sz w:val="31"/>
        </w:rPr>
        <w:t>针对存在的问题</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我们将进一步科学设定绩效目标</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加强预算执行管理。一是改进部门收支预算编制</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夯实预算基础工作</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提高预算编制质量</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二是认真研究政策</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加强项目绩效目标审核</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力求科学合理</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三是认真研究重点项目的执行</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特别是涉及政府采购的项目</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提早规划</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提前实施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确保项目顺利实施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提高财政资金的使用效益</w:t>
      </w:r>
      <w:r>
        <w:rPr>
          <w:rFonts w:hint="eastAsia" w:ascii="方正仿宋_GBK" w:hAnsi="方正仿宋_GBK" w:eastAsia="方正仿宋_GBK" w:cs="方正仿宋_GBK"/>
          <w:color w:val="000000"/>
          <w:sz w:val="31"/>
          <w:lang w:eastAsia="zh-CN"/>
        </w:rPr>
        <w:t>。</w:t>
      </w:r>
    </w:p>
    <w:p>
      <w:pPr>
        <w:spacing w:line="580" w:lineRule="exact"/>
        <w:ind w:firstLine="640" w:firstLineChars="200"/>
        <w:rPr>
          <w:rFonts w:hint="eastAsia" w:ascii="仿宋" w:hAnsi="仿宋" w:eastAsia="仿宋"/>
          <w:color w:val="000000"/>
          <w:sz w:val="31"/>
          <w:lang w:eastAsia="zh-CN"/>
        </w:rPr>
        <w:sectPr>
          <w:headerReference r:id="rId3" w:type="default"/>
          <w:footerReference r:id="rId4" w:type="default"/>
          <w:pgSz w:w="11909" w:h="16838"/>
          <w:pgMar w:top="1380" w:right="1808" w:bottom="802" w:left="1812" w:header="720" w:footer="720" w:gutter="0"/>
          <w:cols w:space="720" w:num="1"/>
        </w:sect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“网络运行维护费”绩效目标完成情况综述。全年预算数</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万元执行数为</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万元，完成预算的</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eastAsia="zh-CN"/>
        </w:rPr>
        <w:t>%。保障了全市</w:t>
      </w:r>
      <w:r>
        <w:rPr>
          <w:rFonts w:hint="eastAsia" w:ascii="方正仿宋_GBK" w:hAnsi="方正仿宋_GBK" w:eastAsia="方正仿宋_GBK" w:cs="方正仿宋_GBK"/>
          <w:sz w:val="32"/>
          <w:szCs w:val="32"/>
          <w:lang w:val="en-US" w:eastAsia="zh-CN"/>
        </w:rPr>
        <w:t>7个</w:t>
      </w:r>
      <w:r>
        <w:rPr>
          <w:rFonts w:hint="eastAsia" w:ascii="方正仿宋_GBK" w:hAnsi="方正仿宋_GBK" w:eastAsia="方正仿宋_GBK" w:cs="方正仿宋_GBK"/>
          <w:sz w:val="32"/>
          <w:szCs w:val="32"/>
          <w:lang w:eastAsia="zh-CN"/>
        </w:rPr>
        <w:t>财政内网业务平台的正常运行，</w:t>
      </w:r>
      <w:r>
        <w:rPr>
          <w:rFonts w:hint="eastAsia" w:ascii="方正仿宋_GBK" w:hAnsi="方正仿宋_GBK" w:eastAsia="方正仿宋_GBK" w:cs="方正仿宋_GBK"/>
          <w:color w:val="000000" w:themeColor="text1"/>
          <w:sz w:val="32"/>
          <w:szCs w:val="32"/>
        </w:rPr>
        <w:t>提高财政服务效率</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认真落实“马上办、网上办、一次办”改革措施</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提升办事效率</w:t>
      </w:r>
      <w:r>
        <w:rPr>
          <w:rFonts w:hint="eastAsia" w:ascii="方正仿宋_GBK" w:hAnsi="方正仿宋_GBK" w:eastAsia="方正仿宋_GBK" w:cs="方正仿宋_GBK"/>
          <w:color w:val="000000" w:themeColor="text1"/>
          <w:sz w:val="32"/>
          <w:szCs w:val="32"/>
          <w:lang w:eastAsia="zh-CN"/>
        </w:rPr>
        <w:t>，使</w:t>
      </w:r>
      <w:r>
        <w:rPr>
          <w:rFonts w:hint="eastAsia" w:ascii="方正仿宋_GBK" w:hAnsi="方正仿宋_GBK" w:eastAsia="方正仿宋_GBK" w:cs="方正仿宋_GBK"/>
          <w:sz w:val="32"/>
          <w:szCs w:val="32"/>
          <w:lang w:eastAsia="zh-CN"/>
        </w:rPr>
        <w:t>财政业务办理更加快捷、方便。</w:t>
      </w:r>
      <w:r>
        <w:rPr>
          <w:rFonts w:hint="eastAsia" w:ascii="方正仿宋_GBK" w:hAnsi="方正仿宋_GBK" w:eastAsia="方正仿宋_GBK" w:cs="方正仿宋_GBK"/>
          <w:color w:val="auto"/>
          <w:sz w:val="32"/>
          <w:szCs w:val="32"/>
          <w:lang w:eastAsia="zh-CN"/>
        </w:rPr>
        <w:t>发现的主要问题：绩效目标设定还不科学，预计发生的费用与实际存在较大的偏差。下一步改进措施：</w:t>
      </w:r>
      <w:r>
        <w:rPr>
          <w:rFonts w:hint="eastAsia" w:ascii="方正仿宋_GBK" w:hAnsi="方正仿宋_GBK" w:eastAsia="方正仿宋_GBK" w:cs="方正仿宋_GBK"/>
          <w:color w:val="000000"/>
          <w:sz w:val="31"/>
        </w:rPr>
        <w:t>针对存在的问题</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我们将进一步科学设定绩效目标</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加强预算执行管理。一是改进部门收支预算编制</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夯实预算基础工作</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提高预算编制质量</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二是认真研究政策</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加强项目绩效目标审核</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力求科学合理</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三是认真研究重点项目的执行</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特别是涉及政府采购的项目</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提早规划</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提前实施</w:t>
      </w:r>
      <w:r>
        <w:rPr>
          <w:rFonts w:hint="eastAsia" w:ascii="方正仿宋_GBK" w:hAnsi="方正仿宋_GBK" w:eastAsia="方正仿宋_GBK" w:cs="方正仿宋_GBK"/>
          <w:color w:val="000000"/>
          <w:w w:val="115"/>
          <w:sz w:val="36"/>
        </w:rPr>
        <w:t>,</w:t>
      </w:r>
      <w:r>
        <w:rPr>
          <w:rFonts w:hint="eastAsia" w:ascii="方正仿宋_GBK" w:hAnsi="方正仿宋_GBK" w:eastAsia="方正仿宋_GBK" w:cs="方正仿宋_GBK"/>
          <w:color w:val="000000"/>
          <w:sz w:val="31"/>
        </w:rPr>
        <w:t>确保项目顺利</w:t>
      </w:r>
      <w:r>
        <w:rPr>
          <w:rFonts w:ascii="仿宋" w:hAnsi="仿宋" w:eastAsia="仿宋"/>
          <w:color w:val="000000"/>
          <w:sz w:val="31"/>
        </w:rPr>
        <w:t>实施</w:t>
      </w:r>
      <w:r>
        <w:rPr>
          <w:rFonts w:ascii="仿宋" w:hAnsi="仿宋" w:eastAsia="仿宋"/>
          <w:color w:val="000000"/>
          <w:w w:val="115"/>
          <w:sz w:val="36"/>
        </w:rPr>
        <w:t>,</w:t>
      </w:r>
      <w:r>
        <w:rPr>
          <w:rFonts w:ascii="仿宋" w:hAnsi="仿宋" w:eastAsia="仿宋"/>
          <w:color w:val="000000"/>
          <w:sz w:val="31"/>
        </w:rPr>
        <w:t>提高财政资金的使用效益</w:t>
      </w:r>
      <w:r>
        <w:rPr>
          <w:rFonts w:hint="eastAsia" w:ascii="仿宋" w:hAnsi="仿宋" w:eastAsia="仿宋"/>
          <w:color w:val="000000"/>
          <w:sz w:val="31"/>
          <w:lang w:eastAsia="zh-CN"/>
        </w:rPr>
        <w:t>。</w:t>
      </w:r>
    </w:p>
    <w:p>
      <w:pPr>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57"/>
        <w:gridCol w:w="1043"/>
        <w:gridCol w:w="941"/>
        <w:gridCol w:w="2233"/>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9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项目名称</w:t>
            </w:r>
          </w:p>
        </w:tc>
        <w:tc>
          <w:tcPr>
            <w:tcW w:w="70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财政支付管理、预算指标、资产管理、债务管理等系统升级及维护费</w:t>
            </w:r>
          </w:p>
        </w:tc>
      </w:tr>
      <w:tr>
        <w:tblPrEx>
          <w:tblCellMar>
            <w:top w:w="0" w:type="dxa"/>
            <w:left w:w="0" w:type="dxa"/>
            <w:bottom w:w="0" w:type="dxa"/>
            <w:right w:w="0" w:type="dxa"/>
          </w:tblCellMar>
        </w:tblPrEx>
        <w:trPr>
          <w:trHeight w:val="276" w:hRule="atLeast"/>
          <w:jc w:val="center"/>
        </w:trPr>
        <w:tc>
          <w:tcPr>
            <w:tcW w:w="29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预算单位</w:t>
            </w:r>
          </w:p>
        </w:tc>
        <w:tc>
          <w:tcPr>
            <w:tcW w:w="70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巴中市财政局</w:t>
            </w:r>
          </w:p>
        </w:tc>
      </w:tr>
      <w:tr>
        <w:tblPrEx>
          <w:tblCellMar>
            <w:top w:w="0" w:type="dxa"/>
            <w:left w:w="0" w:type="dxa"/>
            <w:bottom w:w="0" w:type="dxa"/>
            <w:right w:w="0" w:type="dxa"/>
          </w:tblCellMar>
        </w:tblPrEx>
        <w:trPr>
          <w:trHeight w:val="276" w:hRule="atLeast"/>
          <w:jc w:val="center"/>
        </w:trPr>
        <w:tc>
          <w:tcPr>
            <w:tcW w:w="9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预算执行情况(万元)</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预算数:</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30万元</w:t>
            </w:r>
          </w:p>
        </w:tc>
      </w:tr>
      <w:tr>
        <w:tblPrEx>
          <w:tblCellMar>
            <w:top w:w="0" w:type="dxa"/>
            <w:left w:w="0" w:type="dxa"/>
            <w:bottom w:w="0" w:type="dxa"/>
            <w:right w:w="0" w:type="dxa"/>
          </w:tblCellMar>
        </w:tblPrEx>
        <w:trPr>
          <w:trHeight w:val="456"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其中-财政拨款:</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30万元</w:t>
            </w:r>
          </w:p>
        </w:tc>
      </w:tr>
      <w:tr>
        <w:tblPrEx>
          <w:tblCellMar>
            <w:top w:w="0" w:type="dxa"/>
            <w:left w:w="0" w:type="dxa"/>
            <w:bottom w:w="0" w:type="dxa"/>
            <w:right w:w="0" w:type="dxa"/>
          </w:tblCellMar>
        </w:tblPrEx>
        <w:trPr>
          <w:trHeight w:val="499"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其它资金:</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0万元</w:t>
            </w:r>
          </w:p>
        </w:tc>
      </w:tr>
      <w:tr>
        <w:tblPrEx>
          <w:tblCellMar>
            <w:top w:w="0" w:type="dxa"/>
            <w:left w:w="0" w:type="dxa"/>
            <w:bottom w:w="0" w:type="dxa"/>
            <w:right w:w="0" w:type="dxa"/>
          </w:tblCellMar>
        </w:tblPrEx>
        <w:trPr>
          <w:trHeight w:val="276" w:hRule="atLeast"/>
          <w:jc w:val="center"/>
        </w:trPr>
        <w:tc>
          <w:tcPr>
            <w:tcW w:w="9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年度目标完成情况</w:t>
            </w:r>
          </w:p>
        </w:tc>
        <w:tc>
          <w:tcPr>
            <w:tcW w:w="42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实际完成目标</w:t>
            </w:r>
          </w:p>
        </w:tc>
      </w:tr>
      <w:tr>
        <w:tblPrEx>
          <w:tblCellMar>
            <w:top w:w="0" w:type="dxa"/>
            <w:left w:w="0" w:type="dxa"/>
            <w:bottom w:w="0" w:type="dxa"/>
            <w:right w:w="0" w:type="dxa"/>
          </w:tblCellMar>
        </w:tblPrEx>
        <w:trPr>
          <w:trHeight w:val="846" w:hRule="atLeast"/>
          <w:jc w:val="center"/>
        </w:trPr>
        <w:tc>
          <w:tcPr>
            <w:tcW w:w="9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2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498"/>
              </w:tabs>
              <w:ind w:firstLine="420" w:firstLineChars="200"/>
              <w:jc w:val="both"/>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现有</w:t>
            </w:r>
            <w:r>
              <w:rPr>
                <w:rFonts w:hint="eastAsia" w:ascii="仿宋" w:hAnsi="仿宋" w:eastAsia="仿宋" w:cs="仿宋"/>
                <w:color w:val="000000"/>
                <w:sz w:val="21"/>
                <w:szCs w:val="21"/>
                <w:lang w:val="en-US" w:eastAsia="zh-CN"/>
              </w:rPr>
              <w:t>7个财政业务平台正常运转和升级服务。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20" w:firstLineChars="200"/>
              <w:jc w:val="both"/>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现有</w:t>
            </w:r>
            <w:r>
              <w:rPr>
                <w:rFonts w:hint="eastAsia" w:ascii="仿宋" w:hAnsi="仿宋" w:eastAsia="仿宋" w:cs="仿宋"/>
                <w:color w:val="000000"/>
                <w:sz w:val="21"/>
                <w:szCs w:val="21"/>
                <w:lang w:val="en-US" w:eastAsia="zh-CN"/>
              </w:rPr>
              <w:t>7个财政业务平台运转正常，已完成2019年度的升级服务工作。</w:t>
            </w:r>
          </w:p>
        </w:tc>
      </w:tr>
      <w:tr>
        <w:tblPrEx>
          <w:tblCellMar>
            <w:top w:w="0" w:type="dxa"/>
            <w:left w:w="0" w:type="dxa"/>
            <w:bottom w:w="0" w:type="dxa"/>
            <w:right w:w="0" w:type="dxa"/>
          </w:tblCellMar>
        </w:tblPrEx>
        <w:trPr>
          <w:trHeight w:val="739" w:hRule="atLeast"/>
          <w:jc w:val="center"/>
        </w:trPr>
        <w:tc>
          <w:tcPr>
            <w:tcW w:w="9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绩效指标完成情况</w:t>
            </w: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一级指标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二级指标</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实际完成指标值(包含数字及文字描述)</w:t>
            </w:r>
          </w:p>
        </w:tc>
      </w:tr>
      <w:tr>
        <w:tblPrEx>
          <w:tblCellMar>
            <w:top w:w="0" w:type="dxa"/>
            <w:left w:w="0" w:type="dxa"/>
            <w:bottom w:w="0" w:type="dxa"/>
            <w:right w:w="0" w:type="dxa"/>
          </w:tblCellMar>
        </w:tblPrEx>
        <w:trPr>
          <w:trHeight w:val="724"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项目完成指标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数量</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运转、运用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7个财政业务平台正常运行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0"/>
              </w:tabs>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ab/>
            </w:r>
            <w:r>
              <w:rPr>
                <w:rFonts w:hint="eastAsia" w:ascii="仿宋" w:hAnsi="仿宋" w:eastAsia="仿宋" w:cs="仿宋"/>
                <w:color w:val="000000"/>
                <w:sz w:val="21"/>
                <w:szCs w:val="21"/>
                <w:lang w:val="en-US" w:eastAsia="zh-CN"/>
              </w:rPr>
              <w:t>7个财政业务平台运行正常</w:t>
            </w:r>
          </w:p>
        </w:tc>
      </w:tr>
      <w:tr>
        <w:tblPrEx>
          <w:tblCellMar>
            <w:top w:w="0" w:type="dxa"/>
            <w:left w:w="0" w:type="dxa"/>
            <w:bottom w:w="0" w:type="dxa"/>
            <w:right w:w="0" w:type="dxa"/>
          </w:tblCellMar>
        </w:tblPrEx>
        <w:trPr>
          <w:trHeight w:val="432"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项目完成指标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数量</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升级、维护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7个财政业务平台升级维护</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完成全部平台升级工作</w:t>
            </w:r>
          </w:p>
        </w:tc>
      </w:tr>
      <w:tr>
        <w:tblPrEx>
          <w:tblCellMar>
            <w:top w:w="0" w:type="dxa"/>
            <w:left w:w="0" w:type="dxa"/>
            <w:bottom w:w="0" w:type="dxa"/>
            <w:right w:w="0" w:type="dxa"/>
          </w:tblCellMar>
        </w:tblPrEx>
        <w:trPr>
          <w:trHeight w:val="584"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项目完成指标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数量</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运用单位数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市级</w:t>
            </w:r>
            <w:r>
              <w:rPr>
                <w:rFonts w:hint="eastAsia" w:ascii="仿宋" w:hAnsi="仿宋" w:eastAsia="仿宋" w:cs="仿宋"/>
                <w:color w:val="000000"/>
                <w:sz w:val="21"/>
                <w:szCs w:val="21"/>
                <w:lang w:val="en-US" w:eastAsia="zh-CN"/>
              </w:rPr>
              <w:t>222个</w:t>
            </w:r>
            <w:r>
              <w:rPr>
                <w:rFonts w:hint="eastAsia" w:ascii="仿宋" w:hAnsi="仿宋" w:eastAsia="仿宋" w:cs="仿宋"/>
                <w:color w:val="000000"/>
                <w:sz w:val="21"/>
                <w:szCs w:val="21"/>
                <w:lang w:eastAsia="zh-CN"/>
              </w:rPr>
              <w:t>预算单位开通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222个预算单位全部开通</w:t>
            </w:r>
          </w:p>
        </w:tc>
      </w:tr>
      <w:tr>
        <w:tblPrEx>
          <w:tblCellMar>
            <w:top w:w="0" w:type="dxa"/>
            <w:left w:w="0" w:type="dxa"/>
            <w:bottom w:w="0" w:type="dxa"/>
            <w:right w:w="0" w:type="dxa"/>
          </w:tblCellMar>
        </w:tblPrEx>
        <w:trPr>
          <w:trHeight w:val="495"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项目完成指标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r>
      <w:tr>
        <w:tblPrEx>
          <w:tblCellMar>
            <w:top w:w="0" w:type="dxa"/>
            <w:left w:w="0" w:type="dxa"/>
            <w:bottom w:w="0" w:type="dxa"/>
            <w:right w:w="0" w:type="dxa"/>
          </w:tblCellMar>
        </w:tblPrEx>
        <w:trPr>
          <w:trHeight w:val="724"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项目完成指标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r>
      <w:tr>
        <w:tblPrEx>
          <w:tblCellMar>
            <w:top w:w="0" w:type="dxa"/>
            <w:left w:w="0" w:type="dxa"/>
            <w:bottom w:w="0" w:type="dxa"/>
            <w:right w:w="0" w:type="dxa"/>
          </w:tblCellMar>
        </w:tblPrEx>
        <w:trPr>
          <w:trHeight w:val="698"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效益指标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质量</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全年运转正常，无错误数据发生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全年运转正常，无错误数据发生</w:t>
            </w:r>
          </w:p>
        </w:tc>
      </w:tr>
      <w:tr>
        <w:tblPrEx>
          <w:tblCellMar>
            <w:top w:w="0" w:type="dxa"/>
            <w:left w:w="0" w:type="dxa"/>
            <w:bottom w:w="0" w:type="dxa"/>
            <w:right w:w="0" w:type="dxa"/>
          </w:tblCellMar>
        </w:tblPrEx>
        <w:trPr>
          <w:trHeight w:val="597"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效益指标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时效</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574"/>
              </w:tabs>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ab/>
            </w:r>
            <w:r>
              <w:rPr>
                <w:rFonts w:hint="eastAsia" w:ascii="仿宋" w:hAnsi="仿宋" w:eastAsia="仿宋" w:cs="仿宋"/>
                <w:color w:val="000000"/>
                <w:sz w:val="21"/>
                <w:szCs w:val="21"/>
                <w:lang w:eastAsia="zh-CN"/>
              </w:rPr>
              <w:t>定期维护，</w:t>
            </w:r>
            <w:r>
              <w:rPr>
                <w:rFonts w:hint="eastAsia" w:ascii="仿宋" w:hAnsi="仿宋" w:eastAsia="仿宋" w:cs="仿宋"/>
                <w:color w:val="000000"/>
                <w:sz w:val="21"/>
                <w:szCs w:val="21"/>
                <w:lang w:val="en-US" w:eastAsia="zh-CN"/>
              </w:rPr>
              <w:t>24小时内解决网络问题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定期维护，</w:t>
            </w:r>
            <w:r>
              <w:rPr>
                <w:rFonts w:hint="eastAsia" w:ascii="仿宋" w:hAnsi="仿宋" w:eastAsia="仿宋" w:cs="仿宋"/>
                <w:color w:val="000000"/>
                <w:sz w:val="21"/>
                <w:szCs w:val="21"/>
                <w:lang w:val="en-US" w:eastAsia="zh-CN"/>
              </w:rPr>
              <w:t>24小时内解决网络问题</w:t>
            </w:r>
          </w:p>
        </w:tc>
      </w:tr>
      <w:tr>
        <w:tblPrEx>
          <w:tblCellMar>
            <w:top w:w="0" w:type="dxa"/>
            <w:left w:w="0" w:type="dxa"/>
            <w:bottom w:w="0" w:type="dxa"/>
            <w:right w:w="0" w:type="dxa"/>
          </w:tblCellMar>
        </w:tblPrEx>
        <w:trPr>
          <w:trHeight w:val="801" w:hRule="atLeast"/>
          <w:jc w:val="center"/>
        </w:trPr>
        <w:tc>
          <w:tcPr>
            <w:tcW w:w="95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经济</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财务核算、预算、决算数据更加精细化、更加准确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财务核算、预算、决算数据更加精细化、更加准确</w:t>
            </w:r>
          </w:p>
        </w:tc>
      </w:tr>
      <w:tr>
        <w:tblPrEx>
          <w:tblCellMar>
            <w:top w:w="0" w:type="dxa"/>
            <w:left w:w="0" w:type="dxa"/>
            <w:bottom w:w="0" w:type="dxa"/>
            <w:right w:w="0" w:type="dxa"/>
          </w:tblCellMar>
        </w:tblPrEx>
        <w:trPr>
          <w:trHeight w:val="820" w:hRule="atLeast"/>
          <w:jc w:val="center"/>
        </w:trPr>
        <w:tc>
          <w:tcPr>
            <w:tcW w:w="95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满意度指标</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服务对象</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财务工作者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提高了财务管理水平和效率，减少了财务人员的负担。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提高了财务管理水平和效率，减少了财务人员的负担。</w:t>
            </w:r>
          </w:p>
        </w:tc>
      </w:tr>
    </w:tbl>
    <w:p>
      <w:pPr>
        <w:spacing w:line="580" w:lineRule="exact"/>
        <w:ind w:left="630"/>
        <w:rPr>
          <w:rFonts w:hint="eastAsia" w:ascii="仿宋" w:hAnsi="仿宋" w:eastAsia="仿宋" w:cs="仿宋"/>
          <w:sz w:val="21"/>
          <w:szCs w:val="21"/>
        </w:rPr>
      </w:pPr>
    </w:p>
    <w:p>
      <w:pPr>
        <w:spacing w:line="580" w:lineRule="exact"/>
        <w:rPr>
          <w:rFonts w:ascii="仿宋_GB2312" w:hAnsi="仿宋_GB2312" w:eastAsia="仿宋_GB2312" w:cs="仿宋_GB2312"/>
          <w:sz w:val="32"/>
          <w:szCs w:val="32"/>
        </w:rPr>
      </w:pPr>
    </w:p>
    <w:p>
      <w:pPr>
        <w:spacing w:line="580" w:lineRule="exact"/>
        <w:ind w:left="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2.部门绩效评价结果。</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本部门按要求对2019年部门整体支出绩效评价情况开展自评，《</w:t>
      </w:r>
      <w:r>
        <w:rPr>
          <w:rFonts w:hint="eastAsia" w:ascii="方正仿宋_GBK" w:hAnsi="方正仿宋_GBK" w:eastAsia="方正仿宋_GBK" w:cs="方正仿宋_GBK"/>
          <w:sz w:val="32"/>
          <w:szCs w:val="32"/>
          <w:lang w:eastAsia="zh-CN"/>
        </w:rPr>
        <w:t>巴中市财政</w:t>
      </w:r>
      <w:r>
        <w:rPr>
          <w:rFonts w:hint="eastAsia" w:ascii="方正仿宋_GBK" w:hAnsi="方正仿宋_GBK" w:eastAsia="方正仿宋_GBK" w:cs="方正仿宋_GBK"/>
          <w:sz w:val="32"/>
          <w:szCs w:val="32"/>
        </w:rPr>
        <w:t>部门2019年部门整体支出绩效评价报告》见附件（附件1）。</w:t>
      </w:r>
    </w:p>
    <w:p>
      <w:pPr>
        <w:spacing w:line="580" w:lineRule="exact"/>
        <w:ind w:firstLine="640"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sz w:val="32"/>
          <w:szCs w:val="32"/>
        </w:rPr>
        <w:t>本部门自行组织对</w:t>
      </w:r>
      <w:r>
        <w:rPr>
          <w:rFonts w:hint="eastAsia" w:ascii="方正仿宋_GBK" w:hAnsi="方正仿宋_GBK" w:eastAsia="方正仿宋_GBK" w:cs="方正仿宋_GBK"/>
          <w:sz w:val="32"/>
          <w:szCs w:val="32"/>
          <w:lang w:eastAsia="zh-CN"/>
        </w:rPr>
        <w:t>“财政支付管理、预算指标、资产管理、债务管理等系统升级及维护管理”</w:t>
      </w:r>
      <w:r>
        <w:rPr>
          <w:rFonts w:hint="eastAsia" w:ascii="方正仿宋_GBK" w:hAnsi="方正仿宋_GBK" w:eastAsia="方正仿宋_GBK" w:cs="方正仿宋_GBK"/>
          <w:sz w:val="32"/>
          <w:szCs w:val="32"/>
        </w:rPr>
        <w:t>项目支出绩效评价，从评价情况来看</w:t>
      </w:r>
      <w:r>
        <w:rPr>
          <w:rFonts w:hint="eastAsia" w:ascii="方正仿宋_GBK" w:hAnsi="方正仿宋_GBK" w:eastAsia="方正仿宋_GBK" w:cs="方正仿宋_GBK"/>
          <w:sz w:val="32"/>
          <w:szCs w:val="32"/>
          <w:lang w:eastAsia="zh-CN"/>
        </w:rPr>
        <w:t>已全部完成目标任务。财政预算、决算、资产系统、债务系统运行通畅，全年软件未发生安全事故。“财政支付管理、预算指标、资产管理、债务管理等系统升级及维护管理”</w:t>
      </w:r>
      <w:r>
        <w:rPr>
          <w:rFonts w:hint="eastAsia" w:ascii="方正仿宋_GBK" w:hAnsi="方正仿宋_GBK" w:eastAsia="方正仿宋_GBK" w:cs="方正仿宋_GBK"/>
          <w:sz w:val="32"/>
          <w:szCs w:val="32"/>
        </w:rPr>
        <w:t>项目支出绩效评价，从评价情况来看</w:t>
      </w:r>
      <w:r>
        <w:rPr>
          <w:rFonts w:hint="eastAsia" w:ascii="方正仿宋_GBK" w:hAnsi="方正仿宋_GBK" w:eastAsia="方正仿宋_GBK" w:cs="方正仿宋_GBK"/>
          <w:sz w:val="32"/>
          <w:szCs w:val="32"/>
          <w:lang w:eastAsia="zh-CN"/>
        </w:rPr>
        <w:t>已全部完成目标任务。财政预算、决算、资产系统、债务系统运行通畅，全年软件未发生安全事故。</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32"/>
          <w:rFonts w:ascii="黑体" w:hAnsi="黑体" w:eastAsia="黑体"/>
          <w:b w:val="0"/>
        </w:rPr>
      </w:pPr>
      <w:bookmarkStart w:id="59" w:name="_Toc15377225"/>
      <w:bookmarkStart w:id="60" w:name="_Toc15396613"/>
      <w:r>
        <w:rPr>
          <w:rFonts w:hint="eastAsia" w:ascii="黑体" w:hAnsi="黑体" w:eastAsia="黑体"/>
          <w:color w:val="000000"/>
          <w:sz w:val="44"/>
          <w:szCs w:val="44"/>
        </w:rPr>
        <w:t>名</w:t>
      </w:r>
      <w:r>
        <w:rPr>
          <w:rStyle w:val="32"/>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1.财政拨款收入：指单位从同级财政部门取得的财政预算资金。</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2.事业收入：指事业单位开展专业业务活动及辅助活动取得的收入。如</w:t>
      </w:r>
      <w:r>
        <w:rPr>
          <w:rFonts w:hint="eastAsia" w:ascii="方正仿宋_GBK" w:hAnsi="方正仿宋_GBK" w:eastAsia="方正仿宋_GBK" w:cs="方正仿宋_GBK"/>
          <w:sz w:val="32"/>
          <w:szCs w:val="32"/>
          <w:lang w:eastAsia="zh-CN"/>
        </w:rPr>
        <w:t>会计考试中心收取教务费</w:t>
      </w:r>
      <w:r>
        <w:rPr>
          <w:rFonts w:hint="eastAsia" w:ascii="方正仿宋_GBK" w:hAnsi="方正仿宋_GBK" w:eastAsia="方正仿宋_GBK" w:cs="方正仿宋_GBK"/>
          <w:sz w:val="32"/>
          <w:szCs w:val="32"/>
        </w:rPr>
        <w:t>等。</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3.经营收入：指事业单位在专业业务活动及其辅助活动之外开展非独立核算经营活动取得的收入。</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4.其他收入：指单位取得的除上述收入以外的各项收入。 </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6.年初结转和结余：指以前年度尚未完成、结转到本年按有关规定继续使用的资金。 </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7.结余分配：指事业单位按照事业单位会计制度的规定从非财政补助结余中分配的事业基金和职工福利基金等。</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8、年末结转和结余：指单位按有关规定结转到下年或以后年度继续使用的资金。</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9.一般公共服务(类)财政事务(款)行政运行(项): 指</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机关及参公管理事业单位用于保障机构正常运行、开展日常工作的基本支出。</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一般公共服务(类)财政事务(款)一般行政管理事务(项):指</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机关及参公管理事业单位开展财政综合业务、 预决算编审等未单独设置项级科目的专门性财政管理工作的项目支出。</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.一般公共服务(类)财政事务(款)机关服务(项): 指后勤服务中心、信息中心为本部门各单位正常运行提供保障服务的支出。</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.一般公共服务(类)财政事务(款)信息化建设(项): 指财政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用于财政信息化建设等方面的项目支出。</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.一般公共服务(类)财政事务(款)事业运行(项): 指财政科学研究所</w:t>
      </w:r>
      <w:r>
        <w:rPr>
          <w:rFonts w:hint="eastAsia" w:ascii="方正仿宋_GBK" w:hAnsi="方正仿宋_GBK" w:eastAsia="方正仿宋_GBK" w:cs="方正仿宋_GBK"/>
          <w:sz w:val="32"/>
          <w:szCs w:val="32"/>
          <w:lang w:eastAsia="zh-CN"/>
        </w:rPr>
        <w:t>等事业单位</w:t>
      </w:r>
      <w:r>
        <w:rPr>
          <w:rFonts w:hint="eastAsia" w:ascii="方正仿宋_GBK" w:hAnsi="方正仿宋_GBK" w:eastAsia="方正仿宋_GBK" w:cs="方正仿宋_GBK"/>
          <w:sz w:val="32"/>
          <w:szCs w:val="32"/>
        </w:rPr>
        <w:t>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一般公共服务(类)财政事务(款)其他财政事务支出(项):指财政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除上述项目外,开展其他财政事务方面专门性工作任务的项目支出,如会计专业技术资格考试考务、注册会计师考试考务的支出等</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15.教育支出(类)进修及培训(款)培训支出(项): 指用于部门财政业务培训等支出。</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16.社会保障和就业(类)行政事业单位离退休(款) 机关事业单位基本养老保险缴费支出(项):指部门实施养老保险制度由单位缴纳的养老保险费的支出。</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lang w:eastAsia="zh-CN"/>
        </w:rPr>
        <w:sectPr>
          <w:pgSz w:w="11909" w:h="16838"/>
          <w:pgMar w:top="2040" w:right="1810" w:bottom="802" w:left="1810" w:header="720" w:footer="720" w:gutter="0"/>
          <w:cols w:space="720" w:num="1"/>
        </w:sectPr>
      </w:pPr>
      <w:r>
        <w:rPr>
          <w:rFonts w:hint="eastAsia" w:ascii="方正仿宋_GBK" w:hAnsi="方正仿宋_GBK" w:eastAsia="方正仿宋_GBK" w:cs="方正仿宋_GBK"/>
          <w:color w:val="000000"/>
          <w:kern w:val="0"/>
          <w:sz w:val="32"/>
          <w:szCs w:val="32"/>
          <w:lang w:val="en-US" w:eastAsia="zh-CN" w:bidi="ar-SA"/>
        </w:rPr>
        <w:t>17.社会保障和就业(类)行政事业单位离退休(款) 机关事业单位职业年金缴费支出(项):指部门实施养老保险制度由单位缴纳的职业年金的支出。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kern w:val="0"/>
          <w:sz w:val="32"/>
          <w:szCs w:val="32"/>
          <w:lang w:val="en-US" w:eastAsia="zh-CN" w:bidi="ar-SA"/>
        </w:rPr>
      </w:pPr>
    </w:p>
    <w:p>
      <w:pPr>
        <w:spacing w:line="560" w:lineRule="exact"/>
        <w:ind w:firstLine="648"/>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18.医疗卫生与计划生育(类)行政事业单位医疗(款) 行政单位医疗(项):指厅机关及参公管理事业单位用于缴纳单位基本医疗保险支出。</w:t>
      </w:r>
    </w:p>
    <w:p>
      <w:pPr>
        <w:spacing w:line="560" w:lineRule="exact"/>
        <w:ind w:firstLine="648"/>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19.医疗卫生与计划生育(类)行政事业单位医疗(款) 事业单位医疗(项):指事业单位用于缴纳单位基本医疗保险支出。</w:t>
      </w:r>
    </w:p>
    <w:p>
      <w:pPr>
        <w:spacing w:line="560" w:lineRule="exact"/>
        <w:ind w:firstLine="648"/>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20.医疗卫生与计划生育(类)行政事业单位医疗(款) 公务员医疗补助(项):指厅机关及参公管理事业单位用于集中缴纳公务员医疗补助支出。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color w:val="000000"/>
          <w:kern w:val="0"/>
          <w:sz w:val="32"/>
          <w:szCs w:val="32"/>
          <w:lang w:val="en-US" w:eastAsia="zh-CN" w:bidi="ar-SA"/>
        </w:rPr>
        <w:t>21.住房保障(类)住房改革支出(款)住房公积金(项): 反映行政事业单位按规定为职工缴纳的住房公积金。</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.基本支出：指为保障机构正常运转、完成日常工作任务而发生的人员支出和公用支出。</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 xml:space="preserve">.项目支出：指在基本支出之外为完成特定行政任务和事业发展目标所发生的支出。 </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.经营支出：指事业单位在专业业务活动及其辅助活动之外开展非独立核算经营活动发生的支出。</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2"/>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32"/>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lang w:eastAsia="zh-CN"/>
        </w:rPr>
        <w:t>巴中市财政</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（一）机构组成。</w:t>
      </w:r>
    </w:p>
    <w:p>
      <w:pPr>
        <w:pStyle w:val="12"/>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spacing w:before="0" w:beforeAutospacing="0" w:after="0" w:afterAutospacing="0" w:line="560" w:lineRule="exact"/>
        <w:ind w:left="0" w:right="0" w:firstLine="960" w:firstLineChars="300"/>
        <w:rPr>
          <w:rFonts w:hint="eastAsia" w:ascii="仿宋_GB2312" w:hAnsi="宋体" w:eastAsia="仿宋_GB2312" w:cs="宋体"/>
          <w:color w:val="000000"/>
          <w:kern w:val="0"/>
          <w:sz w:val="32"/>
          <w:szCs w:val="32"/>
          <w:shd w:val="clear" w:color="auto" w:fill="FFFFFF"/>
          <w:lang w:val="zh-CN"/>
        </w:rPr>
      </w:pPr>
      <w:r>
        <w:rPr>
          <w:rFonts w:hint="eastAsia" w:ascii="Times New Roman" w:hAnsi="Times New Roman" w:eastAsia="方正仿宋_GBK" w:cs="Times New Roman"/>
          <w:color w:val="auto"/>
          <w:kern w:val="0"/>
          <w:sz w:val="32"/>
          <w:szCs w:val="32"/>
          <w:lang w:val="en-US" w:eastAsia="zh-CN" w:bidi="ar-SA"/>
        </w:rPr>
        <w:t>巴</w:t>
      </w:r>
      <w:r>
        <w:rPr>
          <w:rFonts w:hint="eastAsia" w:ascii="Times New Roman" w:hAnsi="Times New Roman" w:eastAsia="方正仿宋_GBK" w:cs="Times New Roman"/>
          <w:color w:val="000000"/>
          <w:kern w:val="0"/>
          <w:sz w:val="32"/>
          <w:szCs w:val="32"/>
          <w:lang w:val="en-US" w:eastAsia="zh-CN" w:bidi="ar-SA"/>
        </w:rPr>
        <w:t>中市财政局及下属单位共9个。巴中市财政局、巴中市财政国库支付中心、巴中市财政监督局、巴中市财政票管中心、巴中市财政科学研究所、巴中市财政信息中心、巴中市财政投资评审中心、巴中市会计考度培训中心、巴中市财政物资罚没中心。其中：独立编制预算单位6个（行政单位1个，参照公务员法管理的事业单位3个，其他事业单位2个）。</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机构职能。</w:t>
      </w:r>
    </w:p>
    <w:p>
      <w:pPr>
        <w:pStyle w:val="12"/>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rPr>
          <w:rFonts w:hint="default" w:ascii="仿宋" w:hAnsi="仿宋" w:eastAsia="仿宋" w:cs="Times New Roman"/>
          <w:color w:val="000000"/>
          <w:spacing w:val="-3"/>
          <w:kern w:val="2"/>
          <w:sz w:val="33"/>
          <w:szCs w:val="24"/>
          <w:lang w:val="en-US" w:eastAsia="zh-CN" w:bidi="ar-SA"/>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 w:hAnsi="仿宋" w:eastAsia="仿宋" w:cs="Times New Roman"/>
          <w:color w:val="000000"/>
          <w:spacing w:val="-3"/>
          <w:kern w:val="2"/>
          <w:sz w:val="33"/>
          <w:szCs w:val="24"/>
          <w:lang w:val="en-US" w:eastAsia="zh-CN" w:bidi="ar-SA"/>
        </w:rPr>
        <w:t>市财政局主要承担拟定全市财税发展战略、规划、政策和改革方案并组织实施，贯彻执行国家财税方面法律、法规和方针、政策，负责财政收支管理，组织执行政府债务管理制度和政策，管理全市会计工作，指导和推动全市农村综合改革，开展财政资金绩效评价，管理国有资产等职能。</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人员概况。</w:t>
      </w:r>
    </w:p>
    <w:p>
      <w:pPr>
        <w:keepNext w:val="0"/>
        <w:keepLines w:val="0"/>
        <w:pageBreakBefore w:val="0"/>
        <w:kinsoku/>
        <w:wordWrap/>
        <w:overflowPunct/>
        <w:topLinePunct w:val="0"/>
        <w:autoSpaceDE/>
        <w:autoSpaceDN/>
        <w:bidi w:val="0"/>
        <w:spacing w:before="16" w:line="560" w:lineRule="exact"/>
        <w:ind w:firstLine="648"/>
        <w:textAlignment w:val="baseline"/>
        <w:rPr>
          <w:rFonts w:hint="default" w:ascii="仿宋_GB2312" w:hAnsi="宋体" w:eastAsia="仿宋_GB2312" w:cs="宋体"/>
          <w:color w:val="000000"/>
          <w:kern w:val="0"/>
          <w:sz w:val="32"/>
          <w:szCs w:val="32"/>
          <w:shd w:val="clear" w:color="auto" w:fill="FFFFFF"/>
          <w:lang w:val="en-US" w:eastAsia="zh-CN" w:bidi="ar"/>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color w:val="000000"/>
          <w:kern w:val="0"/>
          <w:sz w:val="32"/>
          <w:szCs w:val="32"/>
          <w:shd w:val="clear" w:color="auto" w:fill="FFFFFF"/>
          <w:lang w:val="en-US" w:eastAsia="zh-CN" w:bidi="ar"/>
        </w:rPr>
        <w:t>2019年,部门编制人数 109人,其中行政编制 41 人, 事业编制 68 人(其中参照公务员法员 29 人);年末在职人员实有人数88人,其中行政人员 41 人,事业人员41人 (其中参照公务员法员 16 人);年末离休人员 24人。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（一）部门财政资金收入情况。</w:t>
      </w:r>
    </w:p>
    <w:p>
      <w:pPr>
        <w:keepNext w:val="0"/>
        <w:keepLines w:val="0"/>
        <w:pageBreakBefore w:val="0"/>
        <w:kinsoku/>
        <w:wordWrap/>
        <w:overflowPunct/>
        <w:topLinePunct w:val="0"/>
        <w:autoSpaceDE/>
        <w:autoSpaceDN/>
        <w:bidi w:val="0"/>
        <w:spacing w:line="560" w:lineRule="exact"/>
        <w:ind w:firstLine="640" w:firstLineChars="200"/>
        <w:outlineLvl w:val="1"/>
        <w:rPr>
          <w:rFonts w:hint="eastAsia"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2404.4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2384.72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19.68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 xml:space="preserve">   </w:t>
      </w: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2487.05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1516.52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970.53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（一）部门预算管理。</w:t>
      </w:r>
    </w:p>
    <w:p>
      <w:pPr>
        <w:keepNext w:val="0"/>
        <w:keepLines w:val="0"/>
        <w:pageBreakBefore w:val="0"/>
        <w:kinsoku/>
        <w:wordWrap/>
        <w:overflowPunct/>
        <w:topLinePunct w:val="0"/>
        <w:autoSpaceDE/>
        <w:autoSpaceDN/>
        <w:bidi w:val="0"/>
        <w:spacing w:before="17" w:line="560" w:lineRule="exact"/>
        <w:ind w:firstLine="648"/>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我</w:t>
      </w:r>
      <w:r>
        <w:rPr>
          <w:rFonts w:hint="eastAsia" w:ascii="仿宋" w:hAnsi="仿宋" w:eastAsia="仿宋" w:cs="仿宋"/>
          <w:color w:val="000000"/>
          <w:spacing w:val="-3"/>
          <w:sz w:val="32"/>
          <w:szCs w:val="32"/>
          <w:lang w:eastAsia="zh-CN"/>
        </w:rPr>
        <w:t>局</w:t>
      </w:r>
      <w:r>
        <w:rPr>
          <w:rFonts w:hint="eastAsia" w:ascii="仿宋" w:hAnsi="仿宋" w:eastAsia="仿宋" w:cs="仿宋"/>
          <w:color w:val="000000"/>
          <w:spacing w:val="-3"/>
          <w:sz w:val="32"/>
          <w:szCs w:val="32"/>
        </w:rPr>
        <w:t>认真学习贯彻党的十九大、省第十一次党代会和省委</w:t>
      </w:r>
      <w:r>
        <w:rPr>
          <w:rFonts w:hint="eastAsia" w:ascii="仿宋" w:hAnsi="仿宋" w:eastAsia="仿宋" w:cs="仿宋"/>
          <w:color w:val="000000"/>
          <w:spacing w:val="-3"/>
          <w:sz w:val="32"/>
          <w:szCs w:val="32"/>
          <w:lang w:eastAsia="zh-CN"/>
        </w:rPr>
        <w:t>、市委会议</w:t>
      </w:r>
      <w:r>
        <w:rPr>
          <w:rFonts w:hint="eastAsia" w:ascii="仿宋" w:hAnsi="仿宋" w:eastAsia="仿宋" w:cs="仿宋"/>
          <w:color w:val="000000"/>
          <w:spacing w:val="-3"/>
          <w:sz w:val="32"/>
          <w:szCs w:val="32"/>
        </w:rPr>
        <w:t>精神</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以习近平新时代中国特色社会主义思想为指导</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紧紧围绕构建“一干多支、五区协同” 的发展战略目标</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自觉践行新发展理念</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根据职能职责积极谋划</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确定目标任务</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积极发挥公共财政职能作用</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推动落实稳增长、促改革、调结构、惠民生、防风险各项工作。</w:t>
      </w:r>
    </w:p>
    <w:p>
      <w:pPr>
        <w:keepNext w:val="0"/>
        <w:keepLines w:val="0"/>
        <w:pageBreakBefore w:val="0"/>
        <w:kinsoku/>
        <w:wordWrap/>
        <w:overflowPunct/>
        <w:topLinePunct w:val="0"/>
        <w:autoSpaceDE/>
        <w:autoSpaceDN/>
        <w:bidi w:val="0"/>
        <w:spacing w:line="560" w:lineRule="exact"/>
        <w:ind w:firstLine="648"/>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lang w:val="en-US" w:eastAsia="zh-CN"/>
        </w:rPr>
        <w:t>1.</w:t>
      </w:r>
      <w:r>
        <w:rPr>
          <w:rFonts w:hint="eastAsia" w:ascii="仿宋" w:hAnsi="仿宋" w:eastAsia="仿宋" w:cs="仿宋"/>
          <w:color w:val="000000"/>
          <w:spacing w:val="-3"/>
          <w:sz w:val="32"/>
          <w:szCs w:val="32"/>
        </w:rPr>
        <w:t xml:space="preserve">按照 </w:t>
      </w:r>
      <w:r>
        <w:rPr>
          <w:rFonts w:hint="eastAsia" w:ascii="仿宋" w:hAnsi="仿宋" w:eastAsia="仿宋" w:cs="仿宋"/>
          <w:color w:val="000000"/>
          <w:spacing w:val="-3"/>
          <w:w w:val="110"/>
          <w:sz w:val="32"/>
          <w:szCs w:val="32"/>
        </w:rPr>
        <w:t>201</w:t>
      </w:r>
      <w:r>
        <w:rPr>
          <w:rFonts w:hint="eastAsia" w:ascii="仿宋" w:hAnsi="仿宋" w:eastAsia="仿宋" w:cs="仿宋"/>
          <w:color w:val="000000"/>
          <w:spacing w:val="-3"/>
          <w:w w:val="110"/>
          <w:sz w:val="32"/>
          <w:szCs w:val="32"/>
          <w:lang w:val="en-US" w:eastAsia="zh-CN"/>
        </w:rPr>
        <w:t>9</w:t>
      </w:r>
      <w:r>
        <w:rPr>
          <w:rFonts w:hint="eastAsia" w:ascii="仿宋" w:hAnsi="仿宋" w:eastAsia="仿宋" w:cs="仿宋"/>
          <w:color w:val="000000"/>
          <w:spacing w:val="-3"/>
          <w:w w:val="110"/>
          <w:sz w:val="32"/>
          <w:szCs w:val="32"/>
        </w:rPr>
        <w:t xml:space="preserve"> </w:t>
      </w:r>
      <w:r>
        <w:rPr>
          <w:rFonts w:hint="eastAsia" w:ascii="仿宋" w:hAnsi="仿宋" w:eastAsia="仿宋" w:cs="仿宋"/>
          <w:color w:val="000000"/>
          <w:spacing w:val="-3"/>
          <w:sz w:val="32"/>
          <w:szCs w:val="32"/>
        </w:rPr>
        <w:t>年部门预算编审要求</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根据我</w:t>
      </w:r>
      <w:r>
        <w:rPr>
          <w:rFonts w:hint="eastAsia" w:ascii="仿宋" w:hAnsi="仿宋" w:eastAsia="仿宋" w:cs="仿宋"/>
          <w:color w:val="000000"/>
          <w:spacing w:val="-3"/>
          <w:sz w:val="32"/>
          <w:szCs w:val="32"/>
          <w:lang w:eastAsia="zh-CN"/>
        </w:rPr>
        <w:t>局</w:t>
      </w:r>
      <w:r>
        <w:rPr>
          <w:rFonts w:hint="eastAsia" w:ascii="仿宋" w:hAnsi="仿宋" w:eastAsia="仿宋" w:cs="仿宋"/>
          <w:color w:val="000000"/>
          <w:spacing w:val="-3"/>
          <w:sz w:val="32"/>
          <w:szCs w:val="32"/>
        </w:rPr>
        <w:t>职能职责</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结合中长期规划和年度工作计划</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明确了年度主要工作任务及年度内履职所要达到的总体产出和效果</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认真填报了我</w:t>
      </w:r>
      <w:r>
        <w:rPr>
          <w:rFonts w:hint="eastAsia" w:ascii="仿宋" w:hAnsi="仿宋" w:eastAsia="仿宋" w:cs="仿宋"/>
          <w:color w:val="000000"/>
          <w:spacing w:val="-3"/>
          <w:sz w:val="32"/>
          <w:szCs w:val="32"/>
          <w:lang w:eastAsia="zh-CN"/>
        </w:rPr>
        <w:t>局</w:t>
      </w:r>
      <w:r>
        <w:rPr>
          <w:rFonts w:hint="eastAsia" w:ascii="仿宋" w:hAnsi="仿宋" w:eastAsia="仿宋" w:cs="仿宋"/>
          <w:color w:val="000000"/>
          <w:spacing w:val="-3"/>
          <w:sz w:val="32"/>
          <w:szCs w:val="32"/>
        </w:rPr>
        <w:t>整体支出绩效目标</w:t>
      </w:r>
      <w:r>
        <w:rPr>
          <w:rFonts w:hint="eastAsia" w:ascii="仿宋" w:hAnsi="仿宋" w:eastAsia="仿宋" w:cs="仿宋"/>
          <w:color w:val="000000"/>
          <w:spacing w:val="-3"/>
          <w:sz w:val="32"/>
          <w:szCs w:val="32"/>
          <w:lang w:eastAsia="zh-CN"/>
        </w:rPr>
        <w:t>，</w:t>
      </w:r>
      <w:r>
        <w:rPr>
          <w:rFonts w:hint="eastAsia" w:ascii="仿宋" w:hAnsi="仿宋" w:eastAsia="仿宋" w:cs="仿宋"/>
          <w:color w:val="000000"/>
          <w:spacing w:val="-3"/>
          <w:sz w:val="32"/>
          <w:szCs w:val="32"/>
        </w:rPr>
        <w:t>具体说明了项目概况</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设定了年度绩效数量指标、成本指标、效益指标等</w:t>
      </w:r>
      <w:r>
        <w:rPr>
          <w:rFonts w:hint="eastAsia" w:ascii="仿宋" w:hAnsi="仿宋" w:eastAsia="仿宋" w:cs="仿宋"/>
          <w:color w:val="000000"/>
          <w:spacing w:val="-3"/>
          <w:w w:val="110"/>
          <w:sz w:val="32"/>
          <w:szCs w:val="32"/>
        </w:rPr>
        <w:t>,</w:t>
      </w:r>
      <w:r>
        <w:rPr>
          <w:rFonts w:hint="eastAsia" w:ascii="仿宋" w:hAnsi="仿宋" w:eastAsia="仿宋" w:cs="仿宋"/>
          <w:color w:val="000000"/>
          <w:spacing w:val="-3"/>
          <w:sz w:val="32"/>
          <w:szCs w:val="32"/>
        </w:rPr>
        <w:t>详细反映了相应项目工作任务、达成的效果。</w:t>
      </w:r>
    </w:p>
    <w:p>
      <w:pPr>
        <w:keepNext w:val="0"/>
        <w:keepLines w:val="0"/>
        <w:pageBreakBefore w:val="0"/>
        <w:kinsoku/>
        <w:wordWrap/>
        <w:overflowPunct/>
        <w:topLinePunct w:val="0"/>
        <w:autoSpaceDE/>
        <w:autoSpaceDN/>
        <w:bidi w:val="0"/>
        <w:spacing w:line="560" w:lineRule="exact"/>
        <w:ind w:firstLine="648"/>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6"/>
          <w:sz w:val="32"/>
          <w:szCs w:val="32"/>
          <w:lang w:val="en-US" w:eastAsia="zh-CN"/>
        </w:rPr>
        <w:t>2.</w:t>
      </w:r>
      <w:r>
        <w:rPr>
          <w:rFonts w:hint="eastAsia" w:ascii="仿宋" w:hAnsi="仿宋" w:eastAsia="仿宋" w:cs="仿宋"/>
          <w:color w:val="000000"/>
          <w:spacing w:val="6"/>
          <w:sz w:val="32"/>
          <w:szCs w:val="32"/>
        </w:rPr>
        <w:t>按照预算绩效</w:t>
      </w:r>
      <w:r>
        <w:rPr>
          <w:rFonts w:hint="eastAsia" w:ascii="仿宋" w:hAnsi="仿宋" w:eastAsia="仿宋" w:cs="仿宋"/>
          <w:color w:val="000000"/>
          <w:spacing w:val="6"/>
          <w:sz w:val="32"/>
          <w:szCs w:val="32"/>
          <w:lang w:eastAsia="zh-CN"/>
        </w:rPr>
        <w:t>管理</w:t>
      </w:r>
      <w:r>
        <w:rPr>
          <w:rFonts w:hint="eastAsia" w:ascii="仿宋" w:hAnsi="仿宋" w:eastAsia="仿宋" w:cs="仿宋"/>
          <w:color w:val="000000"/>
          <w:spacing w:val="6"/>
          <w:sz w:val="32"/>
          <w:szCs w:val="32"/>
        </w:rPr>
        <w:t>办法要求</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认真组织开展所属单位的绩效监控工作</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对项目进度、预算执行、投入产出、各项效益的阶段完成情况进行动态跟踪监控</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进一步明确项目完成目标可能性及时间。为有效使用财政资金</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我</w:t>
      </w:r>
      <w:r>
        <w:rPr>
          <w:rFonts w:hint="eastAsia" w:ascii="仿宋" w:hAnsi="仿宋" w:eastAsia="仿宋" w:cs="仿宋"/>
          <w:color w:val="000000"/>
          <w:spacing w:val="6"/>
          <w:sz w:val="32"/>
          <w:szCs w:val="32"/>
          <w:lang w:eastAsia="zh-CN"/>
        </w:rPr>
        <w:t>局</w:t>
      </w:r>
      <w:r>
        <w:rPr>
          <w:rFonts w:hint="eastAsia" w:ascii="仿宋" w:hAnsi="仿宋" w:eastAsia="仿宋" w:cs="仿宋"/>
          <w:color w:val="000000"/>
          <w:spacing w:val="6"/>
          <w:sz w:val="32"/>
          <w:szCs w:val="32"/>
        </w:rPr>
        <w:t>根据全</w:t>
      </w:r>
      <w:r>
        <w:rPr>
          <w:rFonts w:hint="eastAsia" w:ascii="仿宋" w:hAnsi="仿宋" w:eastAsia="仿宋" w:cs="仿宋"/>
          <w:color w:val="000000"/>
          <w:spacing w:val="6"/>
          <w:sz w:val="32"/>
          <w:szCs w:val="32"/>
          <w:lang w:eastAsia="zh-CN"/>
        </w:rPr>
        <w:t>局</w:t>
      </w:r>
      <w:r>
        <w:rPr>
          <w:rFonts w:hint="eastAsia" w:ascii="仿宋" w:hAnsi="仿宋" w:eastAsia="仿宋" w:cs="仿宋"/>
          <w:color w:val="000000"/>
          <w:spacing w:val="6"/>
          <w:sz w:val="32"/>
          <w:szCs w:val="32"/>
        </w:rPr>
        <w:t>实际工作开展情况</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w w:val="110"/>
          <w:sz w:val="32"/>
          <w:szCs w:val="32"/>
          <w:lang w:eastAsia="zh-CN"/>
        </w:rPr>
        <w:t>对</w:t>
      </w:r>
      <w:r>
        <w:rPr>
          <w:rFonts w:hint="eastAsia" w:ascii="仿宋" w:hAnsi="仿宋" w:eastAsia="仿宋" w:cs="仿宋"/>
          <w:color w:val="000000"/>
          <w:spacing w:val="6"/>
          <w:sz w:val="32"/>
          <w:szCs w:val="32"/>
        </w:rPr>
        <w:t>部门中期预算调整中调整至急需项目</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盘活资金</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提高财政资金使用效益</w:t>
      </w:r>
      <w:r>
        <w:rPr>
          <w:rFonts w:hint="eastAsia" w:ascii="仿宋" w:hAnsi="仿宋" w:eastAsia="仿宋" w:cs="仿宋"/>
          <w:color w:val="000000"/>
          <w:spacing w:val="6"/>
          <w:w w:val="110"/>
          <w:sz w:val="32"/>
          <w:szCs w:val="32"/>
        </w:rPr>
        <w:t>,</w:t>
      </w:r>
      <w:r>
        <w:rPr>
          <w:rFonts w:hint="eastAsia" w:ascii="仿宋" w:hAnsi="仿宋" w:eastAsia="仿宋" w:cs="仿宋"/>
          <w:color w:val="000000"/>
          <w:spacing w:val="6"/>
          <w:sz w:val="32"/>
          <w:szCs w:val="32"/>
        </w:rPr>
        <w:t>保障了全</w:t>
      </w:r>
      <w:r>
        <w:rPr>
          <w:rFonts w:hint="eastAsia" w:ascii="仿宋" w:hAnsi="仿宋" w:eastAsia="仿宋" w:cs="仿宋"/>
          <w:color w:val="000000"/>
          <w:spacing w:val="-3"/>
          <w:sz w:val="32"/>
          <w:szCs w:val="32"/>
          <w:lang w:eastAsia="zh-CN"/>
        </w:rPr>
        <w:t>局</w:t>
      </w:r>
      <w:r>
        <w:rPr>
          <w:rFonts w:hint="eastAsia" w:ascii="仿宋" w:hAnsi="仿宋" w:eastAsia="仿宋" w:cs="仿宋"/>
          <w:color w:val="000000"/>
          <w:spacing w:val="-3"/>
          <w:sz w:val="32"/>
          <w:szCs w:val="32"/>
        </w:rPr>
        <w:t>专项工作顺利开展。</w:t>
      </w:r>
    </w:p>
    <w:p>
      <w:pPr>
        <w:keepNext w:val="0"/>
        <w:keepLines w:val="0"/>
        <w:pageBreakBefore w:val="0"/>
        <w:kinsoku/>
        <w:wordWrap/>
        <w:overflowPunct/>
        <w:topLinePunct w:val="0"/>
        <w:autoSpaceDE/>
        <w:autoSpaceDN/>
        <w:bidi w:val="0"/>
        <w:spacing w:line="560" w:lineRule="exact"/>
        <w:ind w:firstLine="648"/>
        <w:textAlignment w:val="baseline"/>
        <w:rPr>
          <w:rFonts w:hint="eastAsia" w:ascii="仿宋" w:hAnsi="仿宋" w:eastAsia="仿宋" w:cs="仿宋"/>
          <w:color w:val="000000"/>
          <w:spacing w:val="6"/>
          <w:sz w:val="32"/>
          <w:szCs w:val="32"/>
          <w:lang w:val="zh-CN"/>
        </w:rPr>
      </w:pPr>
      <w:r>
        <w:rPr>
          <w:rFonts w:hint="eastAsia" w:ascii="仿宋" w:hAnsi="仿宋" w:eastAsia="仿宋" w:cs="仿宋"/>
          <w:color w:val="000000"/>
          <w:spacing w:val="-3"/>
          <w:sz w:val="32"/>
          <w:szCs w:val="32"/>
          <w:lang w:val="en-US" w:eastAsia="zh-CN"/>
        </w:rPr>
        <w:t>3.</w:t>
      </w:r>
      <w:r>
        <w:rPr>
          <w:rFonts w:hint="eastAsia" w:ascii="仿宋" w:hAnsi="仿宋" w:eastAsia="仿宋" w:cs="仿宋"/>
          <w:color w:val="000000"/>
          <w:spacing w:val="-3"/>
          <w:sz w:val="32"/>
          <w:szCs w:val="32"/>
        </w:rPr>
        <w:t>按照财政部门统一部署,我</w:t>
      </w:r>
      <w:r>
        <w:rPr>
          <w:rFonts w:hint="eastAsia" w:ascii="仿宋" w:hAnsi="仿宋" w:eastAsia="仿宋" w:cs="仿宋"/>
          <w:color w:val="000000"/>
          <w:spacing w:val="-3"/>
          <w:sz w:val="32"/>
          <w:szCs w:val="32"/>
          <w:lang w:eastAsia="zh-CN"/>
        </w:rPr>
        <w:t>局</w:t>
      </w:r>
      <w:r>
        <w:rPr>
          <w:rFonts w:hint="eastAsia" w:ascii="仿宋" w:hAnsi="仿宋" w:eastAsia="仿宋" w:cs="仿宋"/>
          <w:color w:val="000000"/>
          <w:spacing w:val="-3"/>
          <w:sz w:val="32"/>
          <w:szCs w:val="32"/>
        </w:rPr>
        <w:t>按要求</w:t>
      </w:r>
      <w:r>
        <w:rPr>
          <w:rFonts w:hint="eastAsia" w:ascii="仿宋" w:hAnsi="仿宋" w:eastAsia="仿宋" w:cs="仿宋"/>
          <w:color w:val="000000"/>
          <w:spacing w:val="-3"/>
          <w:sz w:val="32"/>
          <w:szCs w:val="32"/>
          <w:lang w:eastAsia="zh-CN"/>
        </w:rPr>
        <w:t>公开了</w:t>
      </w:r>
      <w:r>
        <w:rPr>
          <w:rFonts w:hint="eastAsia" w:ascii="仿宋" w:hAnsi="仿宋" w:eastAsia="仿宋" w:cs="仿宋"/>
          <w:color w:val="000000"/>
          <w:spacing w:val="-3"/>
          <w:sz w:val="32"/>
          <w:szCs w:val="32"/>
        </w:rPr>
        <w:t>201</w:t>
      </w:r>
      <w:r>
        <w:rPr>
          <w:rFonts w:hint="eastAsia" w:ascii="仿宋" w:hAnsi="仿宋" w:eastAsia="仿宋" w:cs="仿宋"/>
          <w:color w:val="000000"/>
          <w:spacing w:val="-3"/>
          <w:sz w:val="32"/>
          <w:szCs w:val="32"/>
          <w:lang w:val="en-US" w:eastAsia="zh-CN"/>
        </w:rPr>
        <w:t>9</w:t>
      </w:r>
      <w:r>
        <w:rPr>
          <w:rFonts w:hint="eastAsia" w:ascii="仿宋" w:hAnsi="仿宋" w:eastAsia="仿宋" w:cs="仿宋"/>
          <w:color w:val="000000"/>
          <w:spacing w:val="-3"/>
          <w:sz w:val="32"/>
          <w:szCs w:val="32"/>
        </w:rPr>
        <w:t>年</w:t>
      </w:r>
      <w:r>
        <w:rPr>
          <w:rFonts w:hint="eastAsia" w:ascii="仿宋" w:hAnsi="仿宋" w:eastAsia="仿宋" w:cs="仿宋"/>
          <w:color w:val="000000"/>
          <w:spacing w:val="6"/>
          <w:sz w:val="32"/>
          <w:szCs w:val="32"/>
        </w:rPr>
        <w:t>预算</w:t>
      </w:r>
      <w:r>
        <w:rPr>
          <w:rFonts w:hint="eastAsia" w:ascii="仿宋" w:hAnsi="仿宋" w:eastAsia="仿宋" w:cs="仿宋"/>
          <w:color w:val="000000"/>
          <w:spacing w:val="6"/>
          <w:sz w:val="32"/>
          <w:szCs w:val="32"/>
          <w:lang w:eastAsia="zh-CN"/>
        </w:rPr>
        <w:t>以及绩效目标</w:t>
      </w:r>
      <w:r>
        <w:rPr>
          <w:rFonts w:hint="eastAsia" w:ascii="仿宋" w:hAnsi="仿宋" w:eastAsia="仿宋" w:cs="仿宋"/>
          <w:color w:val="000000"/>
          <w:spacing w:val="6"/>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321" w:firstLineChars="1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（二）结果应用情况。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对部门预算绩效管理工作开展情况认真进行了自查自评。绩效评价自查开展覆盖下属单位及重点支出,将评价结果作为预算安排的重要依据,参照项目年度预算执行情况、“三年滚动规划”执行情况统筹项目支出需求,保障重点支出,调整支出结构,优化财政资金配置,不断强化绩效理念,推动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部门整体绩效管理水平不断提升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（一）评价结论。</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 xml:space="preserve"> 年我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部门整体支出绩效评价自查自评结果良好, 全年基本支出保证了部门的正常运行和日常工作的正常开展,项目支出保障了重点工作的开展,达到预期绩效目标。</w:t>
      </w:r>
      <w:r>
        <w:rPr>
          <w:rFonts w:hint="eastAsia" w:ascii="仿宋" w:hAnsi="仿宋" w:eastAsia="仿宋" w:cs="仿宋"/>
          <w:sz w:val="32"/>
          <w:szCs w:val="32"/>
        </w:rPr>
        <w:t>全市财政部门坚持以习近平新时代中国特色社会主义思想为指导，在市委、市政府的坚强领导下，</w:t>
      </w:r>
      <w:r>
        <w:rPr>
          <w:rFonts w:hint="eastAsia" w:ascii="仿宋" w:hAnsi="仿宋" w:eastAsia="仿宋" w:cs="仿宋"/>
          <w:color w:val="000000"/>
          <w:sz w:val="32"/>
          <w:szCs w:val="32"/>
        </w:rPr>
        <w:t>积极应对各种困难和挑战，综合运用行政和市场手段，激活引导国有和非国有资本，充分发挥财政资金撬动和放大功能，</w:t>
      </w:r>
      <w:r>
        <w:rPr>
          <w:rFonts w:hint="eastAsia" w:ascii="仿宋" w:hAnsi="仿宋" w:eastAsia="仿宋" w:cs="仿宋"/>
          <w:sz w:val="32"/>
          <w:szCs w:val="32"/>
        </w:rPr>
        <w:t>为建设川陕革命老区振兴发展示范区、走出秦巴山区脱贫攻坚绿色发展新路子提供了有力保障。全市地方一般公共预算收入47.67亿元，同比增长4.86%；地方一般公共预算支出完成311.75亿元，剔除易地扶贫搬迁债券因素同比增长6.9%。全市“一卡通”专项治理工作受到省、市纪委监委充分肯定，国有</w:t>
      </w:r>
      <w:r>
        <w:rPr>
          <w:rFonts w:hint="eastAsia" w:ascii="仿宋" w:hAnsi="仿宋" w:eastAsia="仿宋" w:cs="仿宋"/>
          <w:color w:val="000000" w:themeColor="text1"/>
          <w:sz w:val="32"/>
          <w:szCs w:val="32"/>
        </w:rPr>
        <w:t>资产报告编制工作得到省财政厅通报表扬，</w:t>
      </w:r>
      <w:r>
        <w:rPr>
          <w:rFonts w:hint="eastAsia" w:ascii="仿宋" w:hAnsi="仿宋" w:eastAsia="仿宋" w:cs="仿宋"/>
          <w:sz w:val="32"/>
          <w:szCs w:val="32"/>
        </w:rPr>
        <w:t>预算绩效管理工作考核居全省市（州）前列</w:t>
      </w:r>
      <w:r>
        <w:rPr>
          <w:rFonts w:hint="eastAsia" w:ascii="仿宋" w:hAnsi="仿宋" w:eastAsia="仿宋" w:cs="仿宋"/>
          <w:spacing w:val="-4"/>
          <w:sz w:val="32"/>
          <w:szCs w:val="32"/>
        </w:rPr>
        <w:t>。</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leftChars="0" w:firstLine="643" w:firstLineChars="2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存在问题。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930" w:firstLineChars="300"/>
        <w:jc w:val="both"/>
        <w:rPr>
          <w:rFonts w:hint="eastAsia" w:ascii="方正仿宋_GBK" w:hAnsi="方正仿宋_GBK" w:eastAsia="方正仿宋_GBK" w:cs="方正仿宋_GBK"/>
          <w:b w:val="0"/>
          <w:bCs w:val="0"/>
          <w:color w:val="000000"/>
          <w:spacing w:val="-5"/>
          <w:sz w:val="32"/>
          <w:szCs w:val="32"/>
          <w:lang w:val="zh-CN" w:eastAsia="zh-CN"/>
        </w:rPr>
      </w:pPr>
      <w:r>
        <w:rPr>
          <w:rFonts w:hint="eastAsia" w:ascii="方正仿宋_GBK" w:hAnsi="方正仿宋_GBK" w:eastAsia="方正仿宋_GBK" w:cs="方正仿宋_GBK"/>
          <w:b w:val="0"/>
          <w:bCs w:val="0"/>
          <w:color w:val="000000"/>
          <w:spacing w:val="-5"/>
          <w:sz w:val="32"/>
          <w:szCs w:val="32"/>
          <w:lang w:val="en-US" w:eastAsia="zh-CN"/>
        </w:rPr>
        <w:t>1.</w:t>
      </w:r>
      <w:r>
        <w:rPr>
          <w:rFonts w:hint="eastAsia" w:ascii="方正仿宋_GBK" w:hAnsi="方正仿宋_GBK" w:eastAsia="方正仿宋_GBK" w:cs="方正仿宋_GBK"/>
          <w:b w:val="0"/>
          <w:bCs w:val="0"/>
          <w:color w:val="000000"/>
          <w:spacing w:val="-5"/>
          <w:sz w:val="32"/>
          <w:szCs w:val="32"/>
          <w:lang w:eastAsia="zh-CN"/>
        </w:rPr>
        <w:t>绩效目标设定有待更科学更合理。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930" w:firstLineChars="300"/>
        <w:jc w:val="both"/>
        <w:rPr>
          <w:rFonts w:hint="eastAsia" w:ascii="方正仿宋_GBK" w:hAnsi="方正仿宋_GBK" w:eastAsia="方正仿宋_GBK" w:cs="方正仿宋_GBK"/>
          <w:b w:val="0"/>
          <w:bCs w:val="0"/>
          <w:color w:val="000000"/>
          <w:spacing w:val="-5"/>
          <w:sz w:val="32"/>
          <w:szCs w:val="32"/>
          <w:lang w:val="zh-CN" w:eastAsia="zh-CN"/>
        </w:rPr>
      </w:pPr>
      <w:r>
        <w:rPr>
          <w:rFonts w:hint="eastAsia" w:ascii="方正仿宋_GBK" w:hAnsi="方正仿宋_GBK" w:eastAsia="方正仿宋_GBK" w:cs="方正仿宋_GBK"/>
          <w:b w:val="0"/>
          <w:bCs w:val="0"/>
          <w:color w:val="000000"/>
          <w:spacing w:val="-5"/>
          <w:sz w:val="32"/>
          <w:szCs w:val="32"/>
          <w:lang w:val="en-US" w:eastAsia="zh-CN"/>
        </w:rPr>
        <w:t>2.</w:t>
      </w:r>
      <w:r>
        <w:rPr>
          <w:rFonts w:hint="eastAsia" w:ascii="方正仿宋_GBK" w:hAnsi="方正仿宋_GBK" w:eastAsia="方正仿宋_GBK" w:cs="方正仿宋_GBK"/>
          <w:b w:val="0"/>
          <w:bCs w:val="0"/>
          <w:color w:val="000000"/>
          <w:spacing w:val="-5"/>
          <w:sz w:val="32"/>
          <w:szCs w:val="32"/>
          <w:lang w:val="zh-CN" w:eastAsia="zh-CN"/>
        </w:rPr>
        <w:t>个别单位尚未全面实施公务卡结算，部分费用仍以现金形式支付。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930" w:firstLineChars="300"/>
        <w:jc w:val="both"/>
        <w:rPr>
          <w:rFonts w:hint="eastAsia" w:ascii="方正仿宋_GBK" w:hAnsi="方正仿宋_GBK" w:eastAsia="方正仿宋_GBK" w:cs="方正仿宋_GBK"/>
          <w:b w:val="0"/>
          <w:bCs w:val="0"/>
          <w:color w:val="000000"/>
          <w:spacing w:val="-5"/>
          <w:sz w:val="32"/>
          <w:szCs w:val="32"/>
          <w:lang w:val="zh-CN" w:eastAsia="zh-CN"/>
        </w:rPr>
      </w:pPr>
      <w:r>
        <w:rPr>
          <w:rFonts w:hint="eastAsia" w:ascii="方正仿宋_GBK" w:hAnsi="方正仿宋_GBK" w:eastAsia="方正仿宋_GBK" w:cs="方正仿宋_GBK"/>
          <w:b w:val="0"/>
          <w:bCs w:val="0"/>
          <w:color w:val="000000"/>
          <w:spacing w:val="-5"/>
          <w:sz w:val="32"/>
          <w:szCs w:val="32"/>
          <w:lang w:val="en-US" w:eastAsia="zh-CN"/>
        </w:rPr>
        <w:t>3.</w:t>
      </w:r>
      <w:r>
        <w:rPr>
          <w:rFonts w:hint="eastAsia" w:ascii="方正仿宋_GBK" w:hAnsi="方正仿宋_GBK" w:eastAsia="方正仿宋_GBK" w:cs="方正仿宋_GBK"/>
          <w:b w:val="0"/>
          <w:bCs w:val="0"/>
          <w:color w:val="000000"/>
          <w:spacing w:val="-5"/>
          <w:sz w:val="32"/>
          <w:szCs w:val="32"/>
          <w:lang w:val="zh-CN" w:eastAsia="zh-CN"/>
        </w:rPr>
        <w:t>个别项目实施进度缓慢。项目建设进度不均衡，有个别项目进展缓慢。</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hint="eastAsia" w:ascii="方正仿宋_GBK" w:hAnsi="方正仿宋_GBK" w:eastAsia="方正仿宋_GBK" w:cs="方正仿宋_GBK"/>
          <w:b w:val="0"/>
          <w:bCs w:val="0"/>
          <w:color w:val="000000"/>
          <w:kern w:val="0"/>
          <w:sz w:val="32"/>
          <w:szCs w:val="32"/>
          <w:shd w:val="clear" w:color="auto" w:fill="FFFFFF"/>
          <w:lang w:val="en-US" w:eastAsia="zh-CN"/>
        </w:rPr>
      </w:pPr>
      <w:r>
        <w:rPr>
          <w:rFonts w:hint="eastAsia" w:ascii="方正仿宋_GBK" w:hAnsi="方正仿宋_GBK" w:eastAsia="方正仿宋_GBK" w:cs="方正仿宋_GBK"/>
          <w:b w:val="0"/>
          <w:bCs w:val="0"/>
          <w:color w:val="000000"/>
          <w:kern w:val="0"/>
          <w:sz w:val="32"/>
          <w:szCs w:val="32"/>
          <w:shd w:val="clear" w:color="auto" w:fill="FFFFFF"/>
          <w:lang w:val="en-US" w:eastAsia="zh-CN"/>
        </w:rPr>
        <w:t>4.</w:t>
      </w:r>
      <w:r>
        <w:rPr>
          <w:rFonts w:hint="eastAsia" w:ascii="方正仿宋_GBK" w:hAnsi="方正仿宋_GBK" w:eastAsia="方正仿宋_GBK" w:cs="方正仿宋_GBK"/>
          <w:b w:val="0"/>
          <w:bCs w:val="0"/>
          <w:color w:val="000000"/>
          <w:kern w:val="0"/>
          <w:sz w:val="32"/>
          <w:szCs w:val="32"/>
          <w:shd w:val="clear" w:color="auto" w:fill="FFFFFF"/>
          <w:lang w:eastAsia="zh-CN"/>
        </w:rPr>
        <w:t>财务核算还不够细致，未能详细分类核算，绩效评价基础数据不够精确。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（四）改进建议。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rPr>
          <w:rFonts w:hint="eastAsia" w:ascii="仿宋" w:hAnsi="仿宋" w:eastAsia="仿宋" w:cs="仿宋"/>
          <w:color w:val="000000"/>
          <w:sz w:val="32"/>
          <w:szCs w:val="32"/>
        </w:rPr>
      </w:pPr>
      <w:r>
        <w:rPr>
          <w:rFonts w:hint="eastAsia" w:ascii="仿宋" w:hAnsi="仿宋" w:eastAsia="仿宋" w:cs="仿宋"/>
          <w:color w:val="000000"/>
          <w:sz w:val="32"/>
          <w:szCs w:val="32"/>
        </w:rPr>
        <w:t>针对存在的问题,我们将进一步科学设定绩效目标</w:t>
      </w:r>
      <w:r>
        <w:rPr>
          <w:rFonts w:hint="eastAsia" w:ascii="仿宋" w:hAnsi="仿宋" w:eastAsia="仿宋" w:cs="仿宋"/>
          <w:color w:val="000000"/>
          <w:w w:val="115"/>
          <w:sz w:val="32"/>
          <w:szCs w:val="32"/>
        </w:rPr>
        <w:t>,</w:t>
      </w:r>
      <w:r>
        <w:rPr>
          <w:rFonts w:hint="eastAsia" w:ascii="仿宋" w:hAnsi="仿宋" w:eastAsia="仿宋" w:cs="仿宋"/>
          <w:color w:val="000000"/>
          <w:sz w:val="32"/>
          <w:szCs w:val="32"/>
        </w:rPr>
        <w:t>加强预算执行管理。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1．加强预算绩效管理</w:t>
      </w:r>
      <w:r>
        <w:rPr>
          <w:rFonts w:hint="eastAsia" w:ascii="仿宋" w:hAnsi="仿宋" w:eastAsia="仿宋" w:cs="仿宋"/>
          <w:color w:val="000000"/>
          <w:sz w:val="32"/>
          <w:szCs w:val="32"/>
        </w:rPr>
        <w:t>。改进部门收支预算编制</w:t>
      </w:r>
      <w:r>
        <w:rPr>
          <w:rFonts w:hint="eastAsia" w:ascii="仿宋" w:hAnsi="仿宋" w:eastAsia="仿宋" w:cs="仿宋"/>
          <w:color w:val="000000"/>
          <w:w w:val="115"/>
          <w:sz w:val="32"/>
          <w:szCs w:val="32"/>
        </w:rPr>
        <w:t>,</w:t>
      </w:r>
      <w:r>
        <w:rPr>
          <w:rFonts w:hint="eastAsia" w:ascii="仿宋" w:hAnsi="仿宋" w:eastAsia="仿宋" w:cs="仿宋"/>
          <w:color w:val="000000"/>
          <w:sz w:val="32"/>
          <w:szCs w:val="32"/>
        </w:rPr>
        <w:t>夯实预算基础工作</w:t>
      </w:r>
      <w:r>
        <w:rPr>
          <w:rFonts w:hint="eastAsia" w:ascii="仿宋" w:hAnsi="仿宋" w:eastAsia="仿宋" w:cs="仿宋"/>
          <w:color w:val="000000"/>
          <w:w w:val="115"/>
          <w:sz w:val="32"/>
          <w:szCs w:val="32"/>
        </w:rPr>
        <w:t>,</w:t>
      </w:r>
      <w:r>
        <w:rPr>
          <w:rFonts w:hint="eastAsia" w:ascii="仿宋" w:hAnsi="仿宋" w:eastAsia="仿宋" w:cs="仿宋"/>
          <w:color w:val="000000"/>
          <w:sz w:val="32"/>
          <w:szCs w:val="32"/>
        </w:rPr>
        <w:t>提高预算编制质量</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进一步加强各单位的预算资金管理，减少预算资金使用的随意性，对预算的事前、事中、事后进行全过程控制，加大对预算编制与执行的监督管理力度，提高预算资金使用效率。同时，提高各单位人员对预算资金使用效益的认识，把预算资金是否发挥使用效益与各岗位是否履职尽责相结合，将预算资金使用的效率和效益作为对各岗位人员工作考核评价的重要内容之一。对预算外经费严格落实“收支两条线”要求，精细测算支出额度，把需求核准核实，充分发挥财政资金的效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3" w:firstLineChars="200"/>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2．全面实行公务卡结算制度。</w:t>
      </w:r>
      <w:r>
        <w:rPr>
          <w:rFonts w:hint="eastAsia" w:ascii="仿宋" w:hAnsi="仿宋" w:eastAsia="仿宋" w:cs="仿宋"/>
          <w:color w:val="000000"/>
          <w:sz w:val="32"/>
          <w:szCs w:val="32"/>
        </w:rPr>
        <w:t>健全公务卡强制结算目录，除按规定实行财政直接支付或者银行转账外，应当使用公务卡结算。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3" w:firstLineChars="200"/>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3．加强项目实施监控。</w:t>
      </w:r>
      <w:r>
        <w:rPr>
          <w:rFonts w:hint="eastAsia" w:ascii="仿宋" w:hAnsi="仿宋" w:eastAsia="仿宋" w:cs="仿宋"/>
          <w:color w:val="000000"/>
          <w:sz w:val="32"/>
          <w:szCs w:val="32"/>
        </w:rPr>
        <w:t>认真研究政策,加强项目绩效目标审核,力求科学合理;认真研究重点项目的执行,特别是涉及政府采购的项目,提早规划,提前实施,确保项目顺利实施,提高财政资金的使用效益。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3" w:firstLineChars="200"/>
        <w:jc w:val="both"/>
        <w:rPr>
          <w:rFonts w:hint="eastAsia" w:ascii="仿宋" w:hAnsi="仿宋" w:eastAsia="仿宋" w:cs="仿宋"/>
          <w:b w:val="0"/>
          <w:bCs w:val="0"/>
          <w:color w:val="333333"/>
          <w:sz w:val="32"/>
          <w:szCs w:val="32"/>
        </w:rPr>
      </w:pPr>
      <w:r>
        <w:rPr>
          <w:rFonts w:hint="eastAsia" w:ascii="仿宋" w:hAnsi="仿宋" w:eastAsia="仿宋" w:cs="仿宋"/>
          <w:b/>
          <w:bCs/>
          <w:color w:val="000000"/>
          <w:spacing w:val="-5"/>
          <w:sz w:val="32"/>
          <w:szCs w:val="32"/>
          <w:lang w:val="en-US" w:eastAsia="zh-CN"/>
        </w:rPr>
        <w:t>4.</w:t>
      </w:r>
      <w:r>
        <w:rPr>
          <w:rFonts w:hint="eastAsia" w:ascii="仿宋" w:hAnsi="仿宋" w:eastAsia="仿宋" w:cs="仿宋"/>
          <w:b w:val="0"/>
          <w:bCs w:val="0"/>
          <w:color w:val="000000"/>
          <w:spacing w:val="-5"/>
          <w:sz w:val="32"/>
          <w:szCs w:val="32"/>
          <w:lang w:eastAsia="zh-CN"/>
        </w:rPr>
        <w:t>提高财务核算的精细度，为本单位的财务管理提供有力的数据支撑。</w:t>
      </w:r>
    </w:p>
    <w:p>
      <w:pPr>
        <w:keepNext w:val="0"/>
        <w:keepLines w:val="0"/>
        <w:pageBreakBefore w:val="0"/>
        <w:numPr>
          <w:ilvl w:val="0"/>
          <w:numId w:val="0"/>
        </w:numPr>
        <w:kinsoku/>
        <w:wordWrap/>
        <w:overflowPunct/>
        <w:topLinePunct w:val="0"/>
        <w:autoSpaceDE/>
        <w:autoSpaceDN/>
        <w:bidi w:val="0"/>
        <w:spacing w:before="179" w:after="551" w:line="560" w:lineRule="exact"/>
        <w:ind w:leftChars="200"/>
        <w:textAlignment w:val="baseline"/>
        <w:rPr>
          <w:rFonts w:hint="eastAsia"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32"/>
          <w:rFonts w:ascii="黑体" w:hAnsi="黑体" w:eastAsia="黑体"/>
          <w:b w:val="0"/>
        </w:rPr>
      </w:pPr>
    </w:p>
    <w:p>
      <w:pPr>
        <w:spacing w:line="600" w:lineRule="exact"/>
        <w:jc w:val="center"/>
        <w:outlineLvl w:val="0"/>
        <w:rPr>
          <w:rStyle w:val="32"/>
          <w:rFonts w:ascii="黑体" w:hAnsi="黑体" w:eastAsia="黑体"/>
          <w:b w:val="0"/>
        </w:rPr>
      </w:pPr>
      <w:bookmarkStart w:id="63" w:name="_Toc15396618"/>
      <w:r>
        <w:rPr>
          <w:rFonts w:hint="eastAsia" w:ascii="黑体" w:hAnsi="黑体" w:eastAsia="黑体"/>
          <w:color w:val="000000"/>
          <w:sz w:val="44"/>
          <w:szCs w:val="44"/>
        </w:rPr>
        <w:t>第</w:t>
      </w:r>
      <w:r>
        <w:rPr>
          <w:rStyle w:val="32"/>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33"/>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33"/>
          <w:rFonts w:hint="eastAsia" w:ascii="仿宋" w:hAnsi="仿宋" w:eastAsia="仿宋"/>
          <w:b w:val="0"/>
          <w:bCs w:val="0"/>
        </w:rPr>
        <w:t>入决算表</w:t>
      </w:r>
      <w:bookmarkEnd w:id="65"/>
    </w:p>
    <w:p>
      <w:pPr>
        <w:pStyle w:val="3"/>
        <w:rPr>
          <w:rFonts w:ascii="仿宋" w:hAnsi="仿宋" w:eastAsia="仿宋"/>
          <w:color w:val="000000"/>
        </w:rPr>
      </w:pPr>
      <w:bookmarkStart w:id="66" w:name="_Toc15396621"/>
      <w:r>
        <w:rPr>
          <w:rStyle w:val="33"/>
          <w:rFonts w:hint="eastAsia" w:ascii="仿宋" w:hAnsi="仿宋" w:eastAsia="仿宋"/>
          <w:b w:val="0"/>
          <w:bCs w:val="0"/>
        </w:rPr>
        <w:t>三、</w:t>
      </w:r>
      <w:r>
        <w:rPr>
          <w:rFonts w:hint="eastAsia" w:ascii="仿宋" w:hAnsi="仿宋" w:eastAsia="仿宋"/>
          <w:b w:val="0"/>
          <w:color w:val="000000"/>
        </w:rPr>
        <w:t>支</w:t>
      </w:r>
      <w:r>
        <w:rPr>
          <w:rStyle w:val="33"/>
          <w:rFonts w:hint="eastAsia" w:ascii="仿宋" w:hAnsi="仿宋" w:eastAsia="仿宋"/>
          <w:b w:val="0"/>
          <w:bCs w:val="0"/>
        </w:rPr>
        <w:t>出决算表</w:t>
      </w:r>
      <w:bookmarkEnd w:id="66"/>
    </w:p>
    <w:p>
      <w:pPr>
        <w:pStyle w:val="3"/>
        <w:rPr>
          <w:rFonts w:ascii="仿宋" w:hAnsi="仿宋" w:eastAsia="仿宋"/>
          <w:b w:val="0"/>
          <w:color w:val="000000"/>
        </w:rPr>
      </w:pPr>
      <w:bookmarkStart w:id="67" w:name="_Toc15396622"/>
      <w:r>
        <w:rPr>
          <w:rStyle w:val="33"/>
          <w:rFonts w:hint="eastAsia" w:ascii="仿宋" w:hAnsi="仿宋" w:eastAsia="仿宋"/>
          <w:b w:val="0"/>
          <w:bCs w:val="0"/>
        </w:rPr>
        <w:t>四、</w:t>
      </w:r>
      <w:r>
        <w:rPr>
          <w:rFonts w:hint="eastAsia" w:ascii="仿宋" w:hAnsi="仿宋" w:eastAsia="仿宋"/>
          <w:b w:val="0"/>
          <w:color w:val="000000"/>
        </w:rPr>
        <w:t>财</w:t>
      </w:r>
      <w:r>
        <w:rPr>
          <w:rStyle w:val="33"/>
          <w:rFonts w:hint="eastAsia" w:ascii="仿宋" w:hAnsi="仿宋" w:eastAsia="仿宋"/>
          <w:b w:val="0"/>
          <w:bCs w:val="0"/>
        </w:rPr>
        <w:t>政拨款收入支出决算总表</w:t>
      </w:r>
      <w:bookmarkEnd w:id="67"/>
    </w:p>
    <w:p>
      <w:pPr>
        <w:pStyle w:val="3"/>
        <w:rPr>
          <w:rStyle w:val="33"/>
          <w:rFonts w:ascii="仿宋" w:hAnsi="仿宋" w:eastAsia="仿宋"/>
          <w:b w:val="0"/>
          <w:bCs w:val="0"/>
        </w:rPr>
      </w:pPr>
      <w:bookmarkStart w:id="68" w:name="_Toc15396623"/>
      <w:r>
        <w:rPr>
          <w:rStyle w:val="33"/>
          <w:rFonts w:hint="eastAsia" w:ascii="仿宋" w:hAnsi="仿宋" w:eastAsia="仿宋"/>
          <w:b w:val="0"/>
          <w:bCs w:val="0"/>
        </w:rPr>
        <w:t>五、</w:t>
      </w:r>
      <w:r>
        <w:rPr>
          <w:rFonts w:hint="eastAsia" w:ascii="仿宋" w:hAnsi="仿宋" w:eastAsia="仿宋"/>
          <w:b w:val="0"/>
          <w:color w:val="000000"/>
        </w:rPr>
        <w:t>财</w:t>
      </w:r>
      <w:r>
        <w:rPr>
          <w:rStyle w:val="33"/>
          <w:rFonts w:hint="eastAsia" w:ascii="仿宋" w:hAnsi="仿宋" w:eastAsia="仿宋"/>
          <w:b w:val="0"/>
          <w:bCs w:val="0"/>
        </w:rPr>
        <w:t>政拨款支出决算明细表</w:t>
      </w:r>
      <w:bookmarkEnd w:id="68"/>
      <w:bookmarkStart w:id="69" w:name="_Toc15396624"/>
    </w:p>
    <w:p>
      <w:pPr>
        <w:pStyle w:val="3"/>
        <w:rPr>
          <w:rFonts w:ascii="仿宋" w:hAnsi="仿宋" w:eastAsia="仿宋"/>
          <w:color w:val="000000"/>
        </w:rPr>
      </w:pPr>
      <w:r>
        <w:rPr>
          <w:rStyle w:val="33"/>
          <w:rFonts w:hint="eastAsia" w:ascii="仿宋" w:hAnsi="仿宋" w:eastAsia="仿宋"/>
          <w:b w:val="0"/>
          <w:bCs w:val="0"/>
        </w:rPr>
        <w:t>六、</w:t>
      </w:r>
      <w:r>
        <w:rPr>
          <w:rFonts w:hint="eastAsia" w:ascii="仿宋" w:hAnsi="仿宋" w:eastAsia="仿宋"/>
          <w:b w:val="0"/>
          <w:color w:val="000000"/>
        </w:rPr>
        <w:t>一</w:t>
      </w:r>
      <w:r>
        <w:rPr>
          <w:rStyle w:val="33"/>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33"/>
          <w:rFonts w:hint="eastAsia" w:ascii="仿宋" w:hAnsi="仿宋" w:eastAsia="仿宋"/>
          <w:b w:val="0"/>
          <w:bCs w:val="0"/>
        </w:rPr>
        <w:t>七、</w:t>
      </w:r>
      <w:r>
        <w:rPr>
          <w:rFonts w:hint="eastAsia" w:ascii="仿宋" w:hAnsi="仿宋" w:eastAsia="仿宋"/>
          <w:b w:val="0"/>
          <w:color w:val="000000"/>
        </w:rPr>
        <w:t>一</w:t>
      </w:r>
      <w:r>
        <w:rPr>
          <w:rStyle w:val="33"/>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33"/>
          <w:rFonts w:hint="eastAsia" w:ascii="仿宋" w:hAnsi="仿宋" w:eastAsia="仿宋"/>
          <w:b w:val="0"/>
          <w:bCs w:val="0"/>
        </w:rPr>
        <w:t>八、</w:t>
      </w:r>
      <w:r>
        <w:rPr>
          <w:rFonts w:hint="eastAsia" w:ascii="仿宋" w:hAnsi="仿宋" w:eastAsia="仿宋"/>
          <w:b w:val="0"/>
          <w:color w:val="000000"/>
        </w:rPr>
        <w:t>一</w:t>
      </w:r>
      <w:r>
        <w:rPr>
          <w:rStyle w:val="33"/>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33"/>
          <w:rFonts w:hint="eastAsia" w:ascii="仿宋" w:hAnsi="仿宋" w:eastAsia="仿宋"/>
          <w:b w:val="0"/>
          <w:bCs w:val="0"/>
        </w:rPr>
        <w:t>九、</w:t>
      </w:r>
      <w:r>
        <w:rPr>
          <w:rFonts w:hint="eastAsia" w:ascii="仿宋" w:hAnsi="仿宋" w:eastAsia="仿宋"/>
          <w:b w:val="0"/>
          <w:color w:val="000000"/>
        </w:rPr>
        <w:t>一</w:t>
      </w:r>
      <w:r>
        <w:rPr>
          <w:rStyle w:val="33"/>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33"/>
          <w:rFonts w:hint="eastAsia" w:ascii="仿宋" w:hAnsi="仿宋" w:eastAsia="仿宋"/>
          <w:b w:val="0"/>
          <w:bCs w:val="0"/>
        </w:rPr>
        <w:t>十、</w:t>
      </w:r>
      <w:r>
        <w:rPr>
          <w:rFonts w:hint="eastAsia" w:ascii="仿宋" w:hAnsi="仿宋" w:eastAsia="仿宋"/>
          <w:b w:val="0"/>
          <w:color w:val="000000"/>
        </w:rPr>
        <w:t>一</w:t>
      </w:r>
      <w:r>
        <w:rPr>
          <w:rStyle w:val="33"/>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33"/>
          <w:rFonts w:hint="eastAsia" w:ascii="仿宋" w:hAnsi="仿宋" w:eastAsia="仿宋"/>
          <w:b w:val="0"/>
          <w:bCs w:val="0"/>
        </w:rPr>
        <w:t>十一、</w:t>
      </w:r>
      <w:r>
        <w:rPr>
          <w:rFonts w:hint="eastAsia" w:ascii="仿宋" w:hAnsi="仿宋" w:eastAsia="仿宋"/>
          <w:b w:val="0"/>
          <w:color w:val="000000"/>
        </w:rPr>
        <w:t>政</w:t>
      </w:r>
      <w:r>
        <w:rPr>
          <w:rStyle w:val="33"/>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33"/>
          <w:rFonts w:hint="eastAsia" w:ascii="仿宋" w:hAnsi="仿宋" w:eastAsia="仿宋"/>
          <w:b w:val="0"/>
          <w:bCs w:val="0"/>
        </w:rPr>
        <w:t>十二、</w:t>
      </w:r>
      <w:r>
        <w:rPr>
          <w:rFonts w:hint="eastAsia" w:ascii="仿宋" w:hAnsi="仿宋" w:eastAsia="仿宋"/>
          <w:b w:val="0"/>
          <w:color w:val="000000"/>
        </w:rPr>
        <w:t>政</w:t>
      </w:r>
      <w:r>
        <w:rPr>
          <w:rStyle w:val="33"/>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33"/>
          <w:rFonts w:hint="eastAsia" w:ascii="仿宋" w:hAnsi="仿宋" w:eastAsia="仿宋"/>
          <w:b w:val="0"/>
          <w:bCs w:val="0"/>
        </w:rPr>
        <w:t>十三、</w:t>
      </w:r>
      <w:r>
        <w:rPr>
          <w:rFonts w:hint="eastAsia" w:ascii="仿宋" w:hAnsi="仿宋" w:eastAsia="仿宋"/>
          <w:b w:val="0"/>
          <w:color w:val="000000"/>
        </w:rPr>
        <w:t>国</w:t>
      </w:r>
      <w:r>
        <w:rPr>
          <w:rStyle w:val="33"/>
          <w:rFonts w:hint="eastAsia" w:ascii="仿宋" w:hAnsi="仿宋" w:eastAsia="仿宋"/>
          <w:b w:val="0"/>
          <w:bCs w:val="0"/>
        </w:rPr>
        <w:t>有资本经营预算支出决算表</w:t>
      </w:r>
      <w:bookmarkEnd w:id="76"/>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6CAF5"/>
    <w:multiLevelType w:val="singleLevel"/>
    <w:tmpl w:val="BFB6CAF5"/>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339341B"/>
    <w:multiLevelType w:val="singleLevel"/>
    <w:tmpl w:val="3339341B"/>
    <w:lvl w:ilvl="0" w:tentative="0">
      <w:start w:val="1"/>
      <w:numFmt w:val="decimal"/>
      <w:suff w:val="nothing"/>
      <w:lvlText w:val="（%1）"/>
      <w:lvlJc w:val="left"/>
    </w:lvl>
  </w:abstractNum>
  <w:abstractNum w:abstractNumId="5">
    <w:nsid w:val="4D58E695"/>
    <w:multiLevelType w:val="singleLevel"/>
    <w:tmpl w:val="4D58E695"/>
    <w:lvl w:ilvl="0" w:tentative="0">
      <w:start w:val="2"/>
      <w:numFmt w:val="chineseCounting"/>
      <w:suff w:val="nothing"/>
      <w:lvlText w:val="（%1）"/>
      <w:lvlJc w:val="left"/>
      <w:rPr>
        <w:rFonts w:hint="eastAsia"/>
      </w:rPr>
    </w:lvl>
  </w:abstractNum>
  <w:abstractNum w:abstractNumId="6">
    <w:nsid w:val="5B9EB270"/>
    <w:multiLevelType w:val="singleLevel"/>
    <w:tmpl w:val="5B9EB270"/>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7EE3"/>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1B28"/>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66AE"/>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A36FB"/>
    <w:rsid w:val="0172281E"/>
    <w:rsid w:val="01C84EC6"/>
    <w:rsid w:val="01CB1DB2"/>
    <w:rsid w:val="021A1607"/>
    <w:rsid w:val="02695EB0"/>
    <w:rsid w:val="02812574"/>
    <w:rsid w:val="02A27785"/>
    <w:rsid w:val="02CD32FA"/>
    <w:rsid w:val="02ED64E5"/>
    <w:rsid w:val="037328AC"/>
    <w:rsid w:val="03771288"/>
    <w:rsid w:val="03D9493E"/>
    <w:rsid w:val="04091DD2"/>
    <w:rsid w:val="04F4072B"/>
    <w:rsid w:val="05095F0F"/>
    <w:rsid w:val="056434DE"/>
    <w:rsid w:val="05774271"/>
    <w:rsid w:val="05E91C21"/>
    <w:rsid w:val="05EB5F7E"/>
    <w:rsid w:val="07234EB0"/>
    <w:rsid w:val="07BF4D05"/>
    <w:rsid w:val="07D75C8F"/>
    <w:rsid w:val="08020F3F"/>
    <w:rsid w:val="08362450"/>
    <w:rsid w:val="08AE292B"/>
    <w:rsid w:val="08C57820"/>
    <w:rsid w:val="08F46E50"/>
    <w:rsid w:val="094D0017"/>
    <w:rsid w:val="099C02F6"/>
    <w:rsid w:val="09C15279"/>
    <w:rsid w:val="09E31FEE"/>
    <w:rsid w:val="0A311909"/>
    <w:rsid w:val="0A65581E"/>
    <w:rsid w:val="0A6B637C"/>
    <w:rsid w:val="0A7205A0"/>
    <w:rsid w:val="0ABD16B9"/>
    <w:rsid w:val="0AC74A14"/>
    <w:rsid w:val="0AFE2A0D"/>
    <w:rsid w:val="0B1A2114"/>
    <w:rsid w:val="0B6045C3"/>
    <w:rsid w:val="0B907B41"/>
    <w:rsid w:val="0BB405C6"/>
    <w:rsid w:val="0BCC2392"/>
    <w:rsid w:val="0BF3370A"/>
    <w:rsid w:val="0CE614E9"/>
    <w:rsid w:val="0CEC2E52"/>
    <w:rsid w:val="0CF33A8C"/>
    <w:rsid w:val="0CFC58CF"/>
    <w:rsid w:val="0D2D3E51"/>
    <w:rsid w:val="0D404DEC"/>
    <w:rsid w:val="0D4D4CBF"/>
    <w:rsid w:val="0DA54C81"/>
    <w:rsid w:val="0DAC58D4"/>
    <w:rsid w:val="0DCE734A"/>
    <w:rsid w:val="0E4C61C7"/>
    <w:rsid w:val="0E750263"/>
    <w:rsid w:val="0E78757B"/>
    <w:rsid w:val="0EFA1866"/>
    <w:rsid w:val="0F0F5DB7"/>
    <w:rsid w:val="0F294445"/>
    <w:rsid w:val="0F466272"/>
    <w:rsid w:val="0F8618E4"/>
    <w:rsid w:val="0F9E2259"/>
    <w:rsid w:val="0FEE32DC"/>
    <w:rsid w:val="102C3260"/>
    <w:rsid w:val="10C055FF"/>
    <w:rsid w:val="118F4B0A"/>
    <w:rsid w:val="11A73605"/>
    <w:rsid w:val="11E2098A"/>
    <w:rsid w:val="11E63EBB"/>
    <w:rsid w:val="11E7657B"/>
    <w:rsid w:val="120F1971"/>
    <w:rsid w:val="121F0231"/>
    <w:rsid w:val="128F3E1D"/>
    <w:rsid w:val="12966B48"/>
    <w:rsid w:val="12A411C6"/>
    <w:rsid w:val="12C06AD3"/>
    <w:rsid w:val="12C938C2"/>
    <w:rsid w:val="12D8675F"/>
    <w:rsid w:val="1318129E"/>
    <w:rsid w:val="136A6296"/>
    <w:rsid w:val="137F47B7"/>
    <w:rsid w:val="13A9091B"/>
    <w:rsid w:val="13E10534"/>
    <w:rsid w:val="14A6749A"/>
    <w:rsid w:val="15106BE1"/>
    <w:rsid w:val="15576C97"/>
    <w:rsid w:val="15631778"/>
    <w:rsid w:val="15AC28E5"/>
    <w:rsid w:val="16674B1D"/>
    <w:rsid w:val="16854F6D"/>
    <w:rsid w:val="16916AC2"/>
    <w:rsid w:val="16BB723D"/>
    <w:rsid w:val="17522710"/>
    <w:rsid w:val="179F5700"/>
    <w:rsid w:val="17EA054D"/>
    <w:rsid w:val="17F05A84"/>
    <w:rsid w:val="182525F1"/>
    <w:rsid w:val="18774876"/>
    <w:rsid w:val="18C87545"/>
    <w:rsid w:val="18E1274B"/>
    <w:rsid w:val="18E37D7C"/>
    <w:rsid w:val="19B5315C"/>
    <w:rsid w:val="19EE5894"/>
    <w:rsid w:val="19FA7BEC"/>
    <w:rsid w:val="1A1334A9"/>
    <w:rsid w:val="1A2109AD"/>
    <w:rsid w:val="1A2E5D79"/>
    <w:rsid w:val="1A413008"/>
    <w:rsid w:val="1A7567BB"/>
    <w:rsid w:val="1A7E206D"/>
    <w:rsid w:val="1ACB3E5D"/>
    <w:rsid w:val="1AF249E1"/>
    <w:rsid w:val="1B6C3109"/>
    <w:rsid w:val="1B827AF4"/>
    <w:rsid w:val="1BA00B0E"/>
    <w:rsid w:val="1C075B4F"/>
    <w:rsid w:val="1C093FAB"/>
    <w:rsid w:val="1C1D4F9A"/>
    <w:rsid w:val="1C534378"/>
    <w:rsid w:val="1D4F55C0"/>
    <w:rsid w:val="1DBE153F"/>
    <w:rsid w:val="1E915E7C"/>
    <w:rsid w:val="1E943903"/>
    <w:rsid w:val="1EC11240"/>
    <w:rsid w:val="1ED47210"/>
    <w:rsid w:val="1EE619BF"/>
    <w:rsid w:val="1F5076B6"/>
    <w:rsid w:val="1F882D65"/>
    <w:rsid w:val="1FAC19CC"/>
    <w:rsid w:val="1FB21B7F"/>
    <w:rsid w:val="1FBA396E"/>
    <w:rsid w:val="20584BD8"/>
    <w:rsid w:val="208C4801"/>
    <w:rsid w:val="21042140"/>
    <w:rsid w:val="21202234"/>
    <w:rsid w:val="214255E0"/>
    <w:rsid w:val="216009EC"/>
    <w:rsid w:val="22430A65"/>
    <w:rsid w:val="22A638A4"/>
    <w:rsid w:val="22A852B6"/>
    <w:rsid w:val="23177E83"/>
    <w:rsid w:val="234671E9"/>
    <w:rsid w:val="23592E3B"/>
    <w:rsid w:val="23A746E0"/>
    <w:rsid w:val="240371BF"/>
    <w:rsid w:val="243909A6"/>
    <w:rsid w:val="24951D04"/>
    <w:rsid w:val="2515696D"/>
    <w:rsid w:val="25363808"/>
    <w:rsid w:val="255150F5"/>
    <w:rsid w:val="255D3302"/>
    <w:rsid w:val="256275B3"/>
    <w:rsid w:val="25736345"/>
    <w:rsid w:val="25D114F8"/>
    <w:rsid w:val="262E44F0"/>
    <w:rsid w:val="26311CDF"/>
    <w:rsid w:val="26683A1D"/>
    <w:rsid w:val="26760E4C"/>
    <w:rsid w:val="2689713C"/>
    <w:rsid w:val="2690704F"/>
    <w:rsid w:val="26A47175"/>
    <w:rsid w:val="26F01712"/>
    <w:rsid w:val="27954E08"/>
    <w:rsid w:val="27CA49E3"/>
    <w:rsid w:val="28013497"/>
    <w:rsid w:val="28363623"/>
    <w:rsid w:val="28773788"/>
    <w:rsid w:val="289B670F"/>
    <w:rsid w:val="28B75B7C"/>
    <w:rsid w:val="28D06907"/>
    <w:rsid w:val="28EC4E3B"/>
    <w:rsid w:val="296E194B"/>
    <w:rsid w:val="29FD04D3"/>
    <w:rsid w:val="2A0104BE"/>
    <w:rsid w:val="2A040611"/>
    <w:rsid w:val="2A1D5C8F"/>
    <w:rsid w:val="2A242D0F"/>
    <w:rsid w:val="2A3050CF"/>
    <w:rsid w:val="2A832542"/>
    <w:rsid w:val="2B115155"/>
    <w:rsid w:val="2B9C139D"/>
    <w:rsid w:val="2BD26D15"/>
    <w:rsid w:val="2C46608A"/>
    <w:rsid w:val="2C4D3DB7"/>
    <w:rsid w:val="2CA77427"/>
    <w:rsid w:val="2CCD3BCF"/>
    <w:rsid w:val="2CCF675F"/>
    <w:rsid w:val="2DCC4E16"/>
    <w:rsid w:val="2E105D77"/>
    <w:rsid w:val="2E144775"/>
    <w:rsid w:val="2E4655C1"/>
    <w:rsid w:val="2E5A0A98"/>
    <w:rsid w:val="2EA76369"/>
    <w:rsid w:val="2EAC2AFC"/>
    <w:rsid w:val="2F4F0CD8"/>
    <w:rsid w:val="2F6700EA"/>
    <w:rsid w:val="2F9B2E85"/>
    <w:rsid w:val="2F9E3B2E"/>
    <w:rsid w:val="2FAA224B"/>
    <w:rsid w:val="2FE8305D"/>
    <w:rsid w:val="30EA22DF"/>
    <w:rsid w:val="31460F30"/>
    <w:rsid w:val="317D6BFF"/>
    <w:rsid w:val="319F7F4E"/>
    <w:rsid w:val="31F5015D"/>
    <w:rsid w:val="31F5754C"/>
    <w:rsid w:val="32603F16"/>
    <w:rsid w:val="32B80D14"/>
    <w:rsid w:val="32F058EA"/>
    <w:rsid w:val="33D475AC"/>
    <w:rsid w:val="33DC6C38"/>
    <w:rsid w:val="34337A6B"/>
    <w:rsid w:val="343C5C54"/>
    <w:rsid w:val="346C1D94"/>
    <w:rsid w:val="34826957"/>
    <w:rsid w:val="34BE7111"/>
    <w:rsid w:val="361C3602"/>
    <w:rsid w:val="366523D1"/>
    <w:rsid w:val="368067DD"/>
    <w:rsid w:val="368360CC"/>
    <w:rsid w:val="36C67BF7"/>
    <w:rsid w:val="371A5E84"/>
    <w:rsid w:val="383A7DF6"/>
    <w:rsid w:val="383D7CF7"/>
    <w:rsid w:val="38573AEA"/>
    <w:rsid w:val="3944617A"/>
    <w:rsid w:val="39712ECB"/>
    <w:rsid w:val="39CB129C"/>
    <w:rsid w:val="39FE7855"/>
    <w:rsid w:val="3A914A80"/>
    <w:rsid w:val="3A99075B"/>
    <w:rsid w:val="3AE56BDE"/>
    <w:rsid w:val="3AEA2786"/>
    <w:rsid w:val="3BB411C7"/>
    <w:rsid w:val="3BBE03C4"/>
    <w:rsid w:val="3BD63456"/>
    <w:rsid w:val="3C103C02"/>
    <w:rsid w:val="3C4210D4"/>
    <w:rsid w:val="3CAE6221"/>
    <w:rsid w:val="3CC448AB"/>
    <w:rsid w:val="3CD710B0"/>
    <w:rsid w:val="3D234A39"/>
    <w:rsid w:val="3D5070F2"/>
    <w:rsid w:val="3E20384C"/>
    <w:rsid w:val="3E740003"/>
    <w:rsid w:val="3E7A688A"/>
    <w:rsid w:val="3EB16FC4"/>
    <w:rsid w:val="3EE84092"/>
    <w:rsid w:val="3EFF622B"/>
    <w:rsid w:val="3F751799"/>
    <w:rsid w:val="3F7D4711"/>
    <w:rsid w:val="3FAA24DE"/>
    <w:rsid w:val="400D1AA6"/>
    <w:rsid w:val="40762512"/>
    <w:rsid w:val="40917A95"/>
    <w:rsid w:val="40A1593A"/>
    <w:rsid w:val="40DF499D"/>
    <w:rsid w:val="41381927"/>
    <w:rsid w:val="414569F7"/>
    <w:rsid w:val="419857CC"/>
    <w:rsid w:val="42311C1D"/>
    <w:rsid w:val="4236451F"/>
    <w:rsid w:val="42544B8A"/>
    <w:rsid w:val="425565ED"/>
    <w:rsid w:val="42AF3C2D"/>
    <w:rsid w:val="42F320F8"/>
    <w:rsid w:val="43510A5E"/>
    <w:rsid w:val="435A04F2"/>
    <w:rsid w:val="436C35DF"/>
    <w:rsid w:val="43C8151F"/>
    <w:rsid w:val="441741AE"/>
    <w:rsid w:val="44187E90"/>
    <w:rsid w:val="44200DF9"/>
    <w:rsid w:val="44324225"/>
    <w:rsid w:val="447539A1"/>
    <w:rsid w:val="44A64F0C"/>
    <w:rsid w:val="451B5E19"/>
    <w:rsid w:val="452947A3"/>
    <w:rsid w:val="45815145"/>
    <w:rsid w:val="45CE0772"/>
    <w:rsid w:val="463B715A"/>
    <w:rsid w:val="46462E79"/>
    <w:rsid w:val="46FF7B88"/>
    <w:rsid w:val="470A58D2"/>
    <w:rsid w:val="4736375A"/>
    <w:rsid w:val="47384CA1"/>
    <w:rsid w:val="47E7629A"/>
    <w:rsid w:val="48D476D9"/>
    <w:rsid w:val="48DA7A9D"/>
    <w:rsid w:val="48DC1509"/>
    <w:rsid w:val="49190F0A"/>
    <w:rsid w:val="494F0830"/>
    <w:rsid w:val="49511ECB"/>
    <w:rsid w:val="49A426B1"/>
    <w:rsid w:val="49B4065C"/>
    <w:rsid w:val="49ED1145"/>
    <w:rsid w:val="4A220B3C"/>
    <w:rsid w:val="4A470079"/>
    <w:rsid w:val="4AB34EC4"/>
    <w:rsid w:val="4AFF399D"/>
    <w:rsid w:val="4B570985"/>
    <w:rsid w:val="4B5A2CAE"/>
    <w:rsid w:val="4B96406B"/>
    <w:rsid w:val="4BCF16E0"/>
    <w:rsid w:val="4C1E27A2"/>
    <w:rsid w:val="4C604A3F"/>
    <w:rsid w:val="4C715CE7"/>
    <w:rsid w:val="4C942BDB"/>
    <w:rsid w:val="4CAB7B76"/>
    <w:rsid w:val="4CFF57AF"/>
    <w:rsid w:val="4E5A2B30"/>
    <w:rsid w:val="4E5B03A5"/>
    <w:rsid w:val="4E5C3090"/>
    <w:rsid w:val="4ECE2238"/>
    <w:rsid w:val="4EE57670"/>
    <w:rsid w:val="4F024899"/>
    <w:rsid w:val="4F27463B"/>
    <w:rsid w:val="4F5C5772"/>
    <w:rsid w:val="4F5F7D68"/>
    <w:rsid w:val="50A04C44"/>
    <w:rsid w:val="50CF69F7"/>
    <w:rsid w:val="511E61BC"/>
    <w:rsid w:val="518926D8"/>
    <w:rsid w:val="51917E65"/>
    <w:rsid w:val="51DD3172"/>
    <w:rsid w:val="51FD73CF"/>
    <w:rsid w:val="522B0C87"/>
    <w:rsid w:val="52826DAE"/>
    <w:rsid w:val="5294135D"/>
    <w:rsid w:val="52CD2E36"/>
    <w:rsid w:val="5310680D"/>
    <w:rsid w:val="534810F0"/>
    <w:rsid w:val="540D51B0"/>
    <w:rsid w:val="546961FD"/>
    <w:rsid w:val="55503EBC"/>
    <w:rsid w:val="555E4513"/>
    <w:rsid w:val="56322527"/>
    <w:rsid w:val="565208FF"/>
    <w:rsid w:val="56624FB2"/>
    <w:rsid w:val="569C1354"/>
    <w:rsid w:val="56FC5079"/>
    <w:rsid w:val="57654877"/>
    <w:rsid w:val="57F64562"/>
    <w:rsid w:val="5815774A"/>
    <w:rsid w:val="587046C7"/>
    <w:rsid w:val="588C42DD"/>
    <w:rsid w:val="58A73FAC"/>
    <w:rsid w:val="58B67BB7"/>
    <w:rsid w:val="58D145EB"/>
    <w:rsid w:val="58DD6F03"/>
    <w:rsid w:val="596C54E3"/>
    <w:rsid w:val="59B70A97"/>
    <w:rsid w:val="59C2292E"/>
    <w:rsid w:val="5A645B61"/>
    <w:rsid w:val="5ACF7A47"/>
    <w:rsid w:val="5B1A59EC"/>
    <w:rsid w:val="5B292DF5"/>
    <w:rsid w:val="5B38672E"/>
    <w:rsid w:val="5BB464BF"/>
    <w:rsid w:val="5BD91DDE"/>
    <w:rsid w:val="5BE37C93"/>
    <w:rsid w:val="5BFA75D9"/>
    <w:rsid w:val="5C4B7082"/>
    <w:rsid w:val="5C5E6CE8"/>
    <w:rsid w:val="5C8219CC"/>
    <w:rsid w:val="5CB36C55"/>
    <w:rsid w:val="5D451312"/>
    <w:rsid w:val="5D6263A4"/>
    <w:rsid w:val="5D8B4B4E"/>
    <w:rsid w:val="5DB01468"/>
    <w:rsid w:val="5E646CC4"/>
    <w:rsid w:val="5ED96CCA"/>
    <w:rsid w:val="5F0F243E"/>
    <w:rsid w:val="5F1410C5"/>
    <w:rsid w:val="5F191556"/>
    <w:rsid w:val="5F627A39"/>
    <w:rsid w:val="5FA7430C"/>
    <w:rsid w:val="5FB70D17"/>
    <w:rsid w:val="6017496C"/>
    <w:rsid w:val="601841AB"/>
    <w:rsid w:val="608255CD"/>
    <w:rsid w:val="60D122C0"/>
    <w:rsid w:val="61335EBE"/>
    <w:rsid w:val="61385A44"/>
    <w:rsid w:val="61722D79"/>
    <w:rsid w:val="61762489"/>
    <w:rsid w:val="618E535C"/>
    <w:rsid w:val="61C23B40"/>
    <w:rsid w:val="62284CC8"/>
    <w:rsid w:val="6239633D"/>
    <w:rsid w:val="624A15C8"/>
    <w:rsid w:val="637E2473"/>
    <w:rsid w:val="63A66E14"/>
    <w:rsid w:val="63D60682"/>
    <w:rsid w:val="63E470AF"/>
    <w:rsid w:val="63FF4228"/>
    <w:rsid w:val="6438501A"/>
    <w:rsid w:val="64674082"/>
    <w:rsid w:val="646A4702"/>
    <w:rsid w:val="646C73B2"/>
    <w:rsid w:val="64AC75EE"/>
    <w:rsid w:val="64FE499C"/>
    <w:rsid w:val="650D4D80"/>
    <w:rsid w:val="65955C7B"/>
    <w:rsid w:val="66024BA9"/>
    <w:rsid w:val="660A1A12"/>
    <w:rsid w:val="66427D3E"/>
    <w:rsid w:val="66CB7316"/>
    <w:rsid w:val="67031259"/>
    <w:rsid w:val="670B5378"/>
    <w:rsid w:val="676311FC"/>
    <w:rsid w:val="678E0753"/>
    <w:rsid w:val="6832217D"/>
    <w:rsid w:val="68E16076"/>
    <w:rsid w:val="69023922"/>
    <w:rsid w:val="692A1462"/>
    <w:rsid w:val="694A1B60"/>
    <w:rsid w:val="695F46B3"/>
    <w:rsid w:val="69623B61"/>
    <w:rsid w:val="69A242A8"/>
    <w:rsid w:val="69A431EF"/>
    <w:rsid w:val="69B2214D"/>
    <w:rsid w:val="6A0A5EEA"/>
    <w:rsid w:val="6A6B696F"/>
    <w:rsid w:val="6A6C10C3"/>
    <w:rsid w:val="6A9B7359"/>
    <w:rsid w:val="6AD4512D"/>
    <w:rsid w:val="6AE31F4D"/>
    <w:rsid w:val="6AFC52DE"/>
    <w:rsid w:val="6B1D70C9"/>
    <w:rsid w:val="6B513939"/>
    <w:rsid w:val="6BF5215C"/>
    <w:rsid w:val="6C313D84"/>
    <w:rsid w:val="6CB77B5F"/>
    <w:rsid w:val="6CD30BC9"/>
    <w:rsid w:val="6D173A6B"/>
    <w:rsid w:val="6D8A0501"/>
    <w:rsid w:val="6DB942CB"/>
    <w:rsid w:val="6E2A74C0"/>
    <w:rsid w:val="6EA314FF"/>
    <w:rsid w:val="6ECD2DF2"/>
    <w:rsid w:val="6F283A00"/>
    <w:rsid w:val="6F3B4D62"/>
    <w:rsid w:val="6FD640E7"/>
    <w:rsid w:val="6FDB4701"/>
    <w:rsid w:val="70724B59"/>
    <w:rsid w:val="708950FF"/>
    <w:rsid w:val="70A22B69"/>
    <w:rsid w:val="7103441A"/>
    <w:rsid w:val="71265F4C"/>
    <w:rsid w:val="71302661"/>
    <w:rsid w:val="71C14C9C"/>
    <w:rsid w:val="722824CE"/>
    <w:rsid w:val="722C179E"/>
    <w:rsid w:val="72596F18"/>
    <w:rsid w:val="72734D90"/>
    <w:rsid w:val="729E03B0"/>
    <w:rsid w:val="72B020D7"/>
    <w:rsid w:val="72C1650E"/>
    <w:rsid w:val="73303931"/>
    <w:rsid w:val="73741ED4"/>
    <w:rsid w:val="73813F85"/>
    <w:rsid w:val="745A5ADE"/>
    <w:rsid w:val="747E33E0"/>
    <w:rsid w:val="74807363"/>
    <w:rsid w:val="74D93FDE"/>
    <w:rsid w:val="751A5EF0"/>
    <w:rsid w:val="756B6C6F"/>
    <w:rsid w:val="756F2DCA"/>
    <w:rsid w:val="75A01215"/>
    <w:rsid w:val="75D310DC"/>
    <w:rsid w:val="75D859D8"/>
    <w:rsid w:val="75E94FD6"/>
    <w:rsid w:val="763D4A22"/>
    <w:rsid w:val="767E2BBA"/>
    <w:rsid w:val="769D4BCE"/>
    <w:rsid w:val="76E243D9"/>
    <w:rsid w:val="76E41CE8"/>
    <w:rsid w:val="776B27B2"/>
    <w:rsid w:val="776C777D"/>
    <w:rsid w:val="78182E6F"/>
    <w:rsid w:val="78437BFF"/>
    <w:rsid w:val="78987724"/>
    <w:rsid w:val="78AC2BA5"/>
    <w:rsid w:val="78E84AAA"/>
    <w:rsid w:val="792444B6"/>
    <w:rsid w:val="792D2695"/>
    <w:rsid w:val="79B8103D"/>
    <w:rsid w:val="79CC7E44"/>
    <w:rsid w:val="79CF7300"/>
    <w:rsid w:val="7A5E2AFE"/>
    <w:rsid w:val="7A6135D2"/>
    <w:rsid w:val="7A6821E8"/>
    <w:rsid w:val="7AF80775"/>
    <w:rsid w:val="7B06717F"/>
    <w:rsid w:val="7B542E89"/>
    <w:rsid w:val="7B93000C"/>
    <w:rsid w:val="7BCB3769"/>
    <w:rsid w:val="7BE863E5"/>
    <w:rsid w:val="7BF25851"/>
    <w:rsid w:val="7C0242B2"/>
    <w:rsid w:val="7C843D2F"/>
    <w:rsid w:val="7CCA3792"/>
    <w:rsid w:val="7D1F65FF"/>
    <w:rsid w:val="7D2657DB"/>
    <w:rsid w:val="7D9F77D4"/>
    <w:rsid w:val="7E8A1A61"/>
    <w:rsid w:val="7F5D4614"/>
    <w:rsid w:val="7F83741B"/>
    <w:rsid w:val="7FCF67C5"/>
    <w:rsid w:val="7FF577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9"/>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5"/>
    <w:semiHidden/>
    <w:unhideWhenUsed/>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99"/>
    <w:rPr>
      <w:b/>
    </w:rPr>
  </w:style>
  <w:style w:type="character" w:styleId="16">
    <w:name w:val="FollowedHyperlink"/>
    <w:basedOn w:val="14"/>
    <w:semiHidden/>
    <w:unhideWhenUsed/>
    <w:qFormat/>
    <w:uiPriority w:val="99"/>
    <w:rPr>
      <w:color w:val="4C4C4C"/>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Acronym"/>
    <w:basedOn w:val="14"/>
    <w:semiHidden/>
    <w:unhideWhenUsed/>
    <w:qFormat/>
    <w:uiPriority w:val="99"/>
  </w:style>
  <w:style w:type="character" w:styleId="20">
    <w:name w:val="HTML Variable"/>
    <w:basedOn w:val="14"/>
    <w:semiHidden/>
    <w:unhideWhenUsed/>
    <w:qFormat/>
    <w:uiPriority w:val="99"/>
  </w:style>
  <w:style w:type="character" w:styleId="21">
    <w:name w:val="Hyperlink"/>
    <w:basedOn w:val="14"/>
    <w:unhideWhenUsed/>
    <w:qFormat/>
    <w:uiPriority w:val="99"/>
    <w:rPr>
      <w:color w:val="0000FF" w:themeColor="hyperlink"/>
      <w:u w:val="single"/>
    </w:rPr>
  </w:style>
  <w:style w:type="character" w:styleId="22">
    <w:name w:val="HTML Code"/>
    <w:basedOn w:val="14"/>
    <w:semiHidden/>
    <w:unhideWhenUsed/>
    <w:qFormat/>
    <w:uiPriority w:val="99"/>
    <w:rPr>
      <w:rFonts w:hint="eastAsia" w:ascii="微软雅黑" w:hAnsi="微软雅黑" w:eastAsia="微软雅黑" w:cs="微软雅黑"/>
      <w:color w:val="4C4C4C"/>
      <w:sz w:val="21"/>
      <w:szCs w:val="21"/>
    </w:rPr>
  </w:style>
  <w:style w:type="character" w:styleId="23">
    <w:name w:val="HTML Cite"/>
    <w:basedOn w:val="14"/>
    <w:semiHidden/>
    <w:unhideWhenUsed/>
    <w:qFormat/>
    <w:uiPriority w:val="99"/>
  </w:style>
  <w:style w:type="character" w:customStyle="1" w:styleId="24">
    <w:name w:val="Header Char"/>
    <w:basedOn w:val="14"/>
    <w:semiHidden/>
    <w:qFormat/>
    <w:uiPriority w:val="99"/>
    <w:rPr>
      <w:rFonts w:ascii="Times New Roman" w:hAnsi="Times New Roman"/>
      <w:sz w:val="18"/>
      <w:szCs w:val="18"/>
    </w:rPr>
  </w:style>
  <w:style w:type="character" w:customStyle="1" w:styleId="25">
    <w:name w:val="页眉 Char"/>
    <w:link w:val="9"/>
    <w:semiHidden/>
    <w:qFormat/>
    <w:locked/>
    <w:uiPriority w:val="99"/>
    <w:rPr>
      <w:sz w:val="18"/>
    </w:rPr>
  </w:style>
  <w:style w:type="character" w:customStyle="1" w:styleId="26">
    <w:name w:val="Footer Char"/>
    <w:basedOn w:val="14"/>
    <w:semiHidden/>
    <w:qFormat/>
    <w:uiPriority w:val="99"/>
    <w:rPr>
      <w:rFonts w:ascii="Times New Roman" w:hAnsi="Times New Roman"/>
      <w:sz w:val="18"/>
      <w:szCs w:val="18"/>
    </w:rPr>
  </w:style>
  <w:style w:type="character" w:customStyle="1" w:styleId="27">
    <w:name w:val="页脚 Char"/>
    <w:link w:val="8"/>
    <w:qFormat/>
    <w:locked/>
    <w:uiPriority w:val="99"/>
    <w:rPr>
      <w:sz w:val="18"/>
    </w:rPr>
  </w:style>
  <w:style w:type="character" w:customStyle="1" w:styleId="28">
    <w:name w:val="Body Text Char"/>
    <w:basedOn w:val="14"/>
    <w:semiHidden/>
    <w:qFormat/>
    <w:uiPriority w:val="99"/>
    <w:rPr>
      <w:rFonts w:ascii="Times New Roman" w:hAnsi="Times New Roman"/>
      <w:szCs w:val="24"/>
    </w:rPr>
  </w:style>
  <w:style w:type="character" w:customStyle="1" w:styleId="29">
    <w:name w:val="正文文本 Char"/>
    <w:link w:val="5"/>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Char"/>
    <w:basedOn w:val="14"/>
    <w:link w:val="2"/>
    <w:qFormat/>
    <w:uiPriority w:val="9"/>
    <w:rPr>
      <w:rFonts w:ascii="Times New Roman" w:hAnsi="Times New Roman"/>
      <w:b/>
      <w:bCs/>
      <w:kern w:val="44"/>
      <w:sz w:val="44"/>
      <w:szCs w:val="44"/>
    </w:rPr>
  </w:style>
  <w:style w:type="character" w:customStyle="1" w:styleId="33">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3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批注框文本 Char"/>
    <w:basedOn w:val="14"/>
    <w:link w:val="7"/>
    <w:semiHidden/>
    <w:qFormat/>
    <w:uiPriority w:val="99"/>
    <w:rPr>
      <w:rFonts w:ascii="Times New Roman" w:hAnsi="Times New Roman"/>
      <w:kern w:val="2"/>
      <w:sz w:val="18"/>
      <w:szCs w:val="18"/>
    </w:rPr>
  </w:style>
  <w:style w:type="character" w:customStyle="1" w:styleId="36">
    <w:name w:val="标题 3 Char"/>
    <w:basedOn w:val="14"/>
    <w:link w:val="4"/>
    <w:qFormat/>
    <w:uiPriority w:val="9"/>
    <w:rPr>
      <w:rFonts w:ascii="Times New Roman" w:hAnsi="Times New Roman"/>
      <w:b/>
      <w:bCs/>
      <w:kern w:val="2"/>
      <w:sz w:val="32"/>
      <w:szCs w:val="32"/>
    </w:rPr>
  </w:style>
  <w:style w:type="paragraph" w:customStyle="1" w:styleId="3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38">
    <w:name w:val="No Spacing"/>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4052;&#20013;&#24066;&#36130;&#25919;&#23616;&#20851;&#20110;&#20570;&#22909;2019&#24180;&#24230;&#37096;&#38376;&#20915;&#31639;&#20844;&#24320;&#24037;&#20316;&#30340;&#36890;&#30693;\&#22270;&#349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[图表2019.xls]Sheet1!$A$16</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[图表2019.xls]Sheet1!$B$15:$C$15</c:f>
              <c:numCache>
                <c:formatCode>General</c:formatCode>
                <c:ptCount val="2"/>
                <c:pt idx="0">
                  <c:v>2018</c:v>
                </c:pt>
                <c:pt idx="1">
                  <c:v>2019</c:v>
                </c:pt>
              </c:numCache>
            </c:numRef>
          </c:cat>
          <c:val>
            <c:numRef>
              <c:f>[图表2019.xls]Sheet1!$B$16:$C$16</c:f>
              <c:numCache>
                <c:formatCode>General</c:formatCode>
                <c:ptCount val="2"/>
                <c:pt idx="0">
                  <c:v>2619.76</c:v>
                </c:pt>
                <c:pt idx="1">
                  <c:v>2404.4</c:v>
                </c:pt>
              </c:numCache>
            </c:numRef>
          </c:val>
        </c:ser>
        <c:ser>
          <c:idx val="1"/>
          <c:order val="1"/>
          <c:tx>
            <c:strRef>
              <c:f>[图表2019.xls]Sheet1!$A$17</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[图表2019.xls]Sheet1!$B$15:$C$15</c:f>
              <c:numCache>
                <c:formatCode>General</c:formatCode>
                <c:ptCount val="2"/>
                <c:pt idx="0">
                  <c:v>2018</c:v>
                </c:pt>
                <c:pt idx="1">
                  <c:v>2019</c:v>
                </c:pt>
              </c:numCache>
            </c:numRef>
          </c:cat>
          <c:val>
            <c:numRef>
              <c:f>[图表2019.xls]Sheet1!$B$17:$C$17</c:f>
              <c:numCache>
                <c:formatCode>General</c:formatCode>
                <c:ptCount val="2"/>
                <c:pt idx="0">
                  <c:v>2465.33</c:v>
                </c:pt>
                <c:pt idx="1">
                  <c:v>2487.65</c:v>
                </c:pt>
              </c:numCache>
            </c:numRef>
          </c:val>
        </c:ser>
        <c:dLbls>
          <c:showLegendKey val="0"/>
          <c:showVal val="1"/>
          <c:showCatName val="0"/>
          <c:showSerName val="0"/>
          <c:showPercent val="0"/>
          <c:showBubbleSize val="0"/>
        </c:dLbls>
        <c:gapWidth val="219"/>
        <c:overlap val="-27"/>
        <c:axId val="340895564"/>
        <c:axId val="886782166"/>
      </c:barChart>
      <c:catAx>
        <c:axId val="3408955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782166"/>
        <c:crosses val="autoZero"/>
        <c:auto val="1"/>
        <c:lblAlgn val="ctr"/>
        <c:lblOffset val="100"/>
        <c:noMultiLvlLbl val="0"/>
      </c:catAx>
      <c:valAx>
        <c:axId val="8867821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8955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2"/>
              <c:layout>
                <c:manualLayout>
                  <c:x val="0.484295940262321"/>
                  <c:y val="0.3901490378111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59670411142013"/>
                  <c:y val="0.06792942789790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41666666666667"/>
                  <c:y val="0.2025836758661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62360984952142"/>
                  <c:y val="0.183088079860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72916666666667"/>
                  <c:y val="0.03963593658250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[图表2019.xls]Sheet1!$A$7:$A$13</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[图表2019.xls]Sheet1!$B$7:$B$13</c:f>
              <c:numCache>
                <c:formatCode>General</c:formatCode>
                <c:ptCount val="7"/>
                <c:pt idx="0">
                  <c:v>2384.72</c:v>
                </c:pt>
                <c:pt idx="1">
                  <c:v>0</c:v>
                </c:pt>
                <c:pt idx="2">
                  <c:v>0</c:v>
                </c:pt>
                <c:pt idx="3">
                  <c:v>19.68</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38333333333333"/>
          <c:y val="0.701511335012594"/>
          <c:w val="0.723472222222222"/>
          <c:h val="0.2607052896725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[图表2019.xls]Sheet1!$A$7:$A$8</c:f>
              <c:strCache>
                <c:ptCount val="2"/>
                <c:pt idx="0">
                  <c:v>基本支出</c:v>
                </c:pt>
                <c:pt idx="1">
                  <c:v>项目支出</c:v>
                </c:pt>
              </c:strCache>
            </c:strRef>
          </c:cat>
          <c:val>
            <c:numRef>
              <c:f>[图表2019.xls]Sheet1!$B$7:$B$8</c:f>
              <c:numCache>
                <c:formatCode>General</c:formatCode>
                <c:ptCount val="2"/>
                <c:pt idx="0">
                  <c:v>1516.52</c:v>
                </c:pt>
                <c:pt idx="1">
                  <c:v>970.53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[图表2019.xls]Sheet1!$A$7</c:f>
              <c:strCache>
                <c:ptCount val="1"/>
                <c:pt idx="0">
                  <c:v>财政拨款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[图表2019.xls]Sheet1!$B$6:$C$6</c:f>
              <c:numCache>
                <c:formatCode>General</c:formatCode>
                <c:ptCount val="2"/>
                <c:pt idx="0">
                  <c:v>2019</c:v>
                </c:pt>
                <c:pt idx="1">
                  <c:v>2018</c:v>
                </c:pt>
              </c:numCache>
            </c:numRef>
          </c:cat>
          <c:val>
            <c:numRef>
              <c:f>[图表2019.xls]Sheet1!$B$7:$C$7</c:f>
              <c:numCache>
                <c:formatCode>General</c:formatCode>
                <c:ptCount val="2"/>
                <c:pt idx="0">
                  <c:v>2384.72</c:v>
                </c:pt>
                <c:pt idx="1">
                  <c:v>2619.76</c:v>
                </c:pt>
              </c:numCache>
            </c:numRef>
          </c:val>
        </c:ser>
        <c:ser>
          <c:idx val="1"/>
          <c:order val="1"/>
          <c:tx>
            <c:strRef>
              <c:f>[图表2019.xls]Sheet1!$A$8</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[图表2019.xls]Sheet1!$B$6:$C$6</c:f>
              <c:numCache>
                <c:formatCode>General</c:formatCode>
                <c:ptCount val="2"/>
                <c:pt idx="0">
                  <c:v>2019</c:v>
                </c:pt>
                <c:pt idx="1">
                  <c:v>2018</c:v>
                </c:pt>
              </c:numCache>
            </c:numRef>
          </c:cat>
          <c:val>
            <c:numRef>
              <c:f>[图表2019.xls]Sheet1!$B$8:$C$8</c:f>
              <c:numCache>
                <c:formatCode>General</c:formatCode>
                <c:ptCount val="2"/>
                <c:pt idx="0">
                  <c:v>2487.05</c:v>
                </c:pt>
                <c:pt idx="1">
                  <c:v>2464.73</c:v>
                </c:pt>
              </c:numCache>
            </c:numRef>
          </c:val>
        </c:ser>
        <c:dLbls>
          <c:showLegendKey val="0"/>
          <c:showVal val="1"/>
          <c:showCatName val="0"/>
          <c:showSerName val="0"/>
          <c:showPercent val="0"/>
          <c:showBubbleSize val="0"/>
        </c:dLbls>
        <c:gapWidth val="219"/>
        <c:overlap val="-27"/>
        <c:axId val="979251605"/>
        <c:axId val="953403123"/>
      </c:barChart>
      <c:catAx>
        <c:axId val="9792516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403123"/>
        <c:crosses val="autoZero"/>
        <c:auto val="1"/>
        <c:lblAlgn val="ctr"/>
        <c:lblOffset val="100"/>
        <c:noMultiLvlLbl val="0"/>
      </c:catAx>
      <c:valAx>
        <c:axId val="953403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2516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6388888888889"/>
          <c:y val="0.0654648956356736"/>
          <c:w val="0.882"/>
          <c:h val="0.777482605945604"/>
        </c:manualLayout>
      </c:layout>
      <c:barChart>
        <c:barDir val="col"/>
        <c:grouping val="clustered"/>
        <c:varyColors val="0"/>
        <c:ser>
          <c:idx val="0"/>
          <c:order val="0"/>
          <c:tx>
            <c:strRef>
              <c:f>[图表2019.xls]Sheet1!$A$2</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[图表2019.xls]Sheet1!$B$1:$C$1</c:f>
              <c:numCache>
                <c:formatCode>General</c:formatCode>
                <c:ptCount val="2"/>
                <c:pt idx="0">
                  <c:v>2019</c:v>
                </c:pt>
                <c:pt idx="1">
                  <c:v>2018</c:v>
                </c:pt>
              </c:numCache>
            </c:numRef>
          </c:cat>
          <c:val>
            <c:numRef>
              <c:f>[图表2019.xls]Sheet1!$B$2:$C$2</c:f>
              <c:numCache>
                <c:formatCode>General</c:formatCode>
                <c:ptCount val="2"/>
                <c:pt idx="0">
                  <c:v>2487.05</c:v>
                </c:pt>
                <c:pt idx="1">
                  <c:v>2099.07</c:v>
                </c:pt>
              </c:numCache>
            </c:numRef>
          </c:val>
        </c:ser>
        <c:dLbls>
          <c:showLegendKey val="0"/>
          <c:showVal val="1"/>
          <c:showCatName val="0"/>
          <c:showSerName val="0"/>
          <c:showPercent val="0"/>
          <c:showBubbleSize val="0"/>
        </c:dLbls>
        <c:gapWidth val="219"/>
        <c:overlap val="-27"/>
        <c:axId val="351613825"/>
        <c:axId val="670213609"/>
      </c:barChart>
      <c:catAx>
        <c:axId val="3516138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0213609"/>
        <c:crosses val="autoZero"/>
        <c:auto val="1"/>
        <c:lblAlgn val="ctr"/>
        <c:lblOffset val="100"/>
        <c:noMultiLvlLbl val="0"/>
      </c:catAx>
      <c:valAx>
        <c:axId val="67021360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6138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312038811957943"/>
                  <c:y val="-0.09430191340485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94333387967984"/>
                  <c:y val="0.1152175612428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780674627489472"/>
                  <c:y val="0.01099136469718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[图表2019.xls]Sheet1!$A$1:$A$7</c:f>
              <c:strCache>
                <c:ptCount val="7"/>
                <c:pt idx="0">
                  <c:v>一般公共服务（类）</c:v>
                </c:pt>
                <c:pt idx="1">
                  <c:v>教育支出（类）</c:v>
                </c:pt>
                <c:pt idx="2">
                  <c:v>科学技术（类）</c:v>
                </c:pt>
                <c:pt idx="3">
                  <c:v>文化旅游体育与传媒（类）</c:v>
                </c:pt>
                <c:pt idx="4">
                  <c:v>社会保障和就业（类）</c:v>
                </c:pt>
                <c:pt idx="5">
                  <c:v>卫生健康支出</c:v>
                </c:pt>
                <c:pt idx="6">
                  <c:v>住房保障支出</c:v>
                </c:pt>
              </c:strCache>
            </c:strRef>
          </c:cat>
          <c:val>
            <c:numRef>
              <c:f>[图表2019.xls]Sheet1!$B$1:$B$7</c:f>
              <c:numCache>
                <c:formatCode>General</c:formatCode>
                <c:ptCount val="7"/>
                <c:pt idx="0">
                  <c:v>2218.06</c:v>
                </c:pt>
                <c:pt idx="1">
                  <c:v>22.5</c:v>
                </c:pt>
                <c:pt idx="2">
                  <c:v>0</c:v>
                </c:pt>
                <c:pt idx="3">
                  <c:v>0</c:v>
                </c:pt>
                <c:pt idx="4">
                  <c:v>111.96</c:v>
                </c:pt>
                <c:pt idx="5">
                  <c:v>60.24</c:v>
                </c:pt>
                <c:pt idx="6">
                  <c:v>74.29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63333333333333"/>
          <c:y val="0.784313725490196"/>
          <c:w val="0.673472222222222"/>
          <c:h val="0.15553789083200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[图表2019.xls]Sheet1!$A$10:$A$12</c:f>
              <c:strCache>
                <c:ptCount val="3"/>
                <c:pt idx="0">
                  <c:v>公务接待费</c:v>
                </c:pt>
                <c:pt idx="1">
                  <c:v>公务用车运行维护费</c:v>
                </c:pt>
                <c:pt idx="2">
                  <c:v>因公出国境经费</c:v>
                </c:pt>
              </c:strCache>
            </c:strRef>
          </c:cat>
          <c:val>
            <c:numRef>
              <c:f>[图表2019.xls]Sheet1!$B$10:$B$12</c:f>
              <c:numCache>
                <c:formatCode>General</c:formatCode>
                <c:ptCount val="3"/>
                <c:pt idx="0">
                  <c:v>3.6</c:v>
                </c:pt>
                <c:pt idx="1">
                  <c:v>10.55</c:v>
                </c:pt>
                <c:pt idx="2">
                  <c:v>4.24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0</TotalTime>
  <ScaleCrop>false</ScaleCrop>
  <LinksUpToDate>false</LinksUpToDate>
  <CharactersWithSpaces>8536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嫣然浩然妈</cp:lastModifiedBy>
  <cp:lastPrinted>2020-10-10T00:45:00Z</cp:lastPrinted>
  <dcterms:modified xsi:type="dcterms:W3CDTF">2020-10-10T02:14:55Z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