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bookmarkEnd w:id="0"/>
    </w:p>
    <w:p>
      <w:pPr>
        <w:spacing w:line="600" w:lineRule="exact"/>
        <w:jc w:val="center"/>
        <w:outlineLvl w:val="0"/>
        <w:rPr>
          <w:rFonts w:hint="eastAsia" w:ascii="方正小标宋简体" w:hAnsi="宋体" w:eastAsia="方正小标宋简体"/>
          <w:color w:val="000000"/>
          <w:sz w:val="72"/>
          <w:szCs w:val="72"/>
        </w:rPr>
      </w:pPr>
      <w:r>
        <w:rPr>
          <w:rFonts w:hint="eastAsia" w:ascii="方正小标宋简体" w:hAnsi="宋体" w:eastAsia="方正小标宋简体"/>
          <w:color w:val="000000"/>
          <w:sz w:val="72"/>
          <w:szCs w:val="72"/>
        </w:rPr>
        <w:t xml:space="preserve"> </w:t>
      </w:r>
    </w:p>
    <w:p>
      <w:pPr>
        <w:spacing w:line="600" w:lineRule="exact"/>
        <w:jc w:val="center"/>
        <w:outlineLvl w:val="0"/>
        <w:rPr>
          <w:rFonts w:hint="eastAsia" w:ascii="方正小标宋简体" w:hAnsi="宋体" w:eastAsia="方正小标宋简体"/>
          <w:color w:val="000000"/>
          <w:sz w:val="72"/>
          <w:szCs w:val="72"/>
        </w:rPr>
      </w:pPr>
      <w:r>
        <w:rPr>
          <w:rFonts w:hint="eastAsia" w:ascii="方正小标宋简体" w:hAnsi="宋体" w:eastAsia="方正小标宋简体"/>
          <w:color w:val="000000"/>
          <w:sz w:val="72"/>
          <w:szCs w:val="72"/>
        </w:rPr>
        <w:t xml:space="preserve"> </w:t>
      </w:r>
    </w:p>
    <w:p>
      <w:pPr>
        <w:spacing w:line="600" w:lineRule="exact"/>
        <w:jc w:val="center"/>
        <w:outlineLvl w:val="0"/>
        <w:rPr>
          <w:rFonts w:hint="eastAsia" w:ascii="方正小标宋简体" w:hAnsi="宋体" w:eastAsia="方正小标宋简体"/>
          <w:color w:val="000000"/>
          <w:sz w:val="72"/>
          <w:szCs w:val="72"/>
        </w:rPr>
      </w:pPr>
      <w:r>
        <w:rPr>
          <w:rFonts w:hint="eastAsia" w:ascii="方正小标宋简体" w:hAnsi="宋体" w:eastAsia="方正小标宋简体"/>
          <w:color w:val="000000"/>
          <w:sz w:val="72"/>
          <w:szCs w:val="72"/>
        </w:rPr>
        <w:t xml:space="preserve"> </w:t>
      </w:r>
    </w:p>
    <w:p>
      <w:pPr>
        <w:adjustRightInd w:val="0"/>
        <w:snapToGrid w:val="0"/>
        <w:spacing w:line="360" w:lineRule="auto"/>
        <w:jc w:val="center"/>
        <w:outlineLvl w:val="0"/>
        <w:rPr>
          <w:rFonts w:hint="eastAsia" w:ascii="方正小标宋简体" w:hAnsi="宋体" w:eastAsia="方正小标宋简体"/>
          <w:color w:val="000000"/>
          <w:sz w:val="72"/>
          <w:szCs w:val="72"/>
        </w:rPr>
      </w:pPr>
      <w:bookmarkStart w:id="1" w:name="_Toc15377425"/>
      <w:bookmarkEnd w:id="1"/>
      <w:bookmarkStart w:id="2" w:name="_Toc15396475"/>
      <w:bookmarkEnd w:id="2"/>
      <w:bookmarkStart w:id="3" w:name="_Toc15378441"/>
      <w:bookmarkEnd w:id="3"/>
      <w:bookmarkStart w:id="4" w:name="_Toc15396597"/>
      <w:bookmarkEnd w:id="4"/>
      <w:bookmarkStart w:id="5" w:name="_Toc15377193"/>
      <w:r>
        <w:rPr>
          <w:rFonts w:hint="eastAsia" w:ascii="黑体" w:hAnsi="黑体" w:eastAsia="黑体"/>
          <w:color w:val="000000"/>
          <w:sz w:val="72"/>
          <w:szCs w:val="72"/>
        </w:rPr>
        <w:t>201</w:t>
      </w:r>
      <w:bookmarkEnd w:id="5"/>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p>
    <w:p>
      <w:pPr>
        <w:adjustRightInd w:val="0"/>
        <w:snapToGrid w:val="0"/>
        <w:spacing w:line="360" w:lineRule="auto"/>
        <w:jc w:val="center"/>
        <w:outlineLvl w:val="0"/>
        <w:rPr>
          <w:rFonts w:hint="eastAsia" w:ascii="方正小标宋简体" w:hAnsi="宋体" w:eastAsia="方正小标宋简体"/>
          <w:color w:val="000000"/>
          <w:sz w:val="72"/>
          <w:szCs w:val="72"/>
        </w:rPr>
      </w:pPr>
      <w:bookmarkStart w:id="6" w:name="_Toc15396598"/>
      <w:bookmarkEnd w:id="6"/>
      <w:bookmarkStart w:id="7" w:name="_Toc15377426"/>
      <w:bookmarkEnd w:id="7"/>
      <w:bookmarkStart w:id="8" w:name="_Toc15378442"/>
      <w:bookmarkEnd w:id="8"/>
      <w:bookmarkStart w:id="9" w:name="_Toc15396476"/>
      <w:bookmarkEnd w:id="9"/>
      <w:bookmarkStart w:id="10" w:name="_Toc15377194"/>
      <w:r>
        <w:rPr>
          <w:rFonts w:hint="eastAsia" w:ascii="方正小标宋简体" w:hAnsi="宋体" w:eastAsia="方正小标宋简体"/>
          <w:color w:val="000000"/>
          <w:sz w:val="72"/>
          <w:szCs w:val="72"/>
        </w:rPr>
        <w:t>四川省</w:t>
      </w:r>
      <w:bookmarkEnd w:id="10"/>
      <w:bookmarkStart w:id="11" w:name="_Toc15306268"/>
      <w:bookmarkEnd w:id="11"/>
      <w:r>
        <w:rPr>
          <w:rFonts w:hint="eastAsia" w:ascii="方正小标宋简体" w:hAnsi="宋体" w:eastAsia="方正小标宋简体"/>
          <w:color w:val="000000"/>
          <w:sz w:val="72"/>
          <w:szCs w:val="72"/>
        </w:rPr>
        <w:t>巴中市国有资产监督管理委员会部门决算</w:t>
      </w:r>
    </w:p>
    <w:p>
      <w:pPr>
        <w:widowControl/>
        <w:jc w:val="center"/>
        <w:rPr>
          <w:rFonts w:hint="eastAsia" w:ascii="黑体" w:hAnsi="黑体" w:eastAsia="黑体"/>
          <w:color w:val="000000"/>
          <w:sz w:val="48"/>
          <w:szCs w:val="48"/>
        </w:rPr>
      </w:pPr>
      <w:r>
        <w:rPr>
          <w:rFonts w:hint="eastAsia"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hint="eastAsia" w:ascii="黑体" w:hAnsi="黑体" w:eastAsia="黑体"/>
          <w:sz w:val="28"/>
          <w:szCs w:val="28"/>
        </w:rPr>
      </w:pPr>
      <w:r>
        <w:rPr>
          <w:rFonts w:hint="eastAsia" w:ascii="黑体" w:hAnsi="黑体" w:eastAsia="黑体"/>
          <w:sz w:val="28"/>
          <w:szCs w:val="28"/>
        </w:rPr>
        <w:t xml:space="preserve"> </w:t>
      </w:r>
    </w:p>
    <w:p>
      <w:pPr>
        <w:pStyle w:val="6"/>
        <w:rPr>
          <w:rFonts w:hint="eastAsia"/>
        </w:rPr>
      </w:pPr>
      <w:r>
        <w:rPr>
          <w:rFonts w:hint="eastAsia"/>
        </w:rPr>
        <w:t>公开时间：2020年9月3日</w:t>
      </w:r>
    </w:p>
    <w:p>
      <w:pPr>
        <w:rPr>
          <w:rFonts w:hint="eastAsia"/>
        </w:rPr>
      </w:pPr>
      <w:r>
        <w:t xml:space="preserve"> </w:t>
      </w:r>
    </w:p>
    <w:p>
      <w:pPr>
        <w:pStyle w:val="6"/>
        <w:adjustRightInd w:val="0"/>
        <w:snapToGrid w:val="0"/>
        <w:spacing w:before="0" w:line="440" w:lineRule="exact"/>
        <w:jc w:val="left"/>
        <w:rPr>
          <w:sz w:val="24"/>
          <w:szCs w:val="24"/>
        </w:rPr>
      </w:pPr>
      <w:r>
        <w:rPr>
          <w:rFonts w:hint="eastAsia"/>
          <w:sz w:val="24"/>
          <w:szCs w:val="24"/>
        </w:rPr>
        <w:t>第一部分 部门概况</w:t>
      </w:r>
    </w:p>
    <w:p>
      <w:pPr>
        <w:pStyle w:val="7"/>
        <w:adjustRightInd w:val="0"/>
        <w:snapToGrid w:val="0"/>
        <w:spacing w:line="440" w:lineRule="exact"/>
        <w:jc w:val="left"/>
        <w:rPr>
          <w:rFonts w:hint="eastAsia" w:ascii="仿宋" w:hAnsi="仿宋" w:eastAsia="仿宋"/>
          <w:sz w:val="24"/>
          <w:szCs w:val="24"/>
        </w:rPr>
      </w:pPr>
      <w:r>
        <w:rPr>
          <w:rFonts w:hint="eastAsia" w:ascii="宋体" w:hAnsi="宋体"/>
          <w:sz w:val="24"/>
          <w:szCs w:val="24"/>
        </w:rPr>
        <w:t>一、基本职能及主要工作</w:t>
      </w:r>
    </w:p>
    <w:p>
      <w:pPr>
        <w:pStyle w:val="7"/>
        <w:adjustRightInd w:val="0"/>
        <w:snapToGrid w:val="0"/>
        <w:spacing w:line="440" w:lineRule="exact"/>
        <w:jc w:val="left"/>
        <w:rPr>
          <w:rFonts w:hint="eastAsia" w:ascii="仿宋" w:hAnsi="仿宋" w:eastAsia="仿宋"/>
          <w:sz w:val="24"/>
          <w:szCs w:val="24"/>
        </w:rPr>
      </w:pPr>
      <w:r>
        <w:rPr>
          <w:rFonts w:hint="eastAsia" w:ascii="宋体" w:hAnsi="宋体"/>
          <w:sz w:val="24"/>
          <w:szCs w:val="24"/>
        </w:rPr>
        <w:t>二、机构设置</w:t>
      </w:r>
    </w:p>
    <w:p>
      <w:pPr>
        <w:pStyle w:val="6"/>
        <w:adjustRightInd w:val="0"/>
        <w:snapToGrid w:val="0"/>
        <w:spacing w:before="0" w:line="440" w:lineRule="exact"/>
        <w:jc w:val="left"/>
        <w:rPr>
          <w:rFonts w:hint="eastAsia"/>
          <w:sz w:val="24"/>
          <w:szCs w:val="24"/>
        </w:rPr>
      </w:pPr>
      <w:r>
        <w:rPr>
          <w:rFonts w:hint="eastAsia"/>
          <w:sz w:val="24"/>
          <w:szCs w:val="24"/>
        </w:rPr>
        <w:t>第二部分度部门决算情况说明</w:t>
      </w:r>
    </w:p>
    <w:p>
      <w:pPr>
        <w:pStyle w:val="7"/>
        <w:adjustRightInd w:val="0"/>
        <w:snapToGrid w:val="0"/>
        <w:spacing w:line="440" w:lineRule="exact"/>
        <w:jc w:val="left"/>
        <w:rPr>
          <w:rFonts w:hint="eastAsia" w:ascii="仿宋" w:hAnsi="仿宋" w:eastAsia="仿宋"/>
          <w:sz w:val="24"/>
          <w:szCs w:val="24"/>
        </w:rPr>
      </w:pPr>
      <w:r>
        <w:rPr>
          <w:rFonts w:hint="eastAsia" w:ascii="宋体" w:hAnsi="宋体"/>
          <w:sz w:val="24"/>
          <w:szCs w:val="24"/>
        </w:rPr>
        <w:t>一、收入支出决算总体情况说明</w:t>
      </w:r>
    </w:p>
    <w:p>
      <w:pPr>
        <w:pStyle w:val="7"/>
        <w:adjustRightInd w:val="0"/>
        <w:snapToGrid w:val="0"/>
        <w:spacing w:line="440" w:lineRule="exact"/>
        <w:jc w:val="left"/>
        <w:rPr>
          <w:rFonts w:hint="eastAsia" w:ascii="仿宋" w:hAnsi="仿宋" w:eastAsia="仿宋"/>
          <w:sz w:val="24"/>
          <w:szCs w:val="24"/>
        </w:rPr>
      </w:pPr>
      <w:r>
        <w:rPr>
          <w:rFonts w:hint="eastAsia" w:ascii="宋体" w:hAnsi="宋体"/>
          <w:sz w:val="24"/>
          <w:szCs w:val="24"/>
        </w:rPr>
        <w:t>二、收入决算情况说明</w:t>
      </w:r>
    </w:p>
    <w:p>
      <w:pPr>
        <w:pStyle w:val="7"/>
        <w:adjustRightInd w:val="0"/>
        <w:snapToGrid w:val="0"/>
        <w:spacing w:line="440" w:lineRule="exact"/>
        <w:jc w:val="left"/>
        <w:rPr>
          <w:rFonts w:hint="eastAsia" w:ascii="仿宋" w:hAnsi="仿宋" w:eastAsia="仿宋"/>
          <w:sz w:val="24"/>
          <w:szCs w:val="24"/>
        </w:rPr>
      </w:pPr>
      <w:r>
        <w:rPr>
          <w:rFonts w:hint="eastAsia" w:ascii="宋体" w:hAnsi="宋体"/>
          <w:sz w:val="24"/>
          <w:szCs w:val="24"/>
        </w:rPr>
        <w:t>三、支出决算情况说明</w:t>
      </w:r>
    </w:p>
    <w:p>
      <w:pPr>
        <w:pStyle w:val="7"/>
        <w:adjustRightInd w:val="0"/>
        <w:snapToGrid w:val="0"/>
        <w:spacing w:line="440" w:lineRule="exact"/>
        <w:jc w:val="left"/>
        <w:rPr>
          <w:rFonts w:hint="eastAsia" w:ascii="仿宋" w:hAnsi="仿宋" w:eastAsia="仿宋"/>
          <w:sz w:val="24"/>
          <w:szCs w:val="24"/>
        </w:rPr>
      </w:pPr>
      <w:r>
        <w:rPr>
          <w:rFonts w:hint="eastAsia" w:ascii="宋体" w:hAnsi="宋体"/>
          <w:sz w:val="24"/>
          <w:szCs w:val="24"/>
        </w:rPr>
        <w:t>四、财政拨款收入支出决算总体情况说明</w:t>
      </w:r>
    </w:p>
    <w:p>
      <w:pPr>
        <w:pStyle w:val="7"/>
        <w:adjustRightInd w:val="0"/>
        <w:snapToGrid w:val="0"/>
        <w:spacing w:line="440" w:lineRule="exact"/>
        <w:jc w:val="left"/>
        <w:rPr>
          <w:rFonts w:hint="eastAsia" w:ascii="仿宋" w:hAnsi="仿宋" w:eastAsia="仿宋"/>
          <w:sz w:val="24"/>
          <w:szCs w:val="24"/>
        </w:rPr>
      </w:pPr>
      <w:r>
        <w:rPr>
          <w:rFonts w:hint="eastAsia" w:ascii="宋体" w:hAnsi="宋体"/>
          <w:sz w:val="24"/>
          <w:szCs w:val="24"/>
        </w:rPr>
        <w:t>五、一般公共预算财政拨款支出决算情况说明</w:t>
      </w:r>
    </w:p>
    <w:p>
      <w:pPr>
        <w:pStyle w:val="7"/>
        <w:adjustRightInd w:val="0"/>
        <w:snapToGrid w:val="0"/>
        <w:spacing w:line="440" w:lineRule="exact"/>
        <w:jc w:val="left"/>
        <w:rPr>
          <w:rFonts w:hint="eastAsia" w:ascii="仿宋" w:hAnsi="仿宋" w:eastAsia="仿宋"/>
          <w:sz w:val="24"/>
          <w:szCs w:val="24"/>
        </w:rPr>
      </w:pPr>
      <w:r>
        <w:rPr>
          <w:rFonts w:hint="eastAsia" w:ascii="宋体" w:hAnsi="宋体"/>
          <w:sz w:val="24"/>
          <w:szCs w:val="24"/>
        </w:rPr>
        <w:t>六、一般公共预算财政拨款基本支出决算情况说明</w:t>
      </w:r>
    </w:p>
    <w:p>
      <w:pPr>
        <w:pStyle w:val="7"/>
        <w:adjustRightInd w:val="0"/>
        <w:snapToGrid w:val="0"/>
        <w:spacing w:line="440" w:lineRule="exact"/>
        <w:jc w:val="left"/>
        <w:rPr>
          <w:rFonts w:hint="eastAsia" w:ascii="仿宋" w:hAnsi="仿宋" w:eastAsia="仿宋"/>
          <w:sz w:val="24"/>
          <w:szCs w:val="24"/>
        </w:rPr>
      </w:pPr>
      <w:r>
        <w:rPr>
          <w:rFonts w:hint="eastAsia" w:ascii="宋体" w:hAnsi="宋体"/>
          <w:sz w:val="24"/>
          <w:szCs w:val="24"/>
        </w:rPr>
        <w:t>七、</w:t>
      </w:r>
      <w:r>
        <w:rPr>
          <w:sz w:val="24"/>
          <w:szCs w:val="24"/>
        </w:rPr>
        <w:t>“</w:t>
      </w:r>
      <w:r>
        <w:rPr>
          <w:rFonts w:hint="eastAsia" w:ascii="宋体" w:hAnsi="宋体"/>
          <w:sz w:val="24"/>
          <w:szCs w:val="24"/>
        </w:rPr>
        <w:t>三公</w:t>
      </w:r>
      <w:r>
        <w:rPr>
          <w:rFonts w:hint="eastAsia"/>
          <w:sz w:val="24"/>
          <w:szCs w:val="24"/>
        </w:rPr>
        <w:t>”经费财政拨款支出决算情况说明</w:t>
      </w:r>
    </w:p>
    <w:p>
      <w:pPr>
        <w:pStyle w:val="7"/>
        <w:adjustRightInd w:val="0"/>
        <w:snapToGrid w:val="0"/>
        <w:spacing w:line="440" w:lineRule="exact"/>
        <w:jc w:val="left"/>
        <w:rPr>
          <w:rFonts w:hint="eastAsia" w:ascii="仿宋" w:hAnsi="仿宋" w:eastAsia="仿宋"/>
          <w:sz w:val="24"/>
          <w:szCs w:val="24"/>
        </w:rPr>
      </w:pPr>
      <w:r>
        <w:rPr>
          <w:rFonts w:hint="eastAsia" w:ascii="宋体" w:hAnsi="宋体"/>
          <w:sz w:val="24"/>
          <w:szCs w:val="24"/>
        </w:rPr>
        <w:t>八、政府性基金预算支出决算情况说明</w:t>
      </w:r>
    </w:p>
    <w:p>
      <w:pPr>
        <w:pStyle w:val="7"/>
        <w:adjustRightInd w:val="0"/>
        <w:snapToGrid w:val="0"/>
        <w:spacing w:line="440" w:lineRule="exact"/>
        <w:ind w:leftChars="0"/>
        <w:jc w:val="left"/>
        <w:rPr>
          <w:rFonts w:hint="eastAsia" w:ascii="仿宋" w:hAnsi="仿宋" w:eastAsia="仿宋"/>
          <w:sz w:val="24"/>
          <w:szCs w:val="24"/>
        </w:rPr>
      </w:pPr>
      <w:r>
        <w:rPr>
          <w:rFonts w:hint="eastAsia" w:ascii="仿宋" w:hAnsi="仿宋" w:eastAsia="仿宋"/>
          <w:sz w:val="24"/>
          <w:szCs w:val="24"/>
        </w:rPr>
        <w:t>九、</w:t>
      </w:r>
      <w:r>
        <w:rPr>
          <w:sz w:val="24"/>
          <w:szCs w:val="24"/>
        </w:rPr>
        <w:t xml:space="preserve"> </w:t>
      </w:r>
      <w:r>
        <w:rPr>
          <w:rFonts w:ascii="宋体" w:hAnsi="宋体"/>
          <w:sz w:val="24"/>
          <w:szCs w:val="24"/>
        </w:rPr>
        <w:t>国</w:t>
      </w:r>
      <w:r>
        <w:rPr>
          <w:rFonts w:hint="eastAsia" w:ascii="宋体" w:hAnsi="宋体"/>
          <w:sz w:val="24"/>
          <w:szCs w:val="24"/>
        </w:rPr>
        <w:t>有资本经营预算支出决算情况说明</w:t>
      </w:r>
    </w:p>
    <w:p>
      <w:pPr>
        <w:adjustRightInd w:val="0"/>
        <w:snapToGrid w:val="0"/>
        <w:spacing w:line="440" w:lineRule="exact"/>
        <w:ind w:firstLine="480" w:firstLineChars="200"/>
        <w:jc w:val="left"/>
        <w:rPr>
          <w:rFonts w:hint="eastAsia" w:ascii="仿宋" w:hAnsi="仿宋" w:eastAsia="仿宋"/>
          <w:sz w:val="24"/>
          <w:szCs w:val="24"/>
        </w:rPr>
      </w:pPr>
      <w:r>
        <w:rPr>
          <w:rStyle w:val="18"/>
          <w:rFonts w:hint="eastAsia" w:ascii="仿宋" w:hAnsi="仿宋" w:eastAsia="仿宋"/>
          <w:color w:val="000000"/>
          <w:sz w:val="24"/>
          <w:szCs w:val="24"/>
        </w:rPr>
        <w:t>十、</w:t>
      </w:r>
      <w:r>
        <w:rPr>
          <w:rFonts w:hint="eastAsia" w:ascii="宋体" w:hAnsi="宋体"/>
          <w:sz w:val="24"/>
          <w:szCs w:val="24"/>
        </w:rPr>
        <w:t>其他重要事项的情况说明</w:t>
      </w:r>
      <w:r>
        <w:rPr>
          <w:rFonts w:hint="eastAsia" w:ascii="仿宋" w:hAnsi="仿宋" w:eastAsia="仿宋"/>
          <w:sz w:val="24"/>
          <w:szCs w:val="24"/>
        </w:rPr>
        <w:tab/>
      </w:r>
    </w:p>
    <w:p>
      <w:pPr>
        <w:pStyle w:val="6"/>
        <w:adjustRightInd w:val="0"/>
        <w:snapToGrid w:val="0"/>
        <w:spacing w:before="0" w:line="440" w:lineRule="exact"/>
        <w:jc w:val="left"/>
        <w:rPr>
          <w:rFonts w:hint="eastAsia"/>
          <w:sz w:val="24"/>
          <w:szCs w:val="24"/>
        </w:rPr>
      </w:pPr>
    </w:p>
    <w:p>
      <w:pPr>
        <w:pStyle w:val="6"/>
        <w:adjustRightInd w:val="0"/>
        <w:snapToGrid w:val="0"/>
        <w:spacing w:before="0" w:line="440" w:lineRule="exact"/>
        <w:jc w:val="left"/>
        <w:rPr>
          <w:rFonts w:hint="eastAsia"/>
          <w:sz w:val="24"/>
          <w:szCs w:val="24"/>
        </w:rPr>
      </w:pPr>
    </w:p>
    <w:p>
      <w:pPr>
        <w:pStyle w:val="6"/>
        <w:adjustRightInd w:val="0"/>
        <w:snapToGrid w:val="0"/>
        <w:spacing w:before="0" w:line="440" w:lineRule="exact"/>
        <w:jc w:val="left"/>
        <w:rPr>
          <w:rFonts w:hint="eastAsia"/>
          <w:sz w:val="24"/>
          <w:szCs w:val="24"/>
        </w:rPr>
      </w:pPr>
      <w:r>
        <w:rPr>
          <w:rFonts w:hint="eastAsia"/>
          <w:sz w:val="24"/>
          <w:szCs w:val="24"/>
        </w:rPr>
        <w:t>第三部分 名词解释</w:t>
      </w:r>
    </w:p>
    <w:p>
      <w:pPr>
        <w:pStyle w:val="6"/>
        <w:adjustRightInd w:val="0"/>
        <w:snapToGrid w:val="0"/>
        <w:spacing w:before="0" w:line="440" w:lineRule="exact"/>
        <w:jc w:val="left"/>
        <w:rPr>
          <w:rFonts w:hint="eastAsia"/>
          <w:sz w:val="24"/>
          <w:szCs w:val="24"/>
        </w:rPr>
      </w:pPr>
      <w:r>
        <w:rPr>
          <w:rFonts w:hint="eastAsia"/>
          <w:sz w:val="24"/>
          <w:szCs w:val="24"/>
        </w:rPr>
        <w:t>第四部分 附件</w:t>
      </w:r>
    </w:p>
    <w:p>
      <w:pPr>
        <w:pStyle w:val="7"/>
        <w:adjustRightInd w:val="0"/>
        <w:snapToGrid w:val="0"/>
        <w:spacing w:line="440" w:lineRule="exact"/>
        <w:jc w:val="left"/>
        <w:rPr>
          <w:rFonts w:hint="eastAsia" w:ascii="仿宋" w:hAnsi="仿宋" w:eastAsia="仿宋"/>
          <w:sz w:val="24"/>
          <w:szCs w:val="24"/>
        </w:rPr>
      </w:pPr>
      <w:r>
        <w:rPr>
          <w:rFonts w:hint="eastAsia" w:ascii="宋体" w:hAnsi="宋体"/>
          <w:sz w:val="24"/>
          <w:szCs w:val="24"/>
        </w:rPr>
        <w:t>附件</w:t>
      </w:r>
      <w:r>
        <w:rPr>
          <w:sz w:val="24"/>
          <w:szCs w:val="24"/>
        </w:rPr>
        <w:t>1</w:t>
      </w:r>
    </w:p>
    <w:p>
      <w:pPr>
        <w:pStyle w:val="7"/>
        <w:adjustRightInd w:val="0"/>
        <w:snapToGrid w:val="0"/>
        <w:spacing w:line="440" w:lineRule="exact"/>
        <w:jc w:val="left"/>
        <w:rPr>
          <w:rFonts w:hint="eastAsia" w:ascii="仿宋" w:hAnsi="仿宋" w:eastAsia="仿宋"/>
          <w:sz w:val="24"/>
          <w:szCs w:val="24"/>
        </w:rPr>
      </w:pPr>
      <w:r>
        <w:rPr>
          <w:rFonts w:hint="eastAsia" w:ascii="宋体" w:hAnsi="宋体"/>
          <w:sz w:val="24"/>
          <w:szCs w:val="24"/>
        </w:rPr>
        <w:t>附件</w:t>
      </w:r>
      <w:r>
        <w:rPr>
          <w:sz w:val="24"/>
          <w:szCs w:val="24"/>
        </w:rPr>
        <w:t>2</w:t>
      </w:r>
    </w:p>
    <w:p>
      <w:pPr>
        <w:pStyle w:val="6"/>
        <w:adjustRightInd w:val="0"/>
        <w:snapToGrid w:val="0"/>
        <w:spacing w:before="0" w:line="440" w:lineRule="exact"/>
        <w:jc w:val="left"/>
        <w:rPr>
          <w:rFonts w:hint="eastAsia"/>
          <w:sz w:val="24"/>
          <w:szCs w:val="24"/>
        </w:rPr>
      </w:pPr>
      <w:r>
        <w:rPr>
          <w:rFonts w:hint="eastAsia"/>
          <w:sz w:val="24"/>
          <w:szCs w:val="24"/>
        </w:rPr>
        <w:t>第五部分 附表</w:t>
      </w:r>
    </w:p>
    <w:p>
      <w:pPr>
        <w:pStyle w:val="7"/>
        <w:adjustRightInd w:val="0"/>
        <w:snapToGrid w:val="0"/>
        <w:spacing w:line="440" w:lineRule="exact"/>
        <w:jc w:val="left"/>
        <w:rPr>
          <w:rFonts w:hint="eastAsia" w:ascii="仿宋" w:hAnsi="仿宋" w:eastAsia="仿宋"/>
          <w:sz w:val="24"/>
          <w:szCs w:val="24"/>
        </w:rPr>
      </w:pPr>
      <w:r>
        <w:rPr>
          <w:rFonts w:hint="eastAsia" w:ascii="仿宋" w:hAnsi="仿宋" w:eastAsia="仿宋"/>
          <w:sz w:val="24"/>
          <w:szCs w:val="24"/>
        </w:rPr>
        <w:t>一、</w:t>
      </w:r>
      <w:r>
        <w:rPr>
          <w:rFonts w:hint="eastAsia" w:ascii="宋体" w:hAnsi="宋体"/>
          <w:sz w:val="24"/>
          <w:szCs w:val="24"/>
        </w:rPr>
        <w:t>收入支出决算总表</w:t>
      </w:r>
    </w:p>
    <w:p>
      <w:pPr>
        <w:pStyle w:val="7"/>
        <w:adjustRightInd w:val="0"/>
        <w:snapToGrid w:val="0"/>
        <w:spacing w:line="440" w:lineRule="exact"/>
        <w:jc w:val="left"/>
        <w:rPr>
          <w:rFonts w:hint="eastAsia" w:ascii="仿宋" w:hAnsi="仿宋" w:eastAsia="仿宋"/>
          <w:sz w:val="24"/>
          <w:szCs w:val="24"/>
        </w:rPr>
      </w:pPr>
      <w:r>
        <w:rPr>
          <w:rFonts w:hint="eastAsia" w:ascii="仿宋" w:hAnsi="仿宋" w:eastAsia="仿宋"/>
          <w:sz w:val="24"/>
          <w:szCs w:val="24"/>
        </w:rPr>
        <w:t>二、</w:t>
      </w:r>
      <w:r>
        <w:rPr>
          <w:rFonts w:hint="eastAsia" w:ascii="宋体" w:hAnsi="宋体"/>
          <w:sz w:val="24"/>
          <w:szCs w:val="24"/>
        </w:rPr>
        <w:t>收入</w:t>
      </w:r>
      <w:r>
        <w:rPr>
          <w:rFonts w:hint="eastAsia" w:ascii="仿宋" w:hAnsi="仿宋" w:eastAsia="仿宋"/>
          <w:sz w:val="24"/>
          <w:szCs w:val="24"/>
        </w:rPr>
        <w:t>决算</w:t>
      </w:r>
      <w:r>
        <w:rPr>
          <w:rFonts w:hint="eastAsia" w:ascii="宋体" w:hAnsi="宋体"/>
          <w:sz w:val="24"/>
          <w:szCs w:val="24"/>
        </w:rPr>
        <w:t>表</w:t>
      </w:r>
    </w:p>
    <w:p>
      <w:pPr>
        <w:pStyle w:val="7"/>
        <w:adjustRightInd w:val="0"/>
        <w:snapToGrid w:val="0"/>
        <w:spacing w:line="440" w:lineRule="exact"/>
        <w:jc w:val="left"/>
        <w:rPr>
          <w:rFonts w:hint="eastAsia" w:ascii="仿宋" w:hAnsi="仿宋" w:eastAsia="仿宋"/>
          <w:sz w:val="24"/>
          <w:szCs w:val="24"/>
        </w:rPr>
      </w:pPr>
      <w:r>
        <w:rPr>
          <w:rFonts w:hint="eastAsia" w:ascii="仿宋" w:hAnsi="仿宋" w:eastAsia="仿宋"/>
          <w:sz w:val="24"/>
          <w:szCs w:val="24"/>
        </w:rPr>
        <w:t>三、</w:t>
      </w:r>
      <w:r>
        <w:rPr>
          <w:rFonts w:hint="eastAsia" w:ascii="宋体" w:hAnsi="宋体"/>
          <w:sz w:val="24"/>
          <w:szCs w:val="24"/>
        </w:rPr>
        <w:t>支出</w:t>
      </w:r>
      <w:r>
        <w:rPr>
          <w:rFonts w:hint="eastAsia" w:ascii="仿宋" w:hAnsi="仿宋" w:eastAsia="仿宋"/>
          <w:sz w:val="24"/>
          <w:szCs w:val="24"/>
        </w:rPr>
        <w:t>决算</w:t>
      </w:r>
      <w:r>
        <w:rPr>
          <w:rFonts w:hint="eastAsia" w:ascii="宋体" w:hAnsi="宋体"/>
          <w:sz w:val="24"/>
          <w:szCs w:val="24"/>
        </w:rPr>
        <w:t>表</w:t>
      </w:r>
    </w:p>
    <w:p>
      <w:pPr>
        <w:pStyle w:val="7"/>
        <w:adjustRightInd w:val="0"/>
        <w:snapToGrid w:val="0"/>
        <w:spacing w:line="440" w:lineRule="exact"/>
        <w:jc w:val="left"/>
        <w:rPr>
          <w:rFonts w:hint="eastAsia" w:ascii="仿宋" w:hAnsi="仿宋" w:eastAsia="仿宋"/>
          <w:sz w:val="24"/>
          <w:szCs w:val="24"/>
        </w:rPr>
      </w:pPr>
      <w:r>
        <w:rPr>
          <w:rFonts w:hint="eastAsia" w:ascii="仿宋" w:hAnsi="仿宋" w:eastAsia="仿宋"/>
          <w:sz w:val="24"/>
          <w:szCs w:val="24"/>
        </w:rPr>
        <w:t>四、</w:t>
      </w:r>
      <w:r>
        <w:rPr>
          <w:rFonts w:hint="eastAsia" w:ascii="宋体" w:hAnsi="宋体"/>
          <w:sz w:val="24"/>
          <w:szCs w:val="24"/>
        </w:rPr>
        <w:t>财政拨款收入支出决算总表</w:t>
      </w:r>
    </w:p>
    <w:p>
      <w:pPr>
        <w:pStyle w:val="7"/>
        <w:adjustRightInd w:val="0"/>
        <w:snapToGrid w:val="0"/>
        <w:spacing w:line="440" w:lineRule="exact"/>
        <w:jc w:val="left"/>
        <w:rPr>
          <w:rFonts w:hint="eastAsia" w:ascii="仿宋" w:hAnsi="仿宋" w:eastAsia="仿宋"/>
          <w:sz w:val="24"/>
          <w:szCs w:val="24"/>
        </w:rPr>
      </w:pPr>
      <w:r>
        <w:rPr>
          <w:rFonts w:hint="eastAsia" w:ascii="仿宋" w:hAnsi="仿宋" w:eastAsia="仿宋"/>
          <w:sz w:val="24"/>
          <w:szCs w:val="24"/>
        </w:rPr>
        <w:t>五、财政拨款支出决算明细表</w:t>
      </w:r>
    </w:p>
    <w:p>
      <w:pPr>
        <w:pStyle w:val="7"/>
        <w:adjustRightInd w:val="0"/>
        <w:snapToGrid w:val="0"/>
        <w:spacing w:line="440" w:lineRule="exact"/>
        <w:jc w:val="left"/>
        <w:rPr>
          <w:rFonts w:hint="eastAsia" w:ascii="仿宋" w:hAnsi="仿宋" w:eastAsia="仿宋"/>
          <w:sz w:val="24"/>
          <w:szCs w:val="24"/>
        </w:rPr>
      </w:pPr>
      <w:r>
        <w:rPr>
          <w:rFonts w:hint="eastAsia" w:ascii="仿宋" w:hAnsi="仿宋" w:eastAsia="仿宋"/>
          <w:sz w:val="24"/>
          <w:szCs w:val="24"/>
        </w:rPr>
        <w:t>六、</w:t>
      </w:r>
      <w:r>
        <w:rPr>
          <w:rFonts w:hint="eastAsia" w:ascii="宋体" w:hAnsi="宋体"/>
          <w:sz w:val="24"/>
          <w:szCs w:val="24"/>
        </w:rPr>
        <w:t>一般公共预算财政拨款支出决算表</w:t>
      </w:r>
    </w:p>
    <w:p>
      <w:pPr>
        <w:pStyle w:val="7"/>
        <w:adjustRightInd w:val="0"/>
        <w:snapToGrid w:val="0"/>
        <w:spacing w:line="440" w:lineRule="exact"/>
        <w:jc w:val="left"/>
        <w:rPr>
          <w:rFonts w:hint="eastAsia" w:ascii="仿宋" w:hAnsi="仿宋" w:eastAsia="仿宋"/>
          <w:sz w:val="24"/>
          <w:szCs w:val="24"/>
        </w:rPr>
      </w:pPr>
      <w:r>
        <w:rPr>
          <w:rFonts w:hint="eastAsia" w:ascii="仿宋" w:hAnsi="仿宋" w:eastAsia="仿宋"/>
          <w:sz w:val="24"/>
          <w:szCs w:val="24"/>
        </w:rPr>
        <w:t>七、</w:t>
      </w:r>
      <w:r>
        <w:rPr>
          <w:rFonts w:hint="eastAsia" w:ascii="宋体" w:hAnsi="宋体"/>
          <w:sz w:val="24"/>
          <w:szCs w:val="24"/>
        </w:rPr>
        <w:t>一般公共预算财政拨款支出决算明细表</w:t>
      </w:r>
    </w:p>
    <w:p>
      <w:pPr>
        <w:pStyle w:val="7"/>
        <w:adjustRightInd w:val="0"/>
        <w:snapToGrid w:val="0"/>
        <w:spacing w:line="440" w:lineRule="exact"/>
        <w:jc w:val="left"/>
        <w:rPr>
          <w:rFonts w:hint="eastAsia" w:ascii="仿宋" w:hAnsi="仿宋" w:eastAsia="仿宋"/>
          <w:sz w:val="24"/>
          <w:szCs w:val="24"/>
        </w:rPr>
      </w:pPr>
      <w:r>
        <w:rPr>
          <w:rFonts w:hint="eastAsia" w:ascii="仿宋" w:hAnsi="仿宋" w:eastAsia="仿宋"/>
          <w:sz w:val="24"/>
          <w:szCs w:val="24"/>
        </w:rPr>
        <w:t>八、</w:t>
      </w:r>
      <w:r>
        <w:rPr>
          <w:rFonts w:hint="eastAsia" w:ascii="宋体" w:hAnsi="宋体"/>
          <w:sz w:val="24"/>
          <w:szCs w:val="24"/>
        </w:rPr>
        <w:t>一般公共预算财政拨款基本支出决算表</w:t>
      </w:r>
    </w:p>
    <w:p>
      <w:pPr>
        <w:pStyle w:val="7"/>
        <w:adjustRightInd w:val="0"/>
        <w:snapToGrid w:val="0"/>
        <w:spacing w:line="440" w:lineRule="exact"/>
        <w:jc w:val="left"/>
        <w:rPr>
          <w:rFonts w:hint="eastAsia" w:ascii="仿宋" w:hAnsi="仿宋" w:eastAsia="仿宋"/>
          <w:sz w:val="24"/>
          <w:szCs w:val="24"/>
        </w:rPr>
      </w:pPr>
      <w:r>
        <w:rPr>
          <w:rFonts w:hint="eastAsia" w:ascii="仿宋" w:hAnsi="仿宋" w:eastAsia="仿宋"/>
          <w:sz w:val="24"/>
          <w:szCs w:val="24"/>
        </w:rPr>
        <w:t>九、</w:t>
      </w:r>
      <w:r>
        <w:rPr>
          <w:rFonts w:hint="eastAsia" w:ascii="宋体" w:hAnsi="宋体"/>
          <w:sz w:val="24"/>
          <w:szCs w:val="24"/>
        </w:rPr>
        <w:t>一般公共预算财政拨款项目支出决算表</w:t>
      </w:r>
    </w:p>
    <w:p>
      <w:pPr>
        <w:pStyle w:val="7"/>
        <w:adjustRightInd w:val="0"/>
        <w:snapToGrid w:val="0"/>
        <w:spacing w:line="440" w:lineRule="exact"/>
        <w:jc w:val="left"/>
        <w:rPr>
          <w:rFonts w:hint="eastAsia" w:ascii="仿宋" w:hAnsi="仿宋" w:eastAsia="仿宋"/>
          <w:sz w:val="24"/>
          <w:szCs w:val="24"/>
        </w:rPr>
      </w:pPr>
      <w:r>
        <w:rPr>
          <w:rFonts w:hint="eastAsia" w:ascii="仿宋" w:hAnsi="仿宋" w:eastAsia="仿宋"/>
          <w:sz w:val="24"/>
          <w:szCs w:val="24"/>
        </w:rPr>
        <w:t>十、</w:t>
      </w:r>
      <w:r>
        <w:rPr>
          <w:rFonts w:hint="eastAsia" w:ascii="宋体" w:hAnsi="宋体"/>
          <w:sz w:val="24"/>
          <w:szCs w:val="24"/>
        </w:rPr>
        <w:t>一般公共预算财政拨款</w:t>
      </w:r>
      <w:r>
        <w:rPr>
          <w:rFonts w:hint="eastAsia"/>
          <w:sz w:val="24"/>
          <w:szCs w:val="24"/>
        </w:rPr>
        <w:t>“三公”经费支出决算表</w:t>
      </w:r>
    </w:p>
    <w:p>
      <w:pPr>
        <w:pStyle w:val="7"/>
        <w:adjustRightInd w:val="0"/>
        <w:snapToGrid w:val="0"/>
        <w:spacing w:line="440" w:lineRule="exact"/>
        <w:jc w:val="left"/>
        <w:rPr>
          <w:rFonts w:hint="eastAsia" w:ascii="仿宋" w:hAnsi="仿宋" w:eastAsia="仿宋"/>
          <w:sz w:val="24"/>
          <w:szCs w:val="24"/>
        </w:rPr>
      </w:pPr>
      <w:r>
        <w:rPr>
          <w:rFonts w:hint="eastAsia" w:ascii="仿宋" w:hAnsi="仿宋" w:eastAsia="仿宋"/>
          <w:sz w:val="24"/>
          <w:szCs w:val="24"/>
        </w:rPr>
        <w:t>十一、</w:t>
      </w:r>
      <w:r>
        <w:rPr>
          <w:rFonts w:hint="eastAsia" w:ascii="宋体" w:hAnsi="宋体"/>
          <w:sz w:val="24"/>
          <w:szCs w:val="24"/>
        </w:rPr>
        <w:t>政府性基金预算财政拨款收入支出决算表</w:t>
      </w:r>
    </w:p>
    <w:p>
      <w:pPr>
        <w:pStyle w:val="7"/>
        <w:adjustRightInd w:val="0"/>
        <w:snapToGrid w:val="0"/>
        <w:spacing w:line="440" w:lineRule="exact"/>
        <w:jc w:val="left"/>
        <w:rPr>
          <w:rFonts w:hint="eastAsia" w:ascii="仿宋" w:hAnsi="仿宋" w:eastAsia="仿宋"/>
          <w:sz w:val="24"/>
          <w:szCs w:val="24"/>
        </w:rPr>
      </w:pPr>
      <w:r>
        <w:rPr>
          <w:rFonts w:hint="eastAsia" w:ascii="仿宋" w:hAnsi="仿宋" w:eastAsia="仿宋"/>
          <w:sz w:val="24"/>
          <w:szCs w:val="24"/>
        </w:rPr>
        <w:t>十二、</w:t>
      </w:r>
      <w:r>
        <w:rPr>
          <w:rFonts w:hint="eastAsia" w:ascii="宋体" w:hAnsi="宋体"/>
          <w:sz w:val="24"/>
          <w:szCs w:val="24"/>
        </w:rPr>
        <w:t>政府性基金预算财政拨款</w:t>
      </w:r>
      <w:r>
        <w:rPr>
          <w:rFonts w:hint="eastAsia"/>
          <w:sz w:val="24"/>
          <w:szCs w:val="24"/>
        </w:rPr>
        <w:t>“三公”经费支出决算表</w:t>
      </w:r>
    </w:p>
    <w:p>
      <w:pPr>
        <w:pStyle w:val="7"/>
        <w:adjustRightInd w:val="0"/>
        <w:snapToGrid w:val="0"/>
        <w:spacing w:line="440" w:lineRule="exact"/>
        <w:jc w:val="left"/>
        <w:rPr>
          <w:rFonts w:hint="eastAsia" w:ascii="仿宋" w:hAnsi="仿宋" w:eastAsia="仿宋"/>
          <w:sz w:val="24"/>
          <w:szCs w:val="24"/>
        </w:rPr>
      </w:pPr>
      <w:r>
        <w:rPr>
          <w:rFonts w:hint="eastAsia" w:ascii="仿宋" w:hAnsi="仿宋" w:eastAsia="仿宋"/>
          <w:sz w:val="24"/>
          <w:szCs w:val="24"/>
        </w:rPr>
        <w:t>十三、</w:t>
      </w:r>
      <w:r>
        <w:rPr>
          <w:rFonts w:hint="eastAsia" w:ascii="宋体" w:hAnsi="宋体"/>
          <w:sz w:val="24"/>
          <w:szCs w:val="24"/>
        </w:rPr>
        <w:t>国有资本经营预算支出决算表</w:t>
      </w:r>
    </w:p>
    <w:p>
      <w:pPr>
        <w:widowControl/>
        <w:adjustRightInd w:val="0"/>
        <w:snapToGrid w:val="0"/>
        <w:spacing w:line="440" w:lineRule="exact"/>
        <w:ind w:firstLine="1320" w:firstLineChars="550"/>
        <w:jc w:val="left"/>
        <w:rPr>
          <w:rFonts w:hint="eastAsia" w:ascii="仿宋" w:hAnsi="仿宋" w:eastAsia="仿宋"/>
          <w:color w:val="FF0000"/>
          <w:sz w:val="24"/>
          <w:szCs w:val="24"/>
        </w:rPr>
      </w:pPr>
      <w:r>
        <w:rPr>
          <w:rFonts w:hint="eastAsia" w:ascii="仿宋" w:hAnsi="仿宋" w:eastAsia="仿宋"/>
          <w:color w:val="FF0000"/>
          <w:sz w:val="24"/>
          <w:szCs w:val="24"/>
        </w:rPr>
        <w:t>(注：请部门根据实际注明页码)</w:t>
      </w:r>
    </w:p>
    <w:p>
      <w:pPr>
        <w:widowControl/>
        <w:spacing w:line="440" w:lineRule="exact"/>
        <w:jc w:val="left"/>
        <w:rPr>
          <w:rFonts w:hint="eastAsia" w:ascii="仿宋" w:hAnsi="仿宋" w:eastAsia="仿宋"/>
          <w:kern w:val="44"/>
          <w:sz w:val="24"/>
          <w:szCs w:val="24"/>
        </w:rPr>
      </w:pPr>
      <w:bookmarkStart w:id="12" w:name="_Toc15377196"/>
      <w:bookmarkEnd w:id="12"/>
      <w:bookmarkStart w:id="13" w:name="_Toc15396599"/>
      <w:r>
        <w:rPr>
          <w:rFonts w:hint="eastAsia" w:ascii="仿宋" w:hAnsi="仿宋" w:eastAsia="仿宋"/>
          <w:b/>
          <w:bCs/>
          <w:sz w:val="24"/>
          <w:szCs w:val="24"/>
        </w:rPr>
        <w:br w:type="page"/>
      </w:r>
      <w:bookmarkEnd w:id="13"/>
    </w:p>
    <w:p>
      <w:pPr>
        <w:pStyle w:val="3"/>
        <w:jc w:val="center"/>
        <w:rPr>
          <w:rStyle w:val="20"/>
          <w:rFonts w:hint="eastAsia" w:ascii="黑体" w:hAnsi="黑体" w:eastAsia="黑体"/>
          <w:b/>
          <w:bCs/>
        </w:rPr>
      </w:pPr>
      <w:r>
        <w:rPr>
          <w:rFonts w:hint="eastAsia" w:ascii="黑体" w:hAnsi="黑体" w:eastAsia="黑体"/>
          <w:b w:val="0"/>
          <w:bCs w:val="0"/>
        </w:rPr>
        <w:t xml:space="preserve">第一部分 </w:t>
      </w:r>
      <w:r>
        <w:rPr>
          <w:rStyle w:val="20"/>
          <w:rFonts w:hint="eastAsia" w:ascii="黑体" w:hAnsi="黑体" w:eastAsia="黑体"/>
          <w:b w:val="0"/>
          <w:bCs w:val="0"/>
        </w:rPr>
        <w:t>部门概况</w:t>
      </w:r>
    </w:p>
    <w:p>
      <w:pPr>
        <w:widowControl/>
        <w:jc w:val="left"/>
        <w:rPr>
          <w:rFonts w:hint="eastAsia"/>
          <w:color w:val="000000"/>
          <w:sz w:val="32"/>
          <w:szCs w:val="32"/>
        </w:rPr>
      </w:pPr>
      <w:r>
        <w:rPr>
          <w:rFonts w:hint="eastAsia" w:ascii="黑体" w:eastAsia="黑体"/>
          <w:color w:val="000000"/>
          <w:sz w:val="32"/>
          <w:szCs w:val="32"/>
        </w:rPr>
        <w:t xml:space="preserve"> </w:t>
      </w:r>
    </w:p>
    <w:p>
      <w:pPr>
        <w:pStyle w:val="4"/>
        <w:rPr>
          <w:rStyle w:val="17"/>
          <w:rFonts w:hint="eastAsia" w:ascii="仿宋" w:hAnsi="仿宋" w:eastAsia="仿宋"/>
          <w:b w:val="0"/>
          <w:bCs w:val="0"/>
        </w:rPr>
      </w:pPr>
      <w:bookmarkStart w:id="14" w:name="_Toc15396600"/>
      <w:bookmarkEnd w:id="14"/>
      <w:bookmarkStart w:id="15" w:name="_Toc15377197"/>
      <w:r>
        <w:rPr>
          <w:rFonts w:hint="eastAsia" w:ascii="黑体" w:hAnsi="黑体" w:eastAsia="黑体"/>
          <w:b w:val="0"/>
          <w:bCs w:val="0"/>
          <w:color w:val="000000"/>
        </w:rPr>
        <w:t>一、基</w:t>
      </w:r>
      <w:bookmarkEnd w:id="15"/>
      <w:r>
        <w:rPr>
          <w:rStyle w:val="17"/>
          <w:rFonts w:hint="eastAsia" w:ascii="黑体" w:hAnsi="黑体" w:eastAsia="黑体"/>
          <w:b w:val="0"/>
          <w:bCs w:val="0"/>
        </w:rPr>
        <w:t>本职能及主要工作</w:t>
      </w:r>
    </w:p>
    <w:p>
      <w:pPr>
        <w:snapToGrid w:val="0"/>
        <w:spacing w:line="540" w:lineRule="exact"/>
        <w:ind w:firstLine="640" w:firstLineChars="200"/>
        <w:rPr>
          <w:rFonts w:hint="eastAsia" w:ascii="仿宋_GB2312" w:eastAsia="仿宋_GB2312"/>
        </w:rPr>
      </w:pPr>
      <w:bookmarkStart w:id="16" w:name="_Toc15378445"/>
      <w:bookmarkEnd w:id="16"/>
      <w:bookmarkStart w:id="17" w:name="_Toc15377198"/>
      <w:r>
        <w:rPr>
          <w:rFonts w:hint="eastAsia" w:ascii="仿宋_GB2312" w:eastAsia="仿宋_GB2312"/>
          <w:color w:val="000000"/>
          <w:sz w:val="32"/>
          <w:szCs w:val="32"/>
        </w:rPr>
        <w:t>（一）主要职能</w:t>
      </w:r>
      <w:bookmarkEnd w:id="17"/>
      <w:r>
        <w:rPr>
          <w:rFonts w:hint="eastAsia" w:ascii="仿宋_GB2312" w:eastAsia="仿宋_GB2312"/>
          <w:color w:val="000000"/>
          <w:sz w:val="32"/>
          <w:szCs w:val="32"/>
        </w:rPr>
        <w:t>。</w:t>
      </w:r>
      <w:r>
        <w:rPr>
          <w:rFonts w:hint="eastAsia" w:ascii="仿宋_GB2312" w:eastAsia="仿宋_GB2312"/>
          <w:sz w:val="32"/>
          <w:szCs w:val="32"/>
        </w:rPr>
        <w:t>根据市政府授权，依法履行出资人职责。拟订国有资产管理的规范性文件和有关制度，依法对县（区）国有资产管理进行指导。承担所监管企业国有资产保值增值的责任，建立和完善国有资产保值增值指标体系，制定考核标准，制定所监管企业负责人收入分配政策并组织实施。推进国有企业改革，完善公司治理结构，推动国有经济布局和结构的战略性调整。通过法定程序对所监管企业负责人进行任免、考核并根据其经营业绩进行奖惩，建立符合社会主义市场经济体制和现代企业制度要求的选人、用人机制，完善经营者激励和约束制度。负责监事会的日常管理工作。制定所监管企业年度国有资本经营预算建议草案；组织和监督所监管企业国有资本经营预算的执行；编报所监管企业年度国有资本经营决算草案；负责组织所监管企业上缴国有资本收益。根据市委授权，负责部分国有资产在县（区）的重点国有企业负责人的任免等管理工作。协调中央、省、外地在巴国有企业改革发展中与地方相关的事宜。</w:t>
      </w:r>
    </w:p>
    <w:p>
      <w:pPr>
        <w:snapToGrid w:val="0"/>
        <w:spacing w:line="540" w:lineRule="exact"/>
        <w:ind w:firstLine="640" w:firstLineChars="200"/>
        <w:rPr>
          <w:rFonts w:hint="eastAsia" w:ascii="仿宋_GB2312" w:eastAsia="仿宋_GB2312"/>
          <w:color w:val="000000"/>
          <w:sz w:val="32"/>
          <w:szCs w:val="32"/>
        </w:rPr>
      </w:pPr>
      <w:bookmarkStart w:id="18" w:name="_Toc15378446"/>
      <w:bookmarkEnd w:id="18"/>
      <w:bookmarkStart w:id="19" w:name="_Toc15377199"/>
      <w:bookmarkEnd w:id="19"/>
      <w:r>
        <w:rPr>
          <w:rFonts w:hint="eastAsia" w:ascii="仿宋_GB2312" w:eastAsia="仿宋_GB2312"/>
          <w:color w:val="000000"/>
          <w:sz w:val="32"/>
          <w:szCs w:val="32"/>
        </w:rPr>
        <w:t>（二）2019年重点工作完成情况。2019年市国资委有效投资持续发力。市属国有企业主动服务于市委、市政府中心工作和重大决策，在基础设施建设、保障民生、服务城市发展、推进文化旅游融合等方面发挥了重要作用。2019年，投资120亿元项建设目了香炉山索道、米仓山大道、经开区基础设施建设等46个重点项目。转型升级稳步推进。完成首期15亿元的巴中川陕革命老区振兴发展产业投资基金和22.5亿元的巴中川陕革命老区振兴发展股权投资基金注册备案，实现基金投放12亿元，其中，股权基金对宝玛科技、巴山牧业、向往智能等项目投资2.4亿元，产业基金对交投建材、土地整理、南江黄羊、金枝玉叶等项目投资9.6亿元。</w:t>
      </w:r>
    </w:p>
    <w:p>
      <w:pPr>
        <w:pStyle w:val="4"/>
        <w:rPr>
          <w:rStyle w:val="17"/>
          <w:rFonts w:hint="eastAsia"/>
          <w:b w:val="0"/>
          <w:bCs w:val="0"/>
        </w:rPr>
      </w:pPr>
      <w:bookmarkStart w:id="20" w:name="_Toc15396601"/>
      <w:bookmarkEnd w:id="20"/>
      <w:bookmarkStart w:id="21" w:name="_Toc15377200"/>
      <w:r>
        <w:rPr>
          <w:rFonts w:hint="eastAsia" w:ascii="黑体" w:hAnsi="黑体" w:eastAsia="黑体"/>
          <w:b w:val="0"/>
          <w:bCs w:val="0"/>
          <w:color w:val="000000"/>
        </w:rPr>
        <w:t>二、</w:t>
      </w:r>
      <w:bookmarkEnd w:id="21"/>
      <w:r>
        <w:rPr>
          <w:rFonts w:hint="eastAsia" w:ascii="黑体" w:hAnsi="黑体" w:eastAsia="黑体"/>
          <w:b w:val="0"/>
          <w:bCs w:val="0"/>
          <w:color w:val="000000"/>
        </w:rPr>
        <w:t>机</w:t>
      </w:r>
      <w:r>
        <w:rPr>
          <w:rStyle w:val="17"/>
          <w:rFonts w:hint="eastAsia" w:ascii="黑体" w:hAnsi="黑体" w:eastAsia="黑体"/>
          <w:b w:val="0"/>
          <w:bCs w:val="0"/>
        </w:rPr>
        <w:t>构设置</w:t>
      </w:r>
    </w:p>
    <w:p>
      <w:pPr>
        <w:rPr>
          <w:rFonts w:ascii="仿宋" w:hAnsi="仿宋" w:eastAsia="仿宋"/>
        </w:rPr>
      </w:pPr>
      <w:r>
        <w:rPr>
          <w:rFonts w:hint="eastAsia" w:ascii="仿宋" w:hAnsi="仿宋" w:eastAsia="仿宋"/>
          <w:sz w:val="32"/>
          <w:szCs w:val="32"/>
        </w:rPr>
        <w:t xml:space="preserve">    市国资下属二级单位0个，其中行政单位0个，参照公务员法管理的事业单位0个，其他事业单位0个。</w:t>
      </w:r>
    </w:p>
    <w:p>
      <w:pPr>
        <w:pStyle w:val="2"/>
        <w:adjustRightInd w:val="0"/>
        <w:snapToGrid w:val="0"/>
        <w:spacing w:before="93"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无纳入市国资委2019年度部门决算编制范围的二级预算单位包括：</w:t>
      </w:r>
    </w:p>
    <w:p>
      <w:pPr>
        <w:pStyle w:val="2"/>
        <w:numPr>
          <w:ilvl w:val="0"/>
          <w:numId w:val="1"/>
        </w:numPr>
        <w:adjustRightInd w:val="0"/>
        <w:snapToGrid w:val="0"/>
        <w:spacing w:before="93" w:line="600" w:lineRule="exact"/>
        <w:outlineLvl w:val="2"/>
        <w:rPr>
          <w:rFonts w:hint="eastAsia" w:ascii="仿宋" w:hAnsi="仿宋" w:eastAsia="仿宋"/>
          <w:color w:val="000000"/>
          <w:sz w:val="32"/>
          <w:szCs w:val="32"/>
        </w:rPr>
      </w:pPr>
      <w:bookmarkStart w:id="22" w:name="_Toc15377432"/>
      <w:bookmarkEnd w:id="22"/>
      <w:bookmarkStart w:id="23" w:name="_Toc15377201"/>
      <w:bookmarkEnd w:id="23"/>
      <w:bookmarkStart w:id="24" w:name="_Toc15306275"/>
      <w:bookmarkEnd w:id="24"/>
      <w:bookmarkStart w:id="25" w:name="_Toc15378448"/>
      <w:r>
        <w:rPr>
          <w:rFonts w:hint="eastAsia" w:ascii="仿宋" w:hAnsi="仿宋" w:eastAsia="仿宋"/>
          <w:color w:val="000000"/>
          <w:sz w:val="32"/>
          <w:szCs w:val="32"/>
        </w:rPr>
        <w:t>***</w:t>
      </w:r>
      <w:bookmarkEnd w:id="25"/>
    </w:p>
    <w:p>
      <w:pPr>
        <w:pStyle w:val="2"/>
        <w:numPr>
          <w:ilvl w:val="0"/>
          <w:numId w:val="1"/>
        </w:numPr>
        <w:adjustRightInd w:val="0"/>
        <w:snapToGrid w:val="0"/>
        <w:spacing w:before="93" w:line="600" w:lineRule="exact"/>
        <w:outlineLvl w:val="2"/>
        <w:rPr>
          <w:rFonts w:hint="eastAsia" w:ascii="仿宋" w:hAnsi="仿宋" w:eastAsia="仿宋"/>
          <w:color w:val="000000"/>
          <w:sz w:val="32"/>
          <w:szCs w:val="32"/>
        </w:rPr>
      </w:pPr>
      <w:bookmarkStart w:id="26" w:name="_Toc15378449"/>
      <w:bookmarkEnd w:id="26"/>
      <w:bookmarkStart w:id="27" w:name="_Toc15377202"/>
      <w:bookmarkEnd w:id="27"/>
      <w:bookmarkStart w:id="28" w:name="_Toc15306276"/>
      <w:bookmarkEnd w:id="28"/>
      <w:bookmarkStart w:id="29" w:name="_Toc15377433"/>
      <w:r>
        <w:rPr>
          <w:rFonts w:hint="eastAsia" w:ascii="仿宋" w:hAnsi="仿宋" w:eastAsia="仿宋"/>
          <w:color w:val="000000"/>
          <w:sz w:val="32"/>
          <w:szCs w:val="32"/>
        </w:rPr>
        <w:t>***</w:t>
      </w:r>
      <w:bookmarkEnd w:id="29"/>
    </w:p>
    <w:p>
      <w:pPr>
        <w:pStyle w:val="2"/>
        <w:numPr>
          <w:ilvl w:val="0"/>
          <w:numId w:val="1"/>
        </w:numPr>
        <w:adjustRightInd w:val="0"/>
        <w:snapToGrid w:val="0"/>
        <w:spacing w:before="93" w:line="600" w:lineRule="exact"/>
        <w:outlineLvl w:val="2"/>
        <w:rPr>
          <w:rFonts w:hint="eastAsia" w:ascii="仿宋" w:hAnsi="仿宋" w:eastAsia="仿宋"/>
          <w:color w:val="000000"/>
          <w:sz w:val="32"/>
          <w:szCs w:val="32"/>
        </w:rPr>
      </w:pPr>
      <w:bookmarkStart w:id="30" w:name="_Toc15306277"/>
      <w:bookmarkEnd w:id="30"/>
      <w:bookmarkStart w:id="31" w:name="_Toc15377203"/>
      <w:bookmarkEnd w:id="31"/>
      <w:bookmarkStart w:id="32" w:name="_Toc15377434"/>
      <w:bookmarkEnd w:id="32"/>
      <w:bookmarkStart w:id="33" w:name="_Toc15378450"/>
      <w:r>
        <w:rPr>
          <w:rFonts w:hint="eastAsia" w:ascii="仿宋" w:hAnsi="仿宋" w:eastAsia="仿宋"/>
          <w:color w:val="000000"/>
          <w:sz w:val="32"/>
          <w:szCs w:val="32"/>
        </w:rPr>
        <w:t>***</w:t>
      </w:r>
      <w:bookmarkEnd w:id="33"/>
    </w:p>
    <w:p>
      <w:pPr>
        <w:pStyle w:val="2"/>
        <w:adjustRightInd w:val="0"/>
        <w:snapToGrid w:val="0"/>
        <w:spacing w:before="93" w:line="600" w:lineRule="exact"/>
        <w:ind w:firstLine="1120" w:firstLineChars="350"/>
        <w:rPr>
          <w:rFonts w:hint="eastAsia" w:ascii="仿宋" w:hAnsi="仿宋" w:eastAsia="仿宋"/>
          <w:color w:val="000000"/>
          <w:sz w:val="32"/>
          <w:szCs w:val="32"/>
        </w:rPr>
      </w:pPr>
      <w:r>
        <w:rPr>
          <w:rFonts w:hint="eastAsia" w:ascii="仿宋" w:hAnsi="仿宋" w:eastAsia="仿宋"/>
          <w:color w:val="000000"/>
          <w:sz w:val="32"/>
          <w:szCs w:val="32"/>
        </w:rPr>
        <w:t>……</w:t>
      </w:r>
    </w:p>
    <w:p>
      <w:pPr>
        <w:widowControl/>
        <w:jc w:val="left"/>
        <w:rPr>
          <w:rFonts w:hint="eastAsia" w:ascii="仿宋" w:hAnsi="仿宋" w:eastAsia="仿宋"/>
          <w:color w:val="000000"/>
          <w:kern w:val="0"/>
          <w:sz w:val="32"/>
          <w:szCs w:val="32"/>
        </w:rPr>
      </w:pPr>
      <w:r>
        <w:rPr>
          <w:rFonts w:hint="eastAsia" w:ascii="仿宋" w:hAnsi="仿宋" w:eastAsia="仿宋"/>
          <w:color w:val="000000"/>
          <w:sz w:val="32"/>
          <w:szCs w:val="32"/>
        </w:rPr>
        <w:br w:type="page"/>
      </w:r>
    </w:p>
    <w:p>
      <w:pPr>
        <w:pStyle w:val="3"/>
        <w:ind w:right="440"/>
        <w:jc w:val="right"/>
        <w:rPr>
          <w:rStyle w:val="20"/>
          <w:rFonts w:hint="eastAsia" w:ascii="黑体" w:hAnsi="黑体" w:eastAsia="黑体"/>
          <w:b w:val="0"/>
          <w:bCs w:val="0"/>
        </w:rPr>
      </w:pPr>
      <w:bookmarkStart w:id="34" w:name="_Toc15396602"/>
      <w:bookmarkEnd w:id="34"/>
      <w:bookmarkStart w:id="35" w:name="_Toc15377204"/>
      <w:r>
        <w:rPr>
          <w:rFonts w:hint="eastAsia" w:ascii="黑体" w:hAnsi="黑体" w:eastAsia="黑体"/>
          <w:b w:val="0"/>
          <w:bCs w:val="0"/>
          <w:color w:val="000000"/>
        </w:rPr>
        <w:t>第二部分</w:t>
      </w:r>
      <w:bookmarkEnd w:id="35"/>
      <w:r>
        <w:rPr>
          <w:rFonts w:hint="eastAsia" w:ascii="黑体" w:hAnsi="黑体" w:eastAsia="黑体"/>
          <w:color w:val="000000"/>
        </w:rPr>
        <w:t xml:space="preserve"> </w:t>
      </w:r>
      <w:r>
        <w:rPr>
          <w:rStyle w:val="20"/>
          <w:rFonts w:hint="eastAsia" w:ascii="黑体" w:hAnsi="黑体" w:eastAsia="黑体"/>
          <w:b w:val="0"/>
          <w:bCs w:val="0"/>
        </w:rPr>
        <w:t>2019年度部门决算情况说明</w:t>
      </w:r>
    </w:p>
    <w:p>
      <w:pPr>
        <w:rPr>
          <w:rFonts w:hint="eastAsia"/>
        </w:rPr>
      </w:pPr>
      <w:r>
        <w:t xml:space="preserve"> </w:t>
      </w:r>
    </w:p>
    <w:p>
      <w:pPr>
        <w:pStyle w:val="15"/>
        <w:numPr>
          <w:ilvl w:val="0"/>
          <w:numId w:val="2"/>
        </w:numPr>
        <w:spacing w:line="600" w:lineRule="exact"/>
        <w:ind w:firstLineChars="0"/>
        <w:outlineLvl w:val="1"/>
        <w:rPr>
          <w:rStyle w:val="17"/>
          <w:rFonts w:ascii="黑体" w:hAnsi="黑体" w:eastAsia="黑体"/>
          <w:b w:val="0"/>
          <w:bCs w:val="0"/>
        </w:rPr>
      </w:pPr>
      <w:bookmarkStart w:id="36" w:name="_Toc15396603"/>
      <w:bookmarkEnd w:id="36"/>
      <w:bookmarkStart w:id="37" w:name="_Toc15377205"/>
      <w:r>
        <w:rPr>
          <w:rFonts w:hint="eastAsia" w:ascii="黑体" w:hAnsi="黑体" w:eastAsia="黑体"/>
          <w:color w:val="000000"/>
          <w:sz w:val="32"/>
          <w:szCs w:val="32"/>
        </w:rPr>
        <w:t>收</w:t>
      </w:r>
      <w:bookmarkEnd w:id="37"/>
      <w:r>
        <w:rPr>
          <w:rStyle w:val="17"/>
          <w:rFonts w:hint="eastAsia" w:ascii="黑体" w:hAnsi="黑体" w:eastAsia="黑体"/>
          <w:b w:val="0"/>
          <w:bCs w:val="0"/>
        </w:rPr>
        <w:t>入支出决算总体情况说明</w:t>
      </w:r>
    </w:p>
    <w:p>
      <w:pPr>
        <w:spacing w:line="600" w:lineRule="exact"/>
        <w:ind w:firstLine="640" w:firstLineChars="200"/>
        <w:rPr>
          <w:rFonts w:hint="eastAsia" w:ascii="仿宋_GB2312" w:eastAsia="仿宋_GB2312"/>
          <w:color w:val="000000"/>
        </w:rPr>
      </w:pPr>
      <w:r>
        <w:rPr>
          <w:rFonts w:hint="eastAsia" w:ascii="仿宋_GB2312" w:eastAsia="仿宋_GB2312"/>
          <w:color w:val="000000"/>
          <w:sz w:val="32"/>
          <w:szCs w:val="32"/>
        </w:rPr>
        <w:t>2019年度</w:t>
      </w:r>
      <w:r>
        <w:rPr>
          <w:rFonts w:hint="eastAsia" w:ascii="仿宋_GB2312" w:eastAsia="仿宋_GB2312"/>
          <w:color w:val="000000"/>
          <w:sz w:val="32"/>
          <w:szCs w:val="32"/>
          <w:lang w:eastAsia="zh-CN"/>
        </w:rPr>
        <w:t>收入</w:t>
      </w:r>
      <w:r>
        <w:rPr>
          <w:rFonts w:hint="eastAsia" w:ascii="仿宋_GB2312" w:eastAsia="仿宋_GB2312"/>
          <w:color w:val="000000"/>
          <w:sz w:val="32"/>
          <w:szCs w:val="32"/>
        </w:rPr>
        <w:t>总计5026.75万元，支出总计4964.08</w:t>
      </w:r>
      <w:r>
        <w:rPr>
          <w:rFonts w:hint="eastAsia" w:ascii="仿宋_GB2312" w:eastAsia="仿宋_GB2312"/>
          <w:sz w:val="32"/>
          <w:szCs w:val="32"/>
        </w:rPr>
        <w:t>万元</w:t>
      </w:r>
      <w:r>
        <w:rPr>
          <w:rFonts w:hint="eastAsia" w:ascii="仿宋_GB2312" w:eastAsia="仿宋_GB2312"/>
          <w:color w:val="000000"/>
          <w:sz w:val="32"/>
          <w:szCs w:val="32"/>
        </w:rPr>
        <w:t>。与2018年相比，收、支总计各减少4991.9万元，5363.9万元。下降49.82%、51.93%。主要变动原因是2018年</w:t>
      </w:r>
      <w:r>
        <w:rPr>
          <w:rFonts w:hint="eastAsia" w:ascii="仿宋_GB2312" w:eastAsia="仿宋_GB2312"/>
          <w:sz w:val="32"/>
          <w:szCs w:val="32"/>
        </w:rPr>
        <w:t>拨付给巴中川陕革命老区振兴发展基金公司注册资本金9620万元、巴中市国有资产经营公司2017年度鼓励直接融资奖补资金359.1万元、拨付2018年度国有企业国有资本经营预算补助资金500万元。</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（图1：收、支决算总计变动情况图）（柱状图）</w:t>
      </w:r>
    </w:p>
    <w:p>
      <w:pPr>
        <w:pStyle w:val="2"/>
        <w:spacing w:before="93"/>
        <w:rPr>
          <w:rFonts w:hint="eastAsia" w:eastAsia="仿宋"/>
        </w:rPr>
      </w:pPr>
      <w:r>
        <w:drawing>
          <wp:inline distT="0" distB="0" distL="0" distR="0">
            <wp:extent cx="5095875" cy="3819525"/>
            <wp:effectExtent l="19050" t="0" r="9525" b="0"/>
            <wp:docPr id="1" name="图片 1" descr="C:\Users\ADMINI~1\AppData\Local\Temp\ksohtml\wpsFE81.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ksohtml\wpsFE81.tmp.jpg"/>
                    <pic:cNvPicPr>
                      <a:picLocks noChangeAspect="1" noChangeArrowheads="1"/>
                    </pic:cNvPicPr>
                  </pic:nvPicPr>
                  <pic:blipFill>
                    <a:blip r:embed="rId4" cstate="print"/>
                    <a:srcRect/>
                    <a:stretch>
                      <a:fillRect/>
                    </a:stretch>
                  </pic:blipFill>
                  <pic:spPr>
                    <a:xfrm>
                      <a:off x="0" y="0"/>
                      <a:ext cx="5095875" cy="3819525"/>
                    </a:xfrm>
                    <a:prstGeom prst="rect">
                      <a:avLst/>
                    </a:prstGeom>
                    <a:noFill/>
                    <a:ln w="9525">
                      <a:noFill/>
                      <a:miter lim="800000"/>
                      <a:headEnd/>
                      <a:tailEnd/>
                    </a:ln>
                  </pic:spPr>
                </pic:pic>
              </a:graphicData>
            </a:graphic>
          </wp:inline>
        </w:drawing>
      </w:r>
      <w:r>
        <w:rPr>
          <w:rFonts w:hint="eastAsia" w:eastAsia="仿宋"/>
        </w:rPr>
        <w:t xml:space="preserve"> </w:t>
      </w:r>
    </w:p>
    <w:p>
      <w:pPr>
        <w:spacing w:line="60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 xml:space="preserve"> </w:t>
      </w:r>
    </w:p>
    <w:p>
      <w:pPr>
        <w:pStyle w:val="15"/>
        <w:numPr>
          <w:ilvl w:val="0"/>
          <w:numId w:val="2"/>
        </w:numPr>
        <w:spacing w:line="600" w:lineRule="exact"/>
        <w:ind w:firstLineChars="0"/>
        <w:outlineLvl w:val="1"/>
        <w:rPr>
          <w:rStyle w:val="17"/>
          <w:rFonts w:hint="eastAsia" w:ascii="黑体" w:hAnsi="黑体" w:eastAsia="黑体"/>
          <w:b w:val="0"/>
          <w:bCs w:val="0"/>
        </w:rPr>
      </w:pPr>
      <w:bookmarkStart w:id="38" w:name="_Toc15396604"/>
      <w:bookmarkEnd w:id="38"/>
      <w:bookmarkStart w:id="39" w:name="_Toc15377206"/>
      <w:r>
        <w:rPr>
          <w:rFonts w:hint="eastAsia" w:ascii="黑体" w:hAnsi="黑体" w:eastAsia="黑体"/>
          <w:color w:val="000000"/>
          <w:sz w:val="32"/>
          <w:szCs w:val="32"/>
        </w:rPr>
        <w:t>收</w:t>
      </w:r>
      <w:bookmarkEnd w:id="39"/>
      <w:r>
        <w:rPr>
          <w:rStyle w:val="17"/>
          <w:rFonts w:hint="eastAsia" w:ascii="黑体" w:hAnsi="黑体" w:eastAsia="黑体"/>
          <w:b w:val="0"/>
          <w:bCs w:val="0"/>
        </w:rPr>
        <w:t>入决算情况说明</w:t>
      </w:r>
    </w:p>
    <w:p>
      <w:pPr>
        <w:spacing w:line="600" w:lineRule="exact"/>
        <w:ind w:firstLine="640" w:firstLineChars="200"/>
        <w:outlineLvl w:val="1"/>
        <w:rPr>
          <w:rFonts w:hint="eastAsia" w:ascii="仿宋_GB2312" w:eastAsia="仿宋_GB2312"/>
          <w:color w:val="000000"/>
        </w:rPr>
      </w:pPr>
      <w:r>
        <w:rPr>
          <w:rFonts w:hint="eastAsia" w:ascii="仿宋_GB2312" w:eastAsia="仿宋_GB2312"/>
          <w:color w:val="000000"/>
          <w:sz w:val="32"/>
          <w:szCs w:val="32"/>
        </w:rPr>
        <w:t>2019年本年收入合计</w:t>
      </w:r>
      <w:r>
        <w:rPr>
          <w:rFonts w:hint="eastAsia" w:ascii="仿宋_GB2312" w:eastAsia="仿宋_GB2312"/>
          <w:sz w:val="28"/>
          <w:szCs w:val="28"/>
        </w:rPr>
        <w:t>5026.75</w:t>
      </w:r>
      <w:r>
        <w:rPr>
          <w:rFonts w:hint="eastAsia" w:ascii="仿宋_GB2312" w:eastAsia="仿宋_GB2312"/>
          <w:color w:val="000000"/>
          <w:sz w:val="32"/>
          <w:szCs w:val="32"/>
        </w:rPr>
        <w:t>万元，其中：一般公共预算财政拨款收入</w:t>
      </w:r>
      <w:r>
        <w:rPr>
          <w:rFonts w:hint="eastAsia" w:ascii="仿宋_GB2312" w:eastAsia="仿宋_GB2312"/>
          <w:sz w:val="28"/>
          <w:szCs w:val="28"/>
        </w:rPr>
        <w:t>5026.75</w:t>
      </w:r>
      <w:r>
        <w:rPr>
          <w:rFonts w:hint="eastAsia" w:ascii="仿宋_GB2312" w:eastAsia="仿宋_GB2312"/>
          <w:color w:val="000000"/>
          <w:sz w:val="32"/>
          <w:szCs w:val="32"/>
        </w:rPr>
        <w:t>万元，占100%；政府性基金预算财政拨款收入**万元，占**%；上级补助收入**万元，占**%；事业收入**万元，占**%；经营收入**万元，占**%；附属单位上缴收入**万元，占**%；其他收入**万元，占**%。</w:t>
      </w:r>
    </w:p>
    <w:p>
      <w:pPr>
        <w:spacing w:line="600" w:lineRule="exact"/>
        <w:ind w:firstLine="640" w:firstLineChars="200"/>
        <w:outlineLvl w:val="1"/>
        <w:rPr>
          <w:rFonts w:hint="eastAsia" w:ascii="仿宋" w:hAnsi="仿宋" w:eastAsia="仿宋"/>
          <w:color w:val="000000"/>
          <w:sz w:val="32"/>
          <w:szCs w:val="32"/>
        </w:rPr>
      </w:pPr>
      <w:r>
        <w:rPr>
          <w:rFonts w:hint="eastAsia" w:ascii="仿宋" w:hAnsi="仿宋" w:eastAsia="仿宋"/>
          <w:color w:val="000000"/>
          <w:sz w:val="32"/>
          <w:szCs w:val="32"/>
        </w:rPr>
        <w:t xml:space="preserve"> </w:t>
      </w:r>
    </w:p>
    <w:p>
      <w:pPr>
        <w:pStyle w:val="2"/>
        <w:spacing w:before="93"/>
        <w:rPr>
          <w:rFonts w:hint="eastAsia" w:ascii="仿宋" w:hAnsi="仿宋" w:eastAsia="仿宋"/>
          <w:color w:val="000000"/>
          <w:sz w:val="32"/>
          <w:szCs w:val="32"/>
        </w:rPr>
      </w:pPr>
      <w:r>
        <w:drawing>
          <wp:inline distT="0" distB="0" distL="0" distR="0">
            <wp:extent cx="4848225" cy="3019425"/>
            <wp:effectExtent l="19050" t="0" r="9525" b="0"/>
            <wp:docPr id="2" name="图片 2" descr="C:\Users\ADMINI~1\AppData\Local\Temp\ksohtml\wpsFEC0.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ksohtml\wpsFEC0.tmp.jpg"/>
                    <pic:cNvPicPr>
                      <a:picLocks noChangeAspect="1" noChangeArrowheads="1"/>
                    </pic:cNvPicPr>
                  </pic:nvPicPr>
                  <pic:blipFill>
                    <a:blip r:embed="rId5" cstate="print"/>
                    <a:srcRect/>
                    <a:stretch>
                      <a:fillRect/>
                    </a:stretch>
                  </pic:blipFill>
                  <pic:spPr>
                    <a:xfrm>
                      <a:off x="0" y="0"/>
                      <a:ext cx="4848225" cy="3019425"/>
                    </a:xfrm>
                    <a:prstGeom prst="rect">
                      <a:avLst/>
                    </a:prstGeom>
                    <a:noFill/>
                    <a:ln w="9525">
                      <a:noFill/>
                      <a:miter lim="800000"/>
                      <a:headEnd/>
                      <a:tailEnd/>
                    </a:ln>
                  </pic:spPr>
                </pic:pic>
              </a:graphicData>
            </a:graphic>
          </wp:inline>
        </w:drawing>
      </w:r>
      <w:r>
        <w:rPr>
          <w:rFonts w:hint="eastAsia" w:ascii="仿宋" w:hAnsi="仿宋" w:eastAsia="仿宋"/>
          <w:color w:val="000000"/>
          <w:sz w:val="32"/>
          <w:szCs w:val="32"/>
        </w:rPr>
        <w:t xml:space="preserve"> </w:t>
      </w:r>
    </w:p>
    <w:p>
      <w:pPr>
        <w:pStyle w:val="2"/>
        <w:spacing w:before="93"/>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（图2：收入决算结构图）（饼状图）</w:t>
      </w:r>
    </w:p>
    <w:p>
      <w:pPr>
        <w:spacing w:line="600" w:lineRule="exact"/>
        <w:ind w:firstLine="640" w:firstLineChars="200"/>
        <w:rPr>
          <w:rFonts w:hint="eastAsia" w:ascii="仿宋_GB2312" w:eastAsia="仿宋_GB2312"/>
          <w:color w:val="FF0000"/>
          <w:sz w:val="32"/>
          <w:szCs w:val="32"/>
        </w:rPr>
      </w:pPr>
      <w:r>
        <w:rPr>
          <w:rFonts w:hint="eastAsia" w:ascii="仿宋_GB2312" w:eastAsia="仿宋_GB2312"/>
          <w:color w:val="FF0000"/>
          <w:sz w:val="32"/>
          <w:szCs w:val="32"/>
        </w:rPr>
        <w:t xml:space="preserve"> </w:t>
      </w:r>
    </w:p>
    <w:p>
      <w:pPr>
        <w:pStyle w:val="15"/>
        <w:numPr>
          <w:ilvl w:val="0"/>
          <w:numId w:val="2"/>
        </w:numPr>
        <w:spacing w:line="600" w:lineRule="exact"/>
        <w:ind w:firstLineChars="0"/>
        <w:outlineLvl w:val="1"/>
        <w:rPr>
          <w:rStyle w:val="17"/>
          <w:rFonts w:hint="eastAsia" w:ascii="黑体" w:hAnsi="黑体" w:eastAsia="黑体"/>
          <w:b w:val="0"/>
          <w:bCs w:val="0"/>
        </w:rPr>
      </w:pPr>
      <w:bookmarkStart w:id="40" w:name="_Toc15396605"/>
      <w:bookmarkEnd w:id="40"/>
      <w:bookmarkStart w:id="41" w:name="_Toc15377207"/>
      <w:r>
        <w:rPr>
          <w:rFonts w:hint="eastAsia" w:ascii="黑体" w:hAnsi="黑体" w:eastAsia="黑体"/>
          <w:color w:val="000000"/>
          <w:sz w:val="32"/>
          <w:szCs w:val="32"/>
        </w:rPr>
        <w:t>支</w:t>
      </w:r>
      <w:bookmarkEnd w:id="41"/>
      <w:r>
        <w:rPr>
          <w:rStyle w:val="17"/>
          <w:rFonts w:hint="eastAsia" w:ascii="黑体" w:hAnsi="黑体" w:eastAsia="黑体"/>
          <w:b w:val="0"/>
          <w:bCs w:val="0"/>
        </w:rPr>
        <w:t>出决算情况说明</w:t>
      </w:r>
    </w:p>
    <w:p>
      <w:pPr>
        <w:spacing w:line="600" w:lineRule="exact"/>
        <w:ind w:firstLine="640" w:firstLineChars="200"/>
        <w:outlineLvl w:val="1"/>
        <w:rPr>
          <w:rFonts w:hint="eastAsia" w:ascii="仿宋_GB2312" w:eastAsia="仿宋_GB2312"/>
          <w:color w:val="000000"/>
        </w:rPr>
      </w:pPr>
      <w:r>
        <w:rPr>
          <w:rFonts w:hint="eastAsia" w:ascii="仿宋_GB2312" w:eastAsia="仿宋_GB2312"/>
          <w:color w:val="000000"/>
          <w:sz w:val="32"/>
          <w:szCs w:val="32"/>
        </w:rPr>
        <w:t>2019年本年支出合计</w:t>
      </w:r>
      <w:r>
        <w:rPr>
          <w:rFonts w:hint="eastAsia" w:ascii="仿宋_GB2312" w:eastAsia="仿宋_GB2312"/>
          <w:sz w:val="28"/>
          <w:szCs w:val="28"/>
        </w:rPr>
        <w:t>4964.08</w:t>
      </w:r>
      <w:r>
        <w:rPr>
          <w:rFonts w:hint="eastAsia" w:ascii="仿宋_GB2312" w:eastAsia="仿宋_GB2312"/>
          <w:color w:val="000000"/>
          <w:sz w:val="32"/>
          <w:szCs w:val="32"/>
        </w:rPr>
        <w:t>万元，其中：基本支出</w:t>
      </w:r>
      <w:r>
        <w:rPr>
          <w:rFonts w:hint="eastAsia" w:ascii="仿宋_GB2312" w:eastAsia="仿宋_GB2312"/>
          <w:sz w:val="28"/>
          <w:szCs w:val="28"/>
        </w:rPr>
        <w:t>423.37</w:t>
      </w:r>
      <w:r>
        <w:rPr>
          <w:rFonts w:hint="eastAsia" w:ascii="仿宋_GB2312" w:eastAsia="仿宋_GB2312"/>
          <w:color w:val="000000"/>
          <w:sz w:val="32"/>
          <w:szCs w:val="32"/>
        </w:rPr>
        <w:t>万元，占</w:t>
      </w:r>
      <w:r>
        <w:rPr>
          <w:rFonts w:hint="eastAsia" w:ascii="仿宋_GB2312" w:eastAsia="仿宋_GB2312"/>
          <w:sz w:val="28"/>
          <w:szCs w:val="28"/>
        </w:rPr>
        <w:t>8.42</w:t>
      </w:r>
      <w:r>
        <w:rPr>
          <w:rFonts w:hint="eastAsia" w:ascii="仿宋_GB2312" w:eastAsia="仿宋_GB2312"/>
          <w:color w:val="000000"/>
          <w:sz w:val="32"/>
          <w:szCs w:val="32"/>
        </w:rPr>
        <w:t>%；项目支出</w:t>
      </w:r>
      <w:r>
        <w:rPr>
          <w:rFonts w:hint="eastAsia" w:ascii="仿宋_GB2312" w:eastAsia="仿宋_GB2312"/>
          <w:sz w:val="28"/>
          <w:szCs w:val="28"/>
        </w:rPr>
        <w:t>4540.71</w:t>
      </w:r>
      <w:r>
        <w:rPr>
          <w:rFonts w:hint="eastAsia" w:ascii="仿宋_GB2312" w:eastAsia="仿宋_GB2312"/>
          <w:color w:val="000000"/>
          <w:sz w:val="32"/>
          <w:szCs w:val="32"/>
        </w:rPr>
        <w:t>万元，占</w:t>
      </w:r>
      <w:r>
        <w:rPr>
          <w:rFonts w:hint="eastAsia" w:ascii="仿宋_GB2312" w:eastAsia="仿宋_GB2312"/>
          <w:sz w:val="28"/>
          <w:szCs w:val="28"/>
        </w:rPr>
        <w:t>90.33</w:t>
      </w:r>
      <w:r>
        <w:rPr>
          <w:rFonts w:hint="eastAsia" w:ascii="仿宋_GB2312" w:eastAsia="仿宋_GB2312"/>
          <w:color w:val="000000"/>
          <w:sz w:val="32"/>
          <w:szCs w:val="32"/>
        </w:rPr>
        <w:t>%；上缴上级支出**万元，占**%；经营支出**万元，占**%；对附属单位补助支出**万元，占**%。</w:t>
      </w:r>
    </w:p>
    <w:p>
      <w:pPr>
        <w:pStyle w:val="2"/>
        <w:spacing w:before="93"/>
        <w:rPr>
          <w:rFonts w:hint="eastAsia" w:ascii="仿宋" w:hAnsi="仿宋" w:eastAsia="仿宋"/>
          <w:color w:val="000000"/>
          <w:sz w:val="32"/>
          <w:szCs w:val="32"/>
        </w:rPr>
      </w:pPr>
      <w:r>
        <w:drawing>
          <wp:inline distT="0" distB="0" distL="0" distR="0">
            <wp:extent cx="5095875" cy="3819525"/>
            <wp:effectExtent l="19050" t="0" r="9525" b="0"/>
            <wp:docPr id="3" name="图片 3" descr="C:\Users\ADMINI~1\AppData\Local\Temp\ksohtml\wpsFEC1.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1\AppData\Local\Temp\ksohtml\wpsFEC1.tmp.jpg"/>
                    <pic:cNvPicPr>
                      <a:picLocks noChangeAspect="1" noChangeArrowheads="1"/>
                    </pic:cNvPicPr>
                  </pic:nvPicPr>
                  <pic:blipFill>
                    <a:blip r:embed="rId6" cstate="print"/>
                    <a:srcRect/>
                    <a:stretch>
                      <a:fillRect/>
                    </a:stretch>
                  </pic:blipFill>
                  <pic:spPr>
                    <a:xfrm>
                      <a:off x="0" y="0"/>
                      <a:ext cx="5095875" cy="3819525"/>
                    </a:xfrm>
                    <a:prstGeom prst="rect">
                      <a:avLst/>
                    </a:prstGeom>
                    <a:noFill/>
                    <a:ln w="9525">
                      <a:noFill/>
                      <a:miter lim="800000"/>
                      <a:headEnd/>
                      <a:tailEnd/>
                    </a:ln>
                  </pic:spPr>
                </pic:pic>
              </a:graphicData>
            </a:graphic>
          </wp:inline>
        </w:drawing>
      </w:r>
      <w:r>
        <w:rPr>
          <w:rFonts w:hint="eastAsia" w:ascii="仿宋" w:hAnsi="仿宋" w:eastAsia="仿宋"/>
          <w:color w:val="000000"/>
          <w:sz w:val="32"/>
          <w:szCs w:val="32"/>
        </w:rPr>
        <w:t xml:space="preserve"> </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（图3：决算结构图）（饼状图）</w:t>
      </w:r>
    </w:p>
    <w:p>
      <w:pPr>
        <w:spacing w:line="600" w:lineRule="exact"/>
        <w:ind w:firstLine="640" w:firstLineChars="200"/>
        <w:rPr>
          <w:rFonts w:hint="eastAsia" w:ascii="仿宋_GB2312" w:eastAsia="仿宋_GB2312"/>
          <w:color w:val="FF0000"/>
          <w:sz w:val="32"/>
          <w:szCs w:val="32"/>
        </w:rPr>
      </w:pPr>
      <w:r>
        <w:rPr>
          <w:rFonts w:hint="eastAsia" w:ascii="仿宋_GB2312" w:eastAsia="仿宋_GB2312"/>
          <w:color w:val="FF0000"/>
          <w:sz w:val="32"/>
          <w:szCs w:val="32"/>
        </w:rPr>
        <w:t xml:space="preserve"> </w:t>
      </w:r>
    </w:p>
    <w:p>
      <w:pPr>
        <w:spacing w:line="600" w:lineRule="exact"/>
        <w:ind w:firstLine="640" w:firstLineChars="200"/>
        <w:outlineLvl w:val="1"/>
        <w:rPr>
          <w:rStyle w:val="17"/>
          <w:rFonts w:hint="eastAsia" w:ascii="黑体" w:hAnsi="黑体" w:eastAsia="黑体"/>
          <w:b w:val="0"/>
          <w:bCs w:val="0"/>
        </w:rPr>
      </w:pPr>
      <w:bookmarkStart w:id="42" w:name="_Toc15396606"/>
      <w:bookmarkEnd w:id="42"/>
      <w:bookmarkStart w:id="43" w:name="_Toc15377208"/>
      <w:r>
        <w:rPr>
          <w:rFonts w:hint="eastAsia" w:ascii="黑体" w:hAnsi="黑体" w:eastAsia="黑体"/>
          <w:color w:val="000000"/>
          <w:sz w:val="32"/>
          <w:szCs w:val="32"/>
        </w:rPr>
        <w:t>四、财</w:t>
      </w:r>
      <w:bookmarkEnd w:id="43"/>
      <w:r>
        <w:rPr>
          <w:rStyle w:val="17"/>
          <w:rFonts w:hint="eastAsia" w:ascii="黑体" w:hAnsi="黑体" w:eastAsia="黑体"/>
          <w:b w:val="0"/>
          <w:bCs w:val="0"/>
        </w:rPr>
        <w:t>政拨款收入支出决算总体情况说明</w:t>
      </w:r>
    </w:p>
    <w:p>
      <w:pPr>
        <w:spacing w:line="600" w:lineRule="exact"/>
        <w:ind w:firstLine="640" w:firstLineChars="200"/>
        <w:rPr>
          <w:rFonts w:hint="eastAsia" w:ascii="仿宋_GB2312" w:hAnsi="仿宋" w:eastAsia="仿宋_GB2312"/>
        </w:rPr>
      </w:pPr>
      <w:r>
        <w:rPr>
          <w:rFonts w:hint="eastAsia" w:ascii="仿宋_GB2312" w:eastAsia="仿宋_GB2312"/>
          <w:color w:val="000000"/>
          <w:sz w:val="32"/>
          <w:szCs w:val="32"/>
        </w:rPr>
        <w:t>2019年度</w:t>
      </w:r>
      <w:bookmarkStart w:id="85" w:name="_GoBack"/>
      <w:bookmarkEnd w:id="85"/>
      <w:r>
        <w:rPr>
          <w:rFonts w:hint="eastAsia" w:ascii="仿宋_GB2312" w:eastAsia="仿宋_GB2312"/>
          <w:color w:val="000000"/>
          <w:sz w:val="32"/>
          <w:szCs w:val="32"/>
          <w:lang w:eastAsia="zh-CN"/>
        </w:rPr>
        <w:t>收入</w:t>
      </w:r>
      <w:r>
        <w:rPr>
          <w:rFonts w:hint="eastAsia" w:ascii="仿宋_GB2312" w:eastAsia="仿宋_GB2312"/>
          <w:color w:val="000000"/>
          <w:sz w:val="32"/>
          <w:szCs w:val="32"/>
        </w:rPr>
        <w:t>总计5026.75万元，支出总计4964.08</w:t>
      </w:r>
      <w:r>
        <w:rPr>
          <w:rFonts w:hint="eastAsia" w:ascii="仿宋_GB2312" w:eastAsia="仿宋_GB2312"/>
          <w:sz w:val="28"/>
          <w:szCs w:val="28"/>
        </w:rPr>
        <w:t>万元</w:t>
      </w:r>
      <w:r>
        <w:rPr>
          <w:rFonts w:hint="eastAsia" w:ascii="仿宋_GB2312" w:eastAsia="仿宋_GB2312"/>
          <w:color w:val="000000"/>
          <w:sz w:val="32"/>
          <w:szCs w:val="32"/>
        </w:rPr>
        <w:t>。与2018年相比，收、支总计各减少4991.9万元，5363.9万元。下降49.82%、51.93%。主要变动原因是2018年</w:t>
      </w:r>
      <w:r>
        <w:rPr>
          <w:rFonts w:hint="eastAsia" w:ascii="仿宋_GB2312" w:eastAsia="仿宋_GB2312"/>
          <w:sz w:val="32"/>
          <w:szCs w:val="32"/>
        </w:rPr>
        <w:t>拨付给巴中川陕革命老区振兴发展基金公司注册资本金9620万元、巴中市国有资产经营公司2017年度鼓励直接融资奖补资金359.1万元、拨付2018年度国有企业国有资本经营预算补助资金500万元。</w:t>
      </w:r>
    </w:p>
    <w:p>
      <w:pPr>
        <w:pStyle w:val="2"/>
        <w:spacing w:before="93"/>
        <w:rPr>
          <w:rFonts w:hint="eastAsia"/>
        </w:rPr>
      </w:pPr>
      <w:r>
        <w:rPr>
          <w:rFonts w:hint="eastAsia"/>
        </w:rPr>
        <w:t xml:space="preserve"> </w:t>
      </w:r>
    </w:p>
    <w:p>
      <w:pPr>
        <w:pStyle w:val="2"/>
        <w:spacing w:before="93"/>
        <w:rPr>
          <w:rFonts w:hint="eastAsia"/>
        </w:rPr>
      </w:pPr>
      <w:r>
        <w:drawing>
          <wp:inline distT="0" distB="0" distL="0" distR="0">
            <wp:extent cx="5095875" cy="3819525"/>
            <wp:effectExtent l="19050" t="0" r="9525" b="0"/>
            <wp:docPr id="4" name="图片 4" descr="C:\Users\ADMINI~1\AppData\Local\Temp\ksohtml\wpsFED2.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1\AppData\Local\Temp\ksohtml\wpsFED2.tmp.jpg"/>
                    <pic:cNvPicPr>
                      <a:picLocks noChangeAspect="1" noChangeArrowheads="1"/>
                    </pic:cNvPicPr>
                  </pic:nvPicPr>
                  <pic:blipFill>
                    <a:blip r:embed="rId7" cstate="print"/>
                    <a:srcRect/>
                    <a:stretch>
                      <a:fillRect/>
                    </a:stretch>
                  </pic:blipFill>
                  <pic:spPr>
                    <a:xfrm>
                      <a:off x="0" y="0"/>
                      <a:ext cx="5095875" cy="3819525"/>
                    </a:xfrm>
                    <a:prstGeom prst="rect">
                      <a:avLst/>
                    </a:prstGeom>
                    <a:noFill/>
                    <a:ln w="9525">
                      <a:noFill/>
                      <a:miter lim="800000"/>
                      <a:headEnd/>
                      <a:tailEnd/>
                    </a:ln>
                  </pic:spPr>
                </pic:pic>
              </a:graphicData>
            </a:graphic>
          </wp:inline>
        </w:drawing>
      </w:r>
      <w:r>
        <w:rPr>
          <w:rFonts w:hint="eastAsia"/>
        </w:rPr>
        <w:t xml:space="preserve"> </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（图4：财政拨款收、支决算总计变动情况）（柱状图）</w:t>
      </w:r>
    </w:p>
    <w:p>
      <w:pPr>
        <w:spacing w:line="600" w:lineRule="exact"/>
        <w:ind w:firstLine="640"/>
        <w:rPr>
          <w:rFonts w:hint="eastAsia" w:ascii="仿宋" w:hAnsi="仿宋" w:eastAsia="仿宋"/>
          <w:b/>
          <w:bCs/>
          <w:color w:val="00B050"/>
          <w:sz w:val="32"/>
          <w:szCs w:val="32"/>
        </w:rPr>
      </w:pPr>
      <w:r>
        <w:rPr>
          <w:rFonts w:hint="eastAsia" w:ascii="仿宋" w:hAnsi="仿宋" w:eastAsia="仿宋"/>
          <w:b/>
          <w:bCs/>
          <w:color w:val="00B050"/>
          <w:sz w:val="32"/>
          <w:szCs w:val="32"/>
        </w:rPr>
        <w:t xml:space="preserve"> </w:t>
      </w:r>
    </w:p>
    <w:p>
      <w:pPr>
        <w:spacing w:line="600" w:lineRule="exact"/>
        <w:ind w:firstLine="640" w:firstLineChars="200"/>
        <w:outlineLvl w:val="1"/>
        <w:rPr>
          <w:rStyle w:val="17"/>
          <w:rFonts w:hint="eastAsia" w:ascii="黑体" w:hAnsi="黑体" w:eastAsia="黑体"/>
        </w:rPr>
      </w:pPr>
      <w:bookmarkStart w:id="44" w:name="_Toc15377209"/>
      <w:bookmarkEnd w:id="44"/>
      <w:bookmarkStart w:id="45" w:name="_Toc15396607"/>
      <w:r>
        <w:rPr>
          <w:rFonts w:hint="eastAsia" w:ascii="黑体" w:hAnsi="黑体" w:eastAsia="黑体"/>
          <w:color w:val="000000"/>
          <w:sz w:val="32"/>
          <w:szCs w:val="32"/>
        </w:rPr>
        <w:t>五、</w:t>
      </w:r>
      <w:bookmarkEnd w:id="45"/>
      <w:r>
        <w:rPr>
          <w:rFonts w:hint="eastAsia" w:ascii="黑体" w:hAnsi="黑体" w:eastAsia="黑体"/>
          <w:b/>
          <w:bCs/>
          <w:color w:val="000000"/>
          <w:sz w:val="32"/>
          <w:szCs w:val="32"/>
        </w:rPr>
        <w:t>一</w:t>
      </w:r>
      <w:r>
        <w:rPr>
          <w:rStyle w:val="17"/>
          <w:rFonts w:hint="eastAsia" w:ascii="黑体" w:hAnsi="黑体" w:eastAsia="黑体"/>
          <w:b w:val="0"/>
          <w:bCs w:val="0"/>
        </w:rPr>
        <w:t>般公共预算财政拨款支出决算情况说明</w:t>
      </w:r>
    </w:p>
    <w:p>
      <w:pPr>
        <w:spacing w:line="600" w:lineRule="exact"/>
        <w:ind w:firstLine="640" w:firstLineChars="200"/>
        <w:outlineLvl w:val="2"/>
        <w:rPr>
          <w:rFonts w:hint="eastAsia" w:ascii="方正楷体_GBK" w:eastAsia="方正楷体_GBK"/>
          <w:b/>
          <w:bCs/>
          <w:color w:val="000000"/>
        </w:rPr>
      </w:pPr>
      <w:bookmarkStart w:id="46" w:name="_Toc15377210"/>
      <w:bookmarkEnd w:id="46"/>
      <w:r>
        <w:rPr>
          <w:rFonts w:hint="eastAsia" w:ascii="方正楷体_GBK" w:eastAsia="方正楷体_GBK"/>
          <w:b/>
          <w:bCs/>
          <w:color w:val="000000"/>
          <w:sz w:val="32"/>
          <w:szCs w:val="32"/>
        </w:rPr>
        <w:t>（一）一般公共预算财政拨款支出决算总体情况</w:t>
      </w:r>
    </w:p>
    <w:p>
      <w:pPr>
        <w:spacing w:line="600" w:lineRule="exact"/>
        <w:ind w:firstLine="640" w:firstLineChars="200"/>
        <w:rPr>
          <w:rFonts w:hint="eastAsia" w:ascii="仿宋_GB2312" w:eastAsia="仿宋_GB2312"/>
          <w:sz w:val="32"/>
          <w:szCs w:val="32"/>
        </w:rPr>
      </w:pPr>
      <w:r>
        <w:rPr>
          <w:rFonts w:hint="eastAsia" w:ascii="仿宋_GB2312" w:eastAsia="仿宋_GB2312"/>
          <w:color w:val="000000"/>
          <w:sz w:val="32"/>
          <w:szCs w:val="32"/>
        </w:rPr>
        <w:t>2019年一般公共预算财政拨款支出4964.09万元，占本年支出合计的100%。与2018年相比，一般公共预算财政拨款减少5363.9万元，下降51.93%。主要变动原因是2018年</w:t>
      </w:r>
      <w:r>
        <w:rPr>
          <w:rFonts w:hint="eastAsia" w:ascii="仿宋_GB2312" w:eastAsia="仿宋_GB2312"/>
          <w:sz w:val="32"/>
          <w:szCs w:val="32"/>
        </w:rPr>
        <w:t>拨付给巴中川陕革命老区振兴发展基金公司注册资本金9620万元、巴中市国有资产经营公司2017年度鼓励直接融资奖补资金359.1万元、拨付2018年度国有企业国有资本经营预算补助资金500万元。</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pStyle w:val="2"/>
        <w:spacing w:before="93"/>
        <w:rPr>
          <w:rFonts w:hint="eastAsia" w:ascii="仿宋" w:hAnsi="仿宋" w:eastAsia="仿宋"/>
          <w:color w:val="000000"/>
          <w:sz w:val="32"/>
          <w:szCs w:val="32"/>
        </w:rPr>
      </w:pPr>
      <w:r>
        <w:drawing>
          <wp:inline distT="0" distB="0" distL="0" distR="0">
            <wp:extent cx="5095875" cy="3819525"/>
            <wp:effectExtent l="19050" t="0" r="9525" b="0"/>
            <wp:docPr id="5" name="图片 5" descr="C:\Users\ADMINI~1\AppData\Local\Temp\ksohtml\wpsFED3.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1\AppData\Local\Temp\ksohtml\wpsFED3.tmp.jpg"/>
                    <pic:cNvPicPr>
                      <a:picLocks noChangeAspect="1" noChangeArrowheads="1"/>
                    </pic:cNvPicPr>
                  </pic:nvPicPr>
                  <pic:blipFill>
                    <a:blip r:embed="rId7" cstate="print"/>
                    <a:srcRect/>
                    <a:stretch>
                      <a:fillRect/>
                    </a:stretch>
                  </pic:blipFill>
                  <pic:spPr>
                    <a:xfrm>
                      <a:off x="0" y="0"/>
                      <a:ext cx="5095875" cy="3819525"/>
                    </a:xfrm>
                    <a:prstGeom prst="rect">
                      <a:avLst/>
                    </a:prstGeom>
                    <a:noFill/>
                    <a:ln w="9525">
                      <a:noFill/>
                      <a:miter lim="800000"/>
                      <a:headEnd/>
                      <a:tailEnd/>
                    </a:ln>
                  </pic:spPr>
                </pic:pic>
              </a:graphicData>
            </a:graphic>
          </wp:inline>
        </w:drawing>
      </w:r>
      <w:r>
        <w:rPr>
          <w:rFonts w:hint="eastAsia" w:ascii="仿宋" w:hAnsi="仿宋" w:eastAsia="仿宋"/>
          <w:color w:val="000000"/>
          <w:sz w:val="32"/>
          <w:szCs w:val="32"/>
        </w:rPr>
        <w:t xml:space="preserve"> </w:t>
      </w:r>
    </w:p>
    <w:p>
      <w:pPr>
        <w:pStyle w:val="2"/>
        <w:spacing w:before="93"/>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（图5：一般公共预算财政拨款支出决算变动情况）（柱状图）</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600" w:lineRule="exact"/>
        <w:ind w:firstLine="640" w:firstLineChars="200"/>
        <w:outlineLvl w:val="2"/>
        <w:rPr>
          <w:rFonts w:hint="eastAsia" w:ascii="方正楷体_GBK" w:eastAsia="方正楷体_GBK"/>
          <w:b/>
          <w:bCs/>
          <w:color w:val="000000"/>
          <w:sz w:val="32"/>
          <w:szCs w:val="32"/>
        </w:rPr>
      </w:pPr>
      <w:bookmarkStart w:id="47" w:name="_Toc15377211"/>
      <w:bookmarkEnd w:id="47"/>
      <w:r>
        <w:rPr>
          <w:rFonts w:hint="eastAsia" w:ascii="方正楷体_GBK" w:eastAsia="方正楷体_GBK"/>
          <w:b/>
          <w:bCs/>
          <w:color w:val="000000"/>
          <w:sz w:val="32"/>
          <w:szCs w:val="32"/>
        </w:rPr>
        <w:t>（二）一般公共预算财政拨款支出决算结构情况</w:t>
      </w:r>
    </w:p>
    <w:p>
      <w:pPr>
        <w:spacing w:line="60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2019年一般公共预算财政拨款支出4964.09万元，主要用于以下方面:</w:t>
      </w:r>
      <w:r>
        <w:rPr>
          <w:rFonts w:hint="eastAsia" w:ascii="仿宋_GB2312" w:eastAsia="仿宋_GB2312"/>
          <w:b/>
          <w:bCs/>
          <w:color w:val="000000"/>
          <w:sz w:val="32"/>
          <w:szCs w:val="32"/>
        </w:rPr>
        <w:t>一般公共服务（类）</w:t>
      </w:r>
      <w:r>
        <w:rPr>
          <w:rFonts w:hint="eastAsia" w:ascii="仿宋_GB2312" w:eastAsia="仿宋_GB2312"/>
          <w:color w:val="000000"/>
          <w:sz w:val="32"/>
          <w:szCs w:val="32"/>
        </w:rPr>
        <w:t>支出541.15万元，占10.9%；</w:t>
      </w:r>
      <w:r>
        <w:rPr>
          <w:rFonts w:hint="eastAsia" w:ascii="仿宋_GB2312" w:eastAsia="仿宋_GB2312"/>
          <w:b/>
          <w:bCs/>
          <w:color w:val="000000"/>
          <w:sz w:val="32"/>
          <w:szCs w:val="32"/>
        </w:rPr>
        <w:t>教育支出（类）</w:t>
      </w:r>
      <w:r>
        <w:rPr>
          <w:rFonts w:hint="eastAsia" w:ascii="仿宋_GB2312" w:eastAsia="仿宋_GB2312"/>
          <w:color w:val="000000"/>
          <w:sz w:val="32"/>
          <w:szCs w:val="32"/>
        </w:rPr>
        <w:t>5万元，占0.1%；</w:t>
      </w:r>
      <w:r>
        <w:rPr>
          <w:rFonts w:hint="eastAsia" w:ascii="仿宋_GB2312" w:eastAsia="仿宋_GB2312"/>
          <w:b/>
          <w:bCs/>
          <w:color w:val="000000"/>
          <w:sz w:val="32"/>
          <w:szCs w:val="32"/>
        </w:rPr>
        <w:t>科学技术（类）</w:t>
      </w:r>
      <w:r>
        <w:rPr>
          <w:rFonts w:hint="eastAsia" w:ascii="仿宋_GB2312" w:eastAsia="仿宋_GB2312"/>
          <w:color w:val="000000"/>
          <w:sz w:val="32"/>
          <w:szCs w:val="32"/>
        </w:rPr>
        <w:t>支出0万元，占0%；</w:t>
      </w:r>
      <w:r>
        <w:rPr>
          <w:rFonts w:hint="eastAsia" w:ascii="仿宋_GB2312" w:eastAsia="仿宋_GB2312"/>
          <w:b/>
          <w:bCs/>
          <w:color w:val="000000"/>
          <w:sz w:val="32"/>
          <w:szCs w:val="32"/>
        </w:rPr>
        <w:t>文化旅游体育与传媒（类）支出0万元，占0%</w:t>
      </w:r>
      <w:r>
        <w:rPr>
          <w:rFonts w:hint="eastAsia" w:ascii="仿宋_GB2312" w:eastAsia="仿宋_GB2312"/>
          <w:color w:val="000000"/>
          <w:sz w:val="32"/>
          <w:szCs w:val="32"/>
        </w:rPr>
        <w:t>；</w:t>
      </w:r>
      <w:r>
        <w:rPr>
          <w:rFonts w:hint="eastAsia" w:ascii="仿宋_GB2312" w:eastAsia="仿宋_GB2312"/>
          <w:b/>
          <w:bCs/>
          <w:color w:val="000000"/>
          <w:sz w:val="32"/>
          <w:szCs w:val="32"/>
        </w:rPr>
        <w:t>社会保障和就业（类）</w:t>
      </w:r>
      <w:r>
        <w:rPr>
          <w:rFonts w:hint="eastAsia" w:ascii="仿宋_GB2312" w:eastAsia="仿宋_GB2312"/>
          <w:color w:val="000000"/>
          <w:sz w:val="32"/>
          <w:szCs w:val="32"/>
        </w:rPr>
        <w:t>支出21.7万元，占0.43%；</w:t>
      </w:r>
      <w:r>
        <w:rPr>
          <w:rFonts w:hint="eastAsia" w:ascii="仿宋_GB2312" w:eastAsia="仿宋_GB2312"/>
          <w:b/>
          <w:bCs/>
          <w:color w:val="000000"/>
          <w:sz w:val="32"/>
          <w:szCs w:val="32"/>
        </w:rPr>
        <w:t>卫生健康支出</w:t>
      </w:r>
      <w:r>
        <w:rPr>
          <w:rFonts w:hint="eastAsia" w:ascii="仿宋_GB2312" w:eastAsia="仿宋_GB2312"/>
          <w:color w:val="000000"/>
          <w:sz w:val="32"/>
          <w:szCs w:val="32"/>
        </w:rPr>
        <w:t>12.28万元，占0.25%；</w:t>
      </w:r>
      <w:r>
        <w:rPr>
          <w:rFonts w:hint="eastAsia" w:ascii="仿宋_GB2312" w:eastAsia="仿宋_GB2312"/>
          <w:b/>
          <w:bCs/>
          <w:color w:val="000000"/>
          <w:sz w:val="32"/>
          <w:szCs w:val="32"/>
        </w:rPr>
        <w:t>住房保障支出</w:t>
      </w:r>
      <w:r>
        <w:rPr>
          <w:rFonts w:hint="eastAsia" w:ascii="仿宋_GB2312" w:eastAsia="仿宋_GB2312"/>
          <w:color w:val="000000"/>
          <w:sz w:val="32"/>
          <w:szCs w:val="32"/>
        </w:rPr>
        <w:t>14.91</w:t>
      </w:r>
    </w:p>
    <w:p>
      <w:pPr>
        <w:spacing w:line="600" w:lineRule="exact"/>
        <w:rPr>
          <w:rFonts w:hint="eastAsia" w:ascii="仿宋_GB2312" w:eastAsia="仿宋_GB2312"/>
          <w:b/>
          <w:bCs/>
          <w:color w:val="000000"/>
          <w:sz w:val="32"/>
          <w:szCs w:val="32"/>
        </w:rPr>
      </w:pPr>
      <w:r>
        <w:rPr>
          <w:rFonts w:hint="eastAsia" w:ascii="仿宋_GB2312" w:eastAsia="仿宋_GB2312"/>
          <w:color w:val="000000"/>
          <w:sz w:val="32"/>
          <w:szCs w:val="32"/>
        </w:rPr>
        <w:t>万元，占0.3%；</w:t>
      </w:r>
      <w:r>
        <w:rPr>
          <w:rFonts w:hint="eastAsia" w:ascii="仿宋_GB2312" w:eastAsia="仿宋_GB2312"/>
          <w:b/>
          <w:bCs/>
          <w:color w:val="000000"/>
          <w:sz w:val="32"/>
          <w:szCs w:val="32"/>
        </w:rPr>
        <w:t>资源勘探信息等支出369.05万元，</w:t>
      </w:r>
      <w:r>
        <w:rPr>
          <w:rFonts w:hint="eastAsia" w:ascii="仿宋_GB2312" w:eastAsia="仿宋_GB2312"/>
          <w:color w:val="000000"/>
          <w:sz w:val="32"/>
          <w:szCs w:val="32"/>
        </w:rPr>
        <w:t>占7.43%；</w:t>
      </w:r>
      <w:r>
        <w:rPr>
          <w:rFonts w:hint="eastAsia" w:ascii="仿宋_GB2312" w:eastAsia="仿宋_GB2312"/>
          <w:b/>
          <w:bCs/>
          <w:color w:val="000000"/>
          <w:sz w:val="32"/>
          <w:szCs w:val="32"/>
        </w:rPr>
        <w:t>城乡社区支出</w:t>
      </w:r>
      <w:r>
        <w:rPr>
          <w:rFonts w:hint="eastAsia" w:ascii="仿宋_GB2312" w:eastAsia="仿宋_GB2312"/>
          <w:color w:val="000000"/>
          <w:sz w:val="32"/>
          <w:szCs w:val="32"/>
        </w:rPr>
        <w:t>4000万，占80.58%</w:t>
      </w:r>
      <w:r>
        <w:rPr>
          <w:rFonts w:hint="eastAsia" w:ascii="仿宋_GB2312" w:eastAsia="仿宋_GB2312"/>
          <w:b/>
          <w:bCs/>
          <w:color w:val="000000"/>
          <w:sz w:val="32"/>
          <w:szCs w:val="32"/>
        </w:rPr>
        <w:t>。（罗列全部功能分类科目，至类级。）</w:t>
      </w:r>
    </w:p>
    <w:p>
      <w:pPr>
        <w:pStyle w:val="2"/>
        <w:spacing w:before="93"/>
        <w:rPr>
          <w:rFonts w:hint="eastAsia" w:ascii="仿宋" w:hAnsi="仿宋" w:eastAsia="仿宋"/>
          <w:color w:val="000000"/>
          <w:sz w:val="32"/>
          <w:szCs w:val="32"/>
        </w:rPr>
      </w:pPr>
      <w:r>
        <w:rPr>
          <w:rFonts w:hint="eastAsia" w:ascii="仿宋" w:hAnsi="仿宋" w:eastAsia="仿宋"/>
          <w:color w:val="000000"/>
          <w:sz w:val="32"/>
          <w:szCs w:val="32"/>
        </w:rPr>
        <w:t xml:space="preserve"> </w:t>
      </w:r>
    </w:p>
    <w:p>
      <w:pPr>
        <w:pStyle w:val="2"/>
        <w:spacing w:before="93"/>
        <w:rPr>
          <w:rFonts w:hint="eastAsia" w:ascii="仿宋" w:hAnsi="仿宋" w:eastAsia="仿宋"/>
          <w:color w:val="000000"/>
          <w:sz w:val="32"/>
          <w:szCs w:val="32"/>
        </w:rPr>
      </w:pPr>
      <w:r>
        <w:drawing>
          <wp:inline distT="0" distB="0" distL="0" distR="0">
            <wp:extent cx="5019675" cy="4333875"/>
            <wp:effectExtent l="19050" t="0" r="9525" b="0"/>
            <wp:docPr id="6" name="图片 6" descr="C:\Users\ADMINI~1\AppData\Local\Temp\ksohtml\wpsFEE3.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1\AppData\Local\Temp\ksohtml\wpsFEE3.tmp.jpg"/>
                    <pic:cNvPicPr>
                      <a:picLocks noChangeAspect="1" noChangeArrowheads="1"/>
                    </pic:cNvPicPr>
                  </pic:nvPicPr>
                  <pic:blipFill>
                    <a:blip r:embed="rId8" cstate="print"/>
                    <a:srcRect/>
                    <a:stretch>
                      <a:fillRect/>
                    </a:stretch>
                  </pic:blipFill>
                  <pic:spPr>
                    <a:xfrm>
                      <a:off x="0" y="0"/>
                      <a:ext cx="5019675" cy="4333875"/>
                    </a:xfrm>
                    <a:prstGeom prst="rect">
                      <a:avLst/>
                    </a:prstGeom>
                    <a:noFill/>
                    <a:ln w="9525">
                      <a:noFill/>
                      <a:miter lim="800000"/>
                      <a:headEnd/>
                      <a:tailEnd/>
                    </a:ln>
                  </pic:spPr>
                </pic:pic>
              </a:graphicData>
            </a:graphic>
          </wp:inline>
        </w:drawing>
      </w:r>
      <w:r>
        <w:rPr>
          <w:rFonts w:hint="eastAsia" w:ascii="仿宋" w:hAnsi="仿宋" w:eastAsia="仿宋"/>
          <w:color w:val="000000"/>
          <w:sz w:val="32"/>
          <w:szCs w:val="32"/>
        </w:rPr>
        <w:t xml:space="preserve"> </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600" w:lineRule="exact"/>
        <w:ind w:firstLine="640" w:firstLineChars="200"/>
        <w:outlineLvl w:val="2"/>
        <w:rPr>
          <w:rFonts w:hint="eastAsia" w:ascii="方正楷体_GBK" w:eastAsia="方正楷体_GBK"/>
          <w:b/>
          <w:bCs/>
          <w:color w:val="000000"/>
          <w:sz w:val="32"/>
          <w:szCs w:val="32"/>
        </w:rPr>
      </w:pPr>
      <w:bookmarkStart w:id="48" w:name="_Toc15377212"/>
      <w:bookmarkEnd w:id="48"/>
      <w:r>
        <w:rPr>
          <w:rFonts w:hint="eastAsia" w:ascii="方正楷体_GBK" w:eastAsia="方正楷体_GBK"/>
          <w:b/>
          <w:bCs/>
          <w:color w:val="000000"/>
          <w:sz w:val="32"/>
          <w:szCs w:val="32"/>
        </w:rPr>
        <w:t>（三）一般公共预算财政拨款支出决算具体情况</w:t>
      </w:r>
    </w:p>
    <w:p>
      <w:pPr>
        <w:spacing w:line="600" w:lineRule="exact"/>
        <w:ind w:firstLine="643" w:firstLineChars="200"/>
        <w:outlineLvl w:val="2"/>
        <w:rPr>
          <w:rFonts w:hint="eastAsia" w:ascii="仿宋" w:hAnsi="仿宋" w:eastAsia="仿宋"/>
          <w:color w:val="FF0000"/>
          <w:sz w:val="32"/>
          <w:szCs w:val="32"/>
        </w:rPr>
      </w:pPr>
      <w:bookmarkStart w:id="49" w:name="_Toc15378460"/>
      <w:bookmarkEnd w:id="49"/>
      <w:bookmarkStart w:id="50" w:name="_Toc15377213"/>
      <w:bookmarkEnd w:id="50"/>
      <w:bookmarkStart w:id="51" w:name="_Toc15377444"/>
      <w:r>
        <w:rPr>
          <w:rFonts w:hint="eastAsia" w:ascii="仿宋" w:hAnsi="仿宋" w:eastAsia="仿宋"/>
          <w:b/>
          <w:bCs/>
          <w:color w:val="000000"/>
          <w:sz w:val="32"/>
          <w:szCs w:val="32"/>
        </w:rPr>
        <w:t>2019年般公共预算支出决算数为5026.75</w:t>
      </w:r>
      <w:bookmarkEnd w:id="51"/>
      <w:r>
        <w:rPr>
          <w:rFonts w:hint="eastAsia" w:ascii="仿宋" w:hAnsi="仿宋" w:eastAsia="仿宋"/>
          <w:color w:val="000000"/>
          <w:sz w:val="32"/>
          <w:szCs w:val="32"/>
        </w:rPr>
        <w:t>，</w:t>
      </w:r>
      <w:r>
        <w:rPr>
          <w:rStyle w:val="19"/>
          <w:rFonts w:hint="eastAsia" w:ascii="仿宋" w:hAnsi="仿宋" w:eastAsia="仿宋"/>
          <w:color w:val="000000"/>
          <w:sz w:val="32"/>
          <w:szCs w:val="32"/>
        </w:rPr>
        <w:t>完成预算100%。其中：</w:t>
      </w:r>
    </w:p>
    <w:p>
      <w:pPr>
        <w:spacing w:line="600" w:lineRule="exact"/>
        <w:ind w:firstLine="643" w:firstLineChars="200"/>
        <w:rPr>
          <w:rFonts w:hint="eastAsia" w:ascii="仿宋" w:hAnsi="仿宋" w:eastAsia="仿宋"/>
          <w:b/>
          <w:bCs/>
          <w:color w:val="000000"/>
          <w:sz w:val="32"/>
          <w:szCs w:val="32"/>
        </w:rPr>
      </w:pPr>
      <w:r>
        <w:rPr>
          <w:rStyle w:val="19"/>
          <w:rFonts w:hint="eastAsia" w:ascii="仿宋" w:hAnsi="仿宋" w:eastAsia="仿宋"/>
          <w:color w:val="000000"/>
          <w:sz w:val="32"/>
          <w:szCs w:val="32"/>
        </w:rPr>
        <w:t>1.一般公共服务（类）***（款）***（项）:</w:t>
      </w:r>
      <w:r>
        <w:rPr>
          <w:rStyle w:val="19"/>
          <w:rFonts w:hint="eastAsia" w:ascii="仿宋" w:hAnsi="仿宋" w:eastAsia="仿宋"/>
          <w:b w:val="0"/>
          <w:bCs w:val="0"/>
          <w:color w:val="000000"/>
          <w:sz w:val="32"/>
          <w:szCs w:val="32"/>
        </w:rPr>
        <w:t xml:space="preserve"> 支出决算为541.15万元，完成预算100%，决算数小于/等于预算数的主要原因是…。</w:t>
      </w:r>
    </w:p>
    <w:p>
      <w:pPr>
        <w:spacing w:line="600" w:lineRule="exact"/>
        <w:ind w:firstLine="643" w:firstLineChars="200"/>
        <w:rPr>
          <w:rFonts w:hint="eastAsia" w:ascii="仿宋" w:hAnsi="仿宋" w:eastAsia="仿宋"/>
          <w:b/>
          <w:bCs/>
          <w:color w:val="000000"/>
          <w:sz w:val="32"/>
          <w:szCs w:val="32"/>
        </w:rPr>
      </w:pPr>
      <w:r>
        <w:rPr>
          <w:rStyle w:val="19"/>
          <w:rFonts w:hint="eastAsia" w:ascii="仿宋" w:hAnsi="仿宋" w:eastAsia="仿宋"/>
          <w:color w:val="000000"/>
          <w:sz w:val="32"/>
          <w:szCs w:val="32"/>
        </w:rPr>
        <w:t>2.教育（类）***（款）***（项）:</w:t>
      </w:r>
      <w:r>
        <w:rPr>
          <w:rStyle w:val="19"/>
          <w:rFonts w:hint="eastAsia" w:ascii="仿宋" w:hAnsi="仿宋" w:eastAsia="仿宋"/>
          <w:b w:val="0"/>
          <w:bCs w:val="0"/>
          <w:color w:val="000000"/>
          <w:sz w:val="32"/>
          <w:szCs w:val="32"/>
        </w:rPr>
        <w:t xml:space="preserve"> 支出决算为5万元，完成预算100%，决算数小于/等于预算数的主要原因是…。</w:t>
      </w:r>
    </w:p>
    <w:p>
      <w:pPr>
        <w:spacing w:line="600" w:lineRule="exact"/>
        <w:ind w:firstLine="643" w:firstLineChars="200"/>
        <w:rPr>
          <w:rFonts w:hint="eastAsia" w:ascii="仿宋" w:hAnsi="仿宋" w:eastAsia="仿宋"/>
          <w:b/>
          <w:bCs/>
          <w:color w:val="000000"/>
          <w:sz w:val="32"/>
          <w:szCs w:val="32"/>
        </w:rPr>
      </w:pPr>
      <w:r>
        <w:rPr>
          <w:rStyle w:val="19"/>
          <w:rFonts w:hint="eastAsia" w:ascii="仿宋" w:hAnsi="仿宋" w:eastAsia="仿宋"/>
          <w:color w:val="000000"/>
          <w:sz w:val="32"/>
          <w:szCs w:val="32"/>
        </w:rPr>
        <w:t>3.科学技术（类）***（款）***（项）:</w:t>
      </w:r>
      <w:r>
        <w:rPr>
          <w:rStyle w:val="19"/>
          <w:rFonts w:hint="eastAsia" w:ascii="仿宋" w:hAnsi="仿宋" w:eastAsia="仿宋"/>
          <w:b w:val="0"/>
          <w:bCs w:val="0"/>
          <w:color w:val="000000"/>
          <w:sz w:val="32"/>
          <w:szCs w:val="32"/>
        </w:rPr>
        <w:t xml:space="preserve"> 支出决算为**万元，完成预算**%，决算数小于/等于预算数的主要原因是…。</w:t>
      </w:r>
    </w:p>
    <w:p>
      <w:pPr>
        <w:spacing w:line="600" w:lineRule="exact"/>
        <w:ind w:firstLine="643" w:firstLineChars="200"/>
        <w:rPr>
          <w:rFonts w:hint="eastAsia" w:ascii="仿宋" w:hAnsi="仿宋" w:eastAsia="仿宋"/>
          <w:b/>
          <w:bCs/>
          <w:color w:val="000000"/>
          <w:sz w:val="32"/>
          <w:szCs w:val="32"/>
        </w:rPr>
      </w:pPr>
      <w:r>
        <w:rPr>
          <w:rStyle w:val="19"/>
          <w:rFonts w:hint="eastAsia" w:ascii="仿宋" w:hAnsi="仿宋" w:eastAsia="仿宋"/>
          <w:color w:val="000000"/>
          <w:sz w:val="32"/>
          <w:szCs w:val="32"/>
        </w:rPr>
        <w:t>4.文化旅游体育与传媒（类）***（款）***（项）:</w:t>
      </w:r>
      <w:r>
        <w:rPr>
          <w:rStyle w:val="19"/>
          <w:rFonts w:hint="eastAsia" w:ascii="仿宋" w:hAnsi="仿宋" w:eastAsia="仿宋"/>
          <w:b w:val="0"/>
          <w:bCs w:val="0"/>
          <w:color w:val="000000"/>
          <w:sz w:val="32"/>
          <w:szCs w:val="32"/>
        </w:rPr>
        <w:t xml:space="preserve"> 支出决算为**万元，完成预算**%，决算数小于/等于预算数的主要原因是…。</w:t>
      </w:r>
    </w:p>
    <w:p>
      <w:pPr>
        <w:spacing w:line="600" w:lineRule="exact"/>
        <w:ind w:firstLine="643" w:firstLineChars="200"/>
        <w:rPr>
          <w:rFonts w:hint="eastAsia" w:ascii="仿宋" w:hAnsi="仿宋" w:eastAsia="仿宋"/>
          <w:b/>
          <w:bCs/>
          <w:color w:val="000000"/>
          <w:sz w:val="32"/>
          <w:szCs w:val="32"/>
        </w:rPr>
      </w:pPr>
      <w:r>
        <w:rPr>
          <w:rStyle w:val="19"/>
          <w:rFonts w:hint="eastAsia" w:ascii="仿宋" w:hAnsi="仿宋" w:eastAsia="仿宋"/>
          <w:color w:val="000000"/>
          <w:sz w:val="32"/>
          <w:szCs w:val="32"/>
        </w:rPr>
        <w:t>5.社会保障和就业（类）***（款）***（项）:</w:t>
      </w:r>
      <w:r>
        <w:rPr>
          <w:rStyle w:val="19"/>
          <w:rFonts w:hint="eastAsia" w:ascii="仿宋" w:hAnsi="仿宋" w:eastAsia="仿宋"/>
          <w:b w:val="0"/>
          <w:bCs w:val="0"/>
          <w:color w:val="000000"/>
          <w:sz w:val="32"/>
          <w:szCs w:val="32"/>
        </w:rPr>
        <w:t xml:space="preserve"> 支出决算为21.7万元，完成预算100%，决算数小于/等于预算数的主要原因是…。</w:t>
      </w:r>
    </w:p>
    <w:p>
      <w:pPr>
        <w:spacing w:line="600" w:lineRule="exact"/>
        <w:ind w:firstLine="643" w:firstLineChars="200"/>
        <w:rPr>
          <w:rStyle w:val="19"/>
          <w:rFonts w:hint="eastAsia" w:ascii="仿宋" w:hAnsi="仿宋"/>
        </w:rPr>
      </w:pPr>
      <w:r>
        <w:rPr>
          <w:rStyle w:val="19"/>
          <w:rFonts w:hint="eastAsia" w:ascii="仿宋" w:hAnsi="仿宋" w:eastAsia="仿宋"/>
          <w:color w:val="000000"/>
          <w:sz w:val="32"/>
          <w:szCs w:val="32"/>
        </w:rPr>
        <w:t>6.</w:t>
      </w:r>
      <w:r>
        <w:rPr>
          <w:rFonts w:hint="eastAsia" w:ascii="仿宋" w:hAnsi="仿宋" w:eastAsia="仿宋"/>
          <w:b/>
          <w:bCs/>
          <w:color w:val="000000"/>
          <w:sz w:val="32"/>
          <w:szCs w:val="32"/>
        </w:rPr>
        <w:t>卫生健康</w:t>
      </w:r>
      <w:r>
        <w:rPr>
          <w:rStyle w:val="19"/>
          <w:rFonts w:hint="eastAsia" w:ascii="仿宋" w:hAnsi="仿宋" w:eastAsia="仿宋"/>
          <w:color w:val="000000"/>
          <w:sz w:val="32"/>
          <w:szCs w:val="32"/>
        </w:rPr>
        <w:t>（类）***（款）***（项）:</w:t>
      </w:r>
      <w:r>
        <w:rPr>
          <w:rStyle w:val="19"/>
          <w:rFonts w:hint="eastAsia" w:ascii="仿宋" w:hAnsi="仿宋" w:eastAsia="仿宋"/>
          <w:b w:val="0"/>
          <w:bCs w:val="0"/>
          <w:color w:val="000000"/>
          <w:sz w:val="32"/>
          <w:szCs w:val="32"/>
        </w:rPr>
        <w:t>支出决算为12.28万元，完成预算100%，决算数小于/等于预算数的主要原因是…。</w:t>
      </w:r>
    </w:p>
    <w:p>
      <w:pPr>
        <w:pStyle w:val="2"/>
        <w:spacing w:before="93"/>
        <w:ind w:firstLine="640"/>
        <w:rPr>
          <w:rStyle w:val="19"/>
          <w:rFonts w:hint="eastAsia" w:ascii="仿宋" w:hAnsi="仿宋" w:eastAsia="仿宋"/>
          <w:b w:val="0"/>
          <w:bCs w:val="0"/>
          <w:color w:val="000000"/>
          <w:sz w:val="32"/>
          <w:szCs w:val="32"/>
        </w:rPr>
      </w:pPr>
      <w:r>
        <w:rPr>
          <w:rStyle w:val="19"/>
          <w:rFonts w:hint="eastAsia" w:ascii="仿宋" w:hAnsi="仿宋" w:eastAsia="仿宋"/>
          <w:color w:val="000000"/>
          <w:kern w:val="2"/>
          <w:sz w:val="32"/>
          <w:szCs w:val="32"/>
        </w:rPr>
        <w:t>7、住房保障支出类：</w:t>
      </w:r>
      <w:r>
        <w:rPr>
          <w:rStyle w:val="19"/>
          <w:rFonts w:hint="eastAsia" w:ascii="仿宋" w:hAnsi="仿宋" w:eastAsia="仿宋"/>
          <w:b w:val="0"/>
          <w:bCs w:val="0"/>
          <w:color w:val="000000"/>
          <w:kern w:val="2"/>
          <w:sz w:val="32"/>
          <w:szCs w:val="32"/>
        </w:rPr>
        <w:t>支出决算14.91万元，</w:t>
      </w:r>
      <w:r>
        <w:rPr>
          <w:rStyle w:val="19"/>
          <w:rFonts w:hint="eastAsia" w:ascii="仿宋" w:hAnsi="仿宋" w:eastAsia="仿宋"/>
          <w:b w:val="0"/>
          <w:bCs w:val="0"/>
          <w:color w:val="000000"/>
          <w:sz w:val="32"/>
          <w:szCs w:val="32"/>
        </w:rPr>
        <w:t>完成预算100%。</w:t>
      </w:r>
    </w:p>
    <w:p>
      <w:pPr>
        <w:pStyle w:val="2"/>
        <w:spacing w:before="93"/>
        <w:ind w:firstLine="640"/>
        <w:rPr>
          <w:rStyle w:val="19"/>
          <w:rFonts w:hint="eastAsia" w:ascii="仿宋" w:hAnsi="仿宋" w:eastAsia="仿宋"/>
          <w:b w:val="0"/>
          <w:bCs w:val="0"/>
          <w:color w:val="000000"/>
          <w:sz w:val="32"/>
          <w:szCs w:val="32"/>
        </w:rPr>
      </w:pPr>
      <w:r>
        <w:rPr>
          <w:rStyle w:val="19"/>
          <w:rFonts w:hint="eastAsia" w:ascii="仿宋" w:hAnsi="仿宋" w:eastAsia="仿宋"/>
          <w:color w:val="000000"/>
          <w:kern w:val="2"/>
          <w:sz w:val="32"/>
          <w:szCs w:val="32"/>
        </w:rPr>
        <w:t>8、资源勘探信息等：</w:t>
      </w:r>
      <w:r>
        <w:rPr>
          <w:rStyle w:val="19"/>
          <w:rFonts w:hint="eastAsia" w:ascii="仿宋" w:hAnsi="仿宋" w:eastAsia="仿宋"/>
          <w:b w:val="0"/>
          <w:bCs w:val="0"/>
          <w:color w:val="000000"/>
          <w:kern w:val="2"/>
          <w:sz w:val="32"/>
          <w:szCs w:val="32"/>
        </w:rPr>
        <w:t>支出</w:t>
      </w:r>
      <w:r>
        <w:rPr>
          <w:rFonts w:hint="eastAsia" w:ascii="仿宋" w:hAnsi="仿宋" w:eastAsia="仿宋"/>
          <w:color w:val="000000"/>
          <w:sz w:val="32"/>
          <w:szCs w:val="32"/>
        </w:rPr>
        <w:t>369.05万元，</w:t>
      </w:r>
      <w:r>
        <w:rPr>
          <w:rStyle w:val="19"/>
          <w:rFonts w:hint="eastAsia" w:ascii="仿宋" w:hAnsi="仿宋" w:eastAsia="仿宋"/>
          <w:b w:val="0"/>
          <w:bCs w:val="0"/>
          <w:color w:val="000000"/>
          <w:sz w:val="32"/>
          <w:szCs w:val="32"/>
        </w:rPr>
        <w:t>完成预算100%。</w:t>
      </w:r>
    </w:p>
    <w:p>
      <w:pPr>
        <w:pStyle w:val="2"/>
        <w:spacing w:before="93"/>
        <w:ind w:firstLine="640"/>
        <w:rPr>
          <w:rFonts w:hint="eastAsia"/>
          <w:b/>
          <w:bCs/>
        </w:rPr>
      </w:pPr>
      <w:r>
        <w:rPr>
          <w:rFonts w:hint="eastAsia" w:ascii="仿宋" w:hAnsi="仿宋" w:eastAsia="仿宋"/>
          <w:b/>
          <w:bCs/>
          <w:color w:val="000000"/>
          <w:sz w:val="32"/>
          <w:szCs w:val="32"/>
        </w:rPr>
        <w:t xml:space="preserve"> </w:t>
      </w:r>
    </w:p>
    <w:p>
      <w:pPr>
        <w:pStyle w:val="2"/>
        <w:spacing w:before="93"/>
        <w:ind w:firstLine="640"/>
        <w:rPr>
          <w:rStyle w:val="19"/>
          <w:rFonts w:hint="eastAsia" w:ascii="仿宋" w:hAnsi="仿宋"/>
        </w:rPr>
      </w:pPr>
      <w:r>
        <w:rPr>
          <w:rStyle w:val="19"/>
          <w:rFonts w:hint="eastAsia" w:ascii="仿宋" w:hAnsi="仿宋" w:eastAsia="仿宋"/>
          <w:color w:val="000000"/>
          <w:kern w:val="2"/>
          <w:sz w:val="32"/>
          <w:szCs w:val="32"/>
        </w:rPr>
        <w:t>9、城乡社区类：</w:t>
      </w:r>
      <w:r>
        <w:rPr>
          <w:rStyle w:val="19"/>
          <w:rFonts w:hint="eastAsia" w:ascii="仿宋" w:hAnsi="仿宋" w:eastAsia="仿宋"/>
          <w:b w:val="0"/>
          <w:bCs w:val="0"/>
          <w:color w:val="000000"/>
          <w:sz w:val="32"/>
          <w:szCs w:val="32"/>
        </w:rPr>
        <w:t>支出4000万</w:t>
      </w:r>
      <w:r>
        <w:rPr>
          <w:rFonts w:hint="eastAsia" w:ascii="仿宋" w:hAnsi="仿宋" w:eastAsia="仿宋"/>
          <w:color w:val="000000"/>
          <w:sz w:val="32"/>
          <w:szCs w:val="32"/>
        </w:rPr>
        <w:t>，</w:t>
      </w:r>
      <w:r>
        <w:rPr>
          <w:rStyle w:val="19"/>
          <w:rFonts w:hint="eastAsia" w:ascii="仿宋" w:hAnsi="仿宋" w:eastAsia="仿宋"/>
          <w:b w:val="0"/>
          <w:bCs w:val="0"/>
          <w:color w:val="000000"/>
          <w:sz w:val="32"/>
          <w:szCs w:val="32"/>
        </w:rPr>
        <w:t>完成预算100%。</w:t>
      </w:r>
    </w:p>
    <w:p>
      <w:pPr>
        <w:spacing w:line="600" w:lineRule="exact"/>
        <w:ind w:firstLine="643" w:firstLineChars="200"/>
        <w:rPr>
          <w:rFonts w:hint="eastAsia"/>
          <w:b/>
          <w:bCs/>
          <w:color w:val="FF0000"/>
        </w:rPr>
      </w:pPr>
      <w:r>
        <w:rPr>
          <w:rFonts w:hint="eastAsia" w:ascii="仿宋" w:hAnsi="仿宋" w:eastAsia="仿宋"/>
          <w:b/>
          <w:bCs/>
          <w:color w:val="FF0000"/>
          <w:sz w:val="32"/>
          <w:szCs w:val="32"/>
        </w:rPr>
        <w:t>（注：数据来源于财决Z01-1表，罗列全部功能分类科目至项级。上述“预算”口径为</w:t>
      </w:r>
      <w:r>
        <w:rPr>
          <w:rFonts w:hint="eastAsia" w:ascii="仿宋" w:hAnsi="仿宋" w:eastAsia="仿宋"/>
          <w:b/>
          <w:bCs/>
          <w:color w:val="FF0000"/>
          <w:sz w:val="32"/>
          <w:szCs w:val="32"/>
          <w:highlight w:val="yellow"/>
        </w:rPr>
        <w:t>调整预算数</w:t>
      </w:r>
      <w:r>
        <w:rPr>
          <w:rFonts w:hint="eastAsia" w:ascii="仿宋" w:hAnsi="仿宋" w:eastAsia="仿宋"/>
          <w:b/>
          <w:bCs/>
          <w:color w:val="FF0000"/>
          <w:sz w:val="32"/>
          <w:szCs w:val="32"/>
        </w:rPr>
        <w:t>。增减变动原因为决算数&lt;项级&gt;和调整预算数&lt;项级&gt;比较，与预算数持平可以不写原因。）</w:t>
      </w:r>
    </w:p>
    <w:p>
      <w:pPr>
        <w:spacing w:line="600" w:lineRule="exact"/>
        <w:ind w:firstLine="640"/>
        <w:rPr>
          <w:rFonts w:hint="eastAsia" w:ascii="仿宋" w:hAnsi="仿宋" w:eastAsia="仿宋"/>
          <w:b/>
          <w:bCs/>
          <w:color w:val="000000"/>
          <w:sz w:val="32"/>
          <w:szCs w:val="32"/>
        </w:rPr>
      </w:pPr>
      <w:r>
        <w:rPr>
          <w:rFonts w:hint="eastAsia" w:ascii="仿宋" w:hAnsi="仿宋" w:eastAsia="仿宋"/>
          <w:b/>
          <w:bCs/>
          <w:color w:val="000000"/>
          <w:sz w:val="32"/>
          <w:szCs w:val="32"/>
        </w:rPr>
        <w:t xml:space="preserve"> </w:t>
      </w:r>
    </w:p>
    <w:p>
      <w:pPr>
        <w:spacing w:line="600" w:lineRule="exact"/>
        <w:ind w:firstLine="640"/>
        <w:outlineLvl w:val="1"/>
        <w:rPr>
          <w:rStyle w:val="17"/>
          <w:rFonts w:hint="eastAsia"/>
        </w:rPr>
      </w:pPr>
      <w:bookmarkStart w:id="52" w:name="_Toc15396608"/>
      <w:bookmarkEnd w:id="52"/>
      <w:bookmarkStart w:id="53" w:name="_Toc15377214"/>
      <w:r>
        <w:rPr>
          <w:rFonts w:hint="eastAsia" w:ascii="黑体" w:hAnsi="黑体" w:eastAsia="黑体"/>
          <w:color w:val="000000"/>
          <w:sz w:val="32"/>
          <w:szCs w:val="32"/>
        </w:rPr>
        <w:t>六</w:t>
      </w:r>
      <w:bookmarkEnd w:id="53"/>
      <w:r>
        <w:rPr>
          <w:rFonts w:hint="eastAsia" w:ascii="黑体" w:hAnsi="黑体" w:eastAsia="黑体"/>
          <w:b/>
          <w:bCs/>
          <w:color w:val="000000"/>
          <w:sz w:val="32"/>
          <w:szCs w:val="32"/>
        </w:rPr>
        <w:t>、一</w:t>
      </w:r>
      <w:r>
        <w:rPr>
          <w:rStyle w:val="17"/>
          <w:rFonts w:hint="eastAsia" w:ascii="黑体" w:hAnsi="黑体" w:eastAsia="黑体"/>
          <w:b w:val="0"/>
          <w:bCs w:val="0"/>
        </w:rPr>
        <w:t>般公共预算财政拨款基本支出决算情况说明</w:t>
      </w:r>
      <w:r>
        <w:rPr>
          <w:rStyle w:val="17"/>
          <w:rFonts w:hint="eastAsia" w:ascii="黑体" w:hAnsi="黑体" w:eastAsia="黑体"/>
          <w:b w:val="0"/>
          <w:bCs w:val="0"/>
        </w:rPr>
        <w:tab/>
      </w:r>
    </w:p>
    <w:p>
      <w:pPr>
        <w:spacing w:line="600" w:lineRule="exact"/>
        <w:ind w:firstLine="645"/>
        <w:rPr>
          <w:rFonts w:ascii="仿宋" w:hAnsi="仿宋" w:eastAsia="仿宋"/>
          <w:color w:val="000000"/>
        </w:rPr>
      </w:pPr>
      <w:r>
        <w:rPr>
          <w:rFonts w:hint="eastAsia" w:ascii="仿宋" w:hAnsi="仿宋" w:eastAsia="仿宋"/>
          <w:color w:val="000000"/>
          <w:sz w:val="32"/>
          <w:szCs w:val="32"/>
        </w:rPr>
        <w:t>2019年一般公共预算财政拨款基本支出</w:t>
      </w:r>
      <w:r>
        <w:rPr>
          <w:rFonts w:hint="eastAsia" w:ascii="仿宋" w:hAnsi="仿宋" w:eastAsia="仿宋"/>
          <w:b/>
          <w:bCs/>
          <w:color w:val="000000"/>
          <w:sz w:val="32"/>
          <w:szCs w:val="32"/>
        </w:rPr>
        <w:t>218.88</w:t>
      </w:r>
      <w:r>
        <w:rPr>
          <w:rFonts w:hint="eastAsia" w:ascii="仿宋" w:hAnsi="仿宋" w:eastAsia="仿宋"/>
          <w:color w:val="000000"/>
          <w:sz w:val="32"/>
          <w:szCs w:val="32"/>
        </w:rPr>
        <w:t>万元，其中：</w:t>
      </w:r>
    </w:p>
    <w:p>
      <w:pPr>
        <w:spacing w:line="600" w:lineRule="exact"/>
        <w:ind w:firstLine="645"/>
        <w:rPr>
          <w:rFonts w:hint="eastAsia" w:ascii="仿宋" w:hAnsi="仿宋" w:eastAsia="仿宋"/>
          <w:color w:val="000000"/>
          <w:sz w:val="32"/>
          <w:szCs w:val="32"/>
        </w:rPr>
      </w:pPr>
      <w:r>
        <w:rPr>
          <w:rFonts w:hint="eastAsia" w:ascii="仿宋" w:hAnsi="仿宋" w:eastAsia="仿宋"/>
          <w:color w:val="000000"/>
          <w:sz w:val="32"/>
          <w:szCs w:val="32"/>
        </w:rPr>
        <w:t>人员经费218.74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日常公用经费0.14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17"/>
          <w:rFonts w:hint="eastAsia" w:ascii="黑体" w:hAnsi="黑体" w:eastAsia="黑体"/>
          <w:b w:val="0"/>
          <w:bCs w:val="0"/>
        </w:rPr>
      </w:pPr>
      <w:bookmarkStart w:id="54" w:name="_Toc15377215"/>
      <w:bookmarkEnd w:id="54"/>
      <w:bookmarkStart w:id="55" w:name="_Toc15396609"/>
      <w:r>
        <w:rPr>
          <w:rFonts w:hint="eastAsia" w:ascii="黑体" w:hAnsi="黑体" w:eastAsia="黑体"/>
          <w:color w:val="000000"/>
          <w:sz w:val="32"/>
          <w:szCs w:val="32"/>
        </w:rPr>
        <w:t>七、</w:t>
      </w:r>
      <w:bookmarkEnd w:id="55"/>
      <w:r>
        <w:rPr>
          <w:rStyle w:val="17"/>
          <w:rFonts w:hint="eastAsia" w:ascii="黑体" w:hAnsi="黑体" w:eastAsia="黑体"/>
        </w:rPr>
        <w:t>“</w:t>
      </w:r>
      <w:r>
        <w:rPr>
          <w:rStyle w:val="17"/>
          <w:rFonts w:hint="eastAsia" w:ascii="黑体" w:hAnsi="黑体" w:eastAsia="黑体"/>
          <w:b w:val="0"/>
          <w:bCs w:val="0"/>
        </w:rPr>
        <w:t>三公”经费财政拨款支出决算情况说明</w:t>
      </w:r>
    </w:p>
    <w:p>
      <w:pPr>
        <w:spacing w:line="600" w:lineRule="exact"/>
        <w:ind w:firstLine="640"/>
        <w:outlineLvl w:val="2"/>
        <w:rPr>
          <w:rFonts w:hint="eastAsia" w:ascii="仿宋" w:hAnsi="仿宋" w:eastAsia="仿宋"/>
          <w:b/>
          <w:bCs/>
          <w:color w:val="000000"/>
        </w:rPr>
      </w:pPr>
      <w:bookmarkStart w:id="56" w:name="_Toc15377216"/>
      <w:bookmarkEnd w:id="56"/>
      <w:r>
        <w:rPr>
          <w:rFonts w:hint="eastAsia" w:ascii="仿宋" w:hAnsi="仿宋" w:eastAsia="仿宋"/>
          <w:b/>
          <w:bCs/>
          <w:color w:val="000000"/>
          <w:sz w:val="32"/>
          <w:szCs w:val="32"/>
        </w:rPr>
        <w:t>（一）“三公”经费财政拨款支出决算总体情况说明</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2019年“三公”经费财政拨款支出决算为**万元，完成预算**%，决算数小于预算数（或与预算数持平）的主要原因是……。</w:t>
      </w:r>
    </w:p>
    <w:p>
      <w:pPr>
        <w:spacing w:line="600" w:lineRule="exact"/>
        <w:ind w:firstLine="640"/>
        <w:rPr>
          <w:rFonts w:hint="eastAsia" w:ascii="仿宋" w:hAnsi="仿宋" w:eastAsia="仿宋"/>
          <w:b/>
          <w:bCs/>
          <w:color w:val="FF0000"/>
          <w:sz w:val="32"/>
          <w:szCs w:val="32"/>
        </w:rPr>
      </w:pPr>
      <w:r>
        <w:rPr>
          <w:rFonts w:hint="eastAsia" w:ascii="仿宋" w:hAnsi="仿宋" w:eastAsia="仿宋"/>
          <w:b/>
          <w:bCs/>
          <w:color w:val="FF0000"/>
          <w:sz w:val="32"/>
          <w:szCs w:val="32"/>
        </w:rPr>
        <w:t>（注：上述“预算”口径为调整预算数，包括政府性基金支出决算情况。）</w:t>
      </w:r>
    </w:p>
    <w:p>
      <w:pPr>
        <w:spacing w:line="600" w:lineRule="exact"/>
        <w:ind w:firstLine="640"/>
        <w:outlineLvl w:val="2"/>
        <w:rPr>
          <w:rFonts w:hint="eastAsia" w:ascii="仿宋" w:hAnsi="仿宋" w:eastAsia="仿宋"/>
          <w:b/>
          <w:bCs/>
          <w:color w:val="000000"/>
          <w:sz w:val="32"/>
          <w:szCs w:val="32"/>
        </w:rPr>
      </w:pPr>
      <w:bookmarkStart w:id="57" w:name="_Toc15377217"/>
      <w:bookmarkEnd w:id="57"/>
      <w:r>
        <w:rPr>
          <w:rFonts w:hint="eastAsia" w:ascii="仿宋" w:hAnsi="仿宋" w:eastAsia="仿宋"/>
          <w:b/>
          <w:bCs/>
          <w:color w:val="000000"/>
          <w:sz w:val="32"/>
          <w:szCs w:val="32"/>
        </w:rPr>
        <w:t>（二）“三公”经费财政拨款支出决算具体情况说明</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2019年“三公”经费财政拨款支出决算中，因公出国（境）费支出决算0万元，占0%；公务用车购置及运行维护费支出决算</w:t>
      </w:r>
      <w:r>
        <w:rPr>
          <w:rFonts w:hint="eastAsia" w:ascii="仿宋" w:hAnsi="仿宋" w:eastAsia="仿宋"/>
          <w:sz w:val="28"/>
          <w:szCs w:val="28"/>
        </w:rPr>
        <w:t>6.93</w:t>
      </w:r>
      <w:r>
        <w:rPr>
          <w:rFonts w:hint="eastAsia" w:ascii="仿宋" w:hAnsi="仿宋" w:eastAsia="仿宋"/>
          <w:color w:val="000000"/>
          <w:sz w:val="32"/>
          <w:szCs w:val="32"/>
        </w:rPr>
        <w:t>万元，占68.97%；公务接待费支出决算3.6万元，占31.03%。具体情况如下：</w:t>
      </w:r>
    </w:p>
    <w:p>
      <w:pPr>
        <w:pStyle w:val="2"/>
        <w:spacing w:before="93"/>
        <w:rPr>
          <w:rFonts w:hint="eastAsia" w:ascii="仿宋" w:hAnsi="仿宋" w:eastAsia="仿宋"/>
          <w:color w:val="000000"/>
          <w:sz w:val="32"/>
          <w:szCs w:val="32"/>
        </w:rPr>
      </w:pPr>
      <w:r>
        <w:drawing>
          <wp:inline distT="0" distB="0" distL="0" distR="0">
            <wp:extent cx="4791075" cy="3114675"/>
            <wp:effectExtent l="19050" t="0" r="9525" b="0"/>
            <wp:docPr id="7" name="图片 7" descr="C:\Users\ADMINI~1\AppData\Local\Temp\ksohtml\wpsFEF4.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ksohtml\wpsFEF4.tmp.jpg"/>
                    <pic:cNvPicPr>
                      <a:picLocks noChangeAspect="1" noChangeArrowheads="1"/>
                    </pic:cNvPicPr>
                  </pic:nvPicPr>
                  <pic:blipFill>
                    <a:blip r:embed="rId9" cstate="print"/>
                    <a:srcRect/>
                    <a:stretch>
                      <a:fillRect/>
                    </a:stretch>
                  </pic:blipFill>
                  <pic:spPr>
                    <a:xfrm>
                      <a:off x="0" y="0"/>
                      <a:ext cx="4791075" cy="3114675"/>
                    </a:xfrm>
                    <a:prstGeom prst="rect">
                      <a:avLst/>
                    </a:prstGeom>
                    <a:noFill/>
                    <a:ln w="9525">
                      <a:noFill/>
                      <a:miter lim="800000"/>
                      <a:headEnd/>
                      <a:tailEnd/>
                    </a:ln>
                  </pic:spPr>
                </pic:pic>
              </a:graphicData>
            </a:graphic>
          </wp:inline>
        </w:drawing>
      </w:r>
      <w:r>
        <w:rPr>
          <w:rFonts w:hint="eastAsia" w:ascii="仿宋" w:hAnsi="仿宋" w:eastAsia="仿宋"/>
          <w:color w:val="000000"/>
          <w:sz w:val="32"/>
          <w:szCs w:val="32"/>
        </w:rPr>
        <w:t xml:space="preserve"> </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spacing w:line="600" w:lineRule="exact"/>
        <w:ind w:firstLine="640"/>
        <w:rPr>
          <w:rFonts w:hint="eastAsia" w:ascii="仿宋_GB2312" w:eastAsia="仿宋_GB2312"/>
          <w:b/>
          <w:bCs/>
          <w:color w:val="000000"/>
          <w:sz w:val="32"/>
          <w:szCs w:val="32"/>
        </w:rPr>
      </w:pPr>
      <w:r>
        <w:rPr>
          <w:rFonts w:hint="eastAsia" w:ascii="仿宋_GB2312" w:eastAsia="仿宋_GB2312"/>
          <w:b/>
          <w:bCs/>
          <w:color w:val="000000"/>
          <w:sz w:val="32"/>
          <w:szCs w:val="32"/>
        </w:rPr>
        <w:t>1.因公出国（境）经费支出</w:t>
      </w:r>
      <w:r>
        <w:rPr>
          <w:rFonts w:hint="eastAsia" w:ascii="仿宋_GB2312" w:eastAsia="仿宋_GB2312"/>
          <w:color w:val="000000"/>
          <w:sz w:val="32"/>
          <w:szCs w:val="32"/>
        </w:rPr>
        <w:t>0万元，</w:t>
      </w:r>
      <w:r>
        <w:rPr>
          <w:rStyle w:val="19"/>
          <w:rFonts w:hint="eastAsia" w:ascii="仿宋" w:hAnsi="仿宋" w:eastAsia="仿宋"/>
          <w:b w:val="0"/>
          <w:bCs w:val="0"/>
          <w:color w:val="000000"/>
          <w:sz w:val="32"/>
          <w:szCs w:val="32"/>
        </w:rPr>
        <w:t>完成预算0%。</w:t>
      </w:r>
      <w:r>
        <w:rPr>
          <w:rFonts w:hint="eastAsia" w:ascii="仿宋_GB2312" w:eastAsia="仿宋_GB2312"/>
          <w:color w:val="000000"/>
          <w:sz w:val="32"/>
          <w:szCs w:val="32"/>
        </w:rPr>
        <w:t>全年安排因公出国（境）团组0次，出国（境）0人。因公出国（境）支出决算比2018年增加/减少**万元，增长/下降**%。主要原因是…</w:t>
      </w:r>
    </w:p>
    <w:p>
      <w:pPr>
        <w:spacing w:line="60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开支内容包括：…（团组名称、出访地点、取得成效）</w:t>
      </w:r>
    </w:p>
    <w:p>
      <w:pPr>
        <w:spacing w:line="600" w:lineRule="exact"/>
        <w:ind w:firstLine="640"/>
        <w:rPr>
          <w:rFonts w:hint="eastAsia" w:ascii="仿宋_GB2312" w:eastAsia="仿宋_GB2312"/>
          <w:b/>
          <w:bCs/>
          <w:color w:val="000000"/>
          <w:sz w:val="32"/>
          <w:szCs w:val="32"/>
        </w:rPr>
      </w:pPr>
      <w:r>
        <w:rPr>
          <w:rFonts w:hint="eastAsia" w:ascii="仿宋_GB2312" w:eastAsia="仿宋_GB2312"/>
          <w:b/>
          <w:bCs/>
          <w:color w:val="000000"/>
          <w:sz w:val="32"/>
          <w:szCs w:val="32"/>
        </w:rPr>
        <w:t>2.公务用车购置及运行维护费支出</w:t>
      </w:r>
      <w:r>
        <w:rPr>
          <w:rFonts w:hint="eastAsia" w:ascii="仿宋_GB2312" w:eastAsia="仿宋_GB2312"/>
          <w:color w:val="000000"/>
          <w:sz w:val="32"/>
          <w:szCs w:val="32"/>
        </w:rPr>
        <w:t>6.93万元,</w:t>
      </w:r>
      <w:r>
        <w:rPr>
          <w:rStyle w:val="19"/>
          <w:rFonts w:hint="eastAsia" w:ascii="仿宋" w:hAnsi="仿宋" w:eastAsia="仿宋"/>
          <w:b w:val="0"/>
          <w:bCs w:val="0"/>
          <w:color w:val="000000"/>
          <w:sz w:val="32"/>
          <w:szCs w:val="32"/>
        </w:rPr>
        <w:t>完成预算86.62%。</w:t>
      </w:r>
      <w:r>
        <w:rPr>
          <w:rFonts w:hint="eastAsia" w:ascii="仿宋_GB2312" w:eastAsia="仿宋_GB2312"/>
          <w:color w:val="000000"/>
          <w:sz w:val="32"/>
          <w:szCs w:val="32"/>
        </w:rPr>
        <w:t>公务用车购置及运行维护费支出决算比2018年增加6.93万元，增长100%。主要原因是2018年无公务车。</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bCs/>
          <w:color w:val="000000"/>
          <w:sz w:val="32"/>
          <w:szCs w:val="32"/>
        </w:rPr>
        <w:t>公务用车购置支出</w:t>
      </w:r>
      <w:r>
        <w:rPr>
          <w:rFonts w:hint="eastAsia" w:ascii="仿宋_GB2312" w:eastAsia="仿宋_GB2312"/>
          <w:color w:val="000000"/>
          <w:sz w:val="32"/>
          <w:szCs w:val="32"/>
        </w:rPr>
        <w:t>**万元。全年按规定更新购置公务用车**辆，金额**元。截至2019年12月底，单位共有公务用车0辆，其中：主要领导干部用车0辆、机要通信用车0辆、应急保障用车0辆、 执法执勤用车0辆。</w:t>
      </w:r>
    </w:p>
    <w:p>
      <w:pPr>
        <w:spacing w:line="600" w:lineRule="exact"/>
        <w:ind w:firstLine="640"/>
        <w:rPr>
          <w:rFonts w:hint="eastAsia" w:ascii="仿宋_GB2312" w:eastAsia="仿宋_GB2312"/>
          <w:color w:val="000000"/>
          <w:sz w:val="32"/>
          <w:szCs w:val="32"/>
        </w:rPr>
      </w:pPr>
      <w:r>
        <w:rPr>
          <w:rFonts w:hint="eastAsia" w:ascii="仿宋_GB2312" w:eastAsia="仿宋_GB2312"/>
          <w:b/>
          <w:bCs/>
          <w:color w:val="000000"/>
          <w:sz w:val="32"/>
          <w:szCs w:val="32"/>
        </w:rPr>
        <w:t>公务用车运行维护费支出</w:t>
      </w:r>
      <w:r>
        <w:rPr>
          <w:rFonts w:hint="eastAsia" w:ascii="仿宋_GB2312" w:eastAsia="仿宋_GB2312"/>
          <w:color w:val="000000"/>
          <w:sz w:val="32"/>
          <w:szCs w:val="32"/>
        </w:rPr>
        <w:t>6.93万元。主要用于机关工作正常公务出行等所需的公务用车燃料费、维修费、过路过桥费、保险费等支出。</w:t>
      </w:r>
    </w:p>
    <w:p>
      <w:pPr>
        <w:spacing w:line="600" w:lineRule="exact"/>
        <w:ind w:firstLine="640"/>
        <w:rPr>
          <w:rFonts w:hint="eastAsia" w:ascii="仿宋_GB2312" w:eastAsia="仿宋_GB2312"/>
          <w:color w:val="000000"/>
          <w:sz w:val="32"/>
          <w:szCs w:val="32"/>
        </w:rPr>
      </w:pPr>
      <w:r>
        <w:rPr>
          <w:rFonts w:hint="eastAsia" w:ascii="仿宋_GB2312" w:eastAsia="仿宋_GB2312"/>
          <w:b/>
          <w:bCs/>
          <w:color w:val="000000"/>
          <w:sz w:val="32"/>
          <w:szCs w:val="32"/>
        </w:rPr>
        <w:t>3.公务接待费支出3.6</w:t>
      </w:r>
      <w:r>
        <w:rPr>
          <w:rFonts w:hint="eastAsia" w:ascii="仿宋_GB2312" w:eastAsia="仿宋_GB2312"/>
          <w:color w:val="000000"/>
          <w:sz w:val="32"/>
          <w:szCs w:val="32"/>
        </w:rPr>
        <w:t>万元，</w:t>
      </w:r>
      <w:r>
        <w:rPr>
          <w:rStyle w:val="19"/>
          <w:rFonts w:hint="eastAsia" w:ascii="仿宋" w:hAnsi="仿宋" w:eastAsia="仿宋"/>
          <w:b w:val="0"/>
          <w:bCs w:val="0"/>
          <w:color w:val="000000"/>
          <w:sz w:val="32"/>
          <w:szCs w:val="32"/>
        </w:rPr>
        <w:t>完成预算100%。</w:t>
      </w:r>
      <w:r>
        <w:rPr>
          <w:rFonts w:hint="eastAsia" w:ascii="仿宋_GB2312" w:eastAsia="仿宋_GB2312"/>
          <w:color w:val="000000"/>
          <w:sz w:val="32"/>
          <w:szCs w:val="32"/>
        </w:rPr>
        <w:t>公务接待费支出决算比2018年减少0.4万元，下降10%。主要原因是按要求压缩三公经费其中：</w:t>
      </w:r>
    </w:p>
    <w:p>
      <w:pPr>
        <w:spacing w:line="60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国内公务接待支出3.6万元，主要用于机关国内公务接待(执行公务、开展业务活动开支的交通费、住宿费、用餐费等)。国内公务接待22批次，130人次（不包括陪同人员），共计支出3.6万元，具体内容包括：黑龙江密山市党政代表团、南充市国资委考察团等。</w:t>
      </w:r>
    </w:p>
    <w:p>
      <w:pPr>
        <w:spacing w:line="600" w:lineRule="exact"/>
        <w:ind w:firstLine="643" w:firstLineChars="200"/>
        <w:rPr>
          <w:rFonts w:hint="eastAsia" w:ascii="黑体" w:eastAsia="黑体"/>
          <w:color w:val="000000"/>
          <w:sz w:val="32"/>
          <w:szCs w:val="32"/>
        </w:rPr>
      </w:pPr>
      <w:r>
        <w:rPr>
          <w:rFonts w:hint="eastAsia" w:ascii="仿宋" w:hAnsi="仿宋" w:eastAsia="仿宋"/>
          <w:b/>
          <w:bCs/>
          <w:color w:val="000000"/>
          <w:sz w:val="32"/>
          <w:szCs w:val="32"/>
        </w:rPr>
        <w:t>外事接待支出</w:t>
      </w:r>
      <w:r>
        <w:rPr>
          <w:rFonts w:hint="eastAsia" w:ascii="仿宋" w:hAnsi="仿宋" w:eastAsia="仿宋"/>
          <w:color w:val="000000"/>
          <w:sz w:val="32"/>
          <w:szCs w:val="32"/>
        </w:rPr>
        <w:t>**</w:t>
      </w:r>
      <w:r>
        <w:rPr>
          <w:rFonts w:hint="eastAsia" w:ascii="仿宋_GB2312" w:eastAsia="仿宋_GB2312"/>
          <w:color w:val="000000"/>
          <w:sz w:val="32"/>
          <w:szCs w:val="32"/>
        </w:rPr>
        <w:t>万元，外事接待**批次，**人，共计支出**万元，主要用于接待…（具体项目）</w:t>
      </w:r>
      <w:bookmarkStart w:id="58" w:name="_Toc15396610"/>
      <w:bookmarkEnd w:id="58"/>
      <w:bookmarkStart w:id="59" w:name="_Toc15377218"/>
      <w:bookmarkEnd w:id="59"/>
    </w:p>
    <w:p>
      <w:pPr>
        <w:spacing w:line="600" w:lineRule="exact"/>
        <w:ind w:firstLine="640"/>
        <w:outlineLvl w:val="1"/>
        <w:rPr>
          <w:rStyle w:val="17"/>
          <w:rFonts w:hint="eastAsia" w:ascii="黑体" w:hAnsi="黑体" w:eastAsia="黑体"/>
        </w:rPr>
      </w:pPr>
      <w:r>
        <w:rPr>
          <w:rFonts w:hint="eastAsia" w:ascii="黑体" w:hAnsi="黑体" w:eastAsia="黑体"/>
          <w:color w:val="000000"/>
          <w:sz w:val="32"/>
          <w:szCs w:val="32"/>
        </w:rPr>
        <w:t>八、</w:t>
      </w:r>
      <w:r>
        <w:rPr>
          <w:rStyle w:val="17"/>
          <w:rFonts w:hint="eastAsia" w:ascii="黑体" w:hAnsi="黑体" w:eastAsia="黑体"/>
          <w:b w:val="0"/>
          <w:bCs w:val="0"/>
        </w:rPr>
        <w:t>政府性基金预算支出决算情况说明</w:t>
      </w:r>
    </w:p>
    <w:p>
      <w:pPr>
        <w:spacing w:line="600" w:lineRule="exact"/>
        <w:ind w:firstLine="640"/>
        <w:rPr>
          <w:rFonts w:hint="eastAsia" w:ascii="仿宋_GB2312" w:eastAsia="仿宋_GB2312"/>
          <w:color w:val="000000"/>
        </w:rPr>
      </w:pPr>
      <w:r>
        <w:rPr>
          <w:rFonts w:hint="eastAsia" w:ascii="仿宋_GB2312" w:eastAsia="仿宋_GB2312"/>
          <w:color w:val="000000"/>
          <w:sz w:val="32"/>
          <w:szCs w:val="32"/>
        </w:rPr>
        <w:t>2019年政府性基金预算拨款支出0万元。</w:t>
      </w:r>
    </w:p>
    <w:p>
      <w:pPr>
        <w:numPr>
          <w:ilvl w:val="0"/>
          <w:numId w:val="3"/>
        </w:numPr>
        <w:spacing w:line="600" w:lineRule="exact"/>
        <w:ind w:firstLine="640"/>
        <w:outlineLvl w:val="1"/>
        <w:rPr>
          <w:rStyle w:val="17"/>
          <w:rFonts w:hint="eastAsia" w:ascii="黑体" w:hAnsi="黑体" w:eastAsia="黑体"/>
          <w:b w:val="0"/>
          <w:bCs w:val="0"/>
        </w:rPr>
      </w:pPr>
      <w:bookmarkStart w:id="60" w:name="_Toc15377219"/>
      <w:bookmarkEnd w:id="60"/>
      <w:bookmarkStart w:id="61" w:name="_Toc15396611"/>
      <w:r>
        <w:rPr>
          <w:rStyle w:val="17"/>
          <w:rFonts w:hint="eastAsia" w:ascii="黑体" w:hAnsi="黑体" w:eastAsia="黑体"/>
          <w:b w:val="0"/>
          <w:bCs w:val="0"/>
        </w:rPr>
        <w:t>国有资本经营预算支出决算情况说明</w:t>
      </w:r>
      <w:bookmarkEnd w:id="61"/>
    </w:p>
    <w:p>
      <w:pPr>
        <w:spacing w:line="600" w:lineRule="exact"/>
        <w:ind w:firstLine="640"/>
        <w:rPr>
          <w:rFonts w:hint="eastAsia" w:ascii="仿宋_GB2312" w:eastAsia="仿宋_GB2312"/>
          <w:color w:val="000000"/>
        </w:rPr>
      </w:pPr>
      <w:r>
        <w:rPr>
          <w:rFonts w:hint="eastAsia" w:ascii="仿宋_GB2312" w:eastAsia="仿宋_GB2312"/>
          <w:color w:val="000000"/>
          <w:sz w:val="32"/>
          <w:szCs w:val="32"/>
        </w:rPr>
        <w:t>2019年国有资本经营预算拨款支出0万元。</w:t>
      </w:r>
    </w:p>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 xml:space="preserve"> </w:t>
      </w:r>
    </w:p>
    <w:p>
      <w:pPr>
        <w:spacing w:line="600" w:lineRule="exact"/>
        <w:ind w:firstLine="800" w:firstLineChars="250"/>
        <w:outlineLvl w:val="1"/>
        <w:rPr>
          <w:rStyle w:val="17"/>
          <w:rFonts w:hint="eastAsia" w:ascii="黑体" w:hAnsi="黑体" w:eastAsia="黑体"/>
        </w:rPr>
      </w:pPr>
      <w:bookmarkStart w:id="62" w:name="_Toc15396612"/>
      <w:bookmarkEnd w:id="62"/>
      <w:bookmarkStart w:id="63" w:name="_Toc15377221"/>
      <w:r>
        <w:rPr>
          <w:rFonts w:hint="eastAsia" w:ascii="黑体" w:hAnsi="黑体" w:eastAsia="黑体"/>
          <w:color w:val="000000"/>
          <w:sz w:val="32"/>
          <w:szCs w:val="32"/>
        </w:rPr>
        <w:t>十</w:t>
      </w:r>
      <w:bookmarkEnd w:id="63"/>
      <w:r>
        <w:rPr>
          <w:rStyle w:val="17"/>
          <w:rFonts w:hint="eastAsia" w:ascii="黑体" w:hAnsi="黑体" w:eastAsia="黑体"/>
        </w:rPr>
        <w:t>、</w:t>
      </w:r>
      <w:r>
        <w:rPr>
          <w:rStyle w:val="17"/>
          <w:rFonts w:hint="eastAsia" w:ascii="黑体" w:hAnsi="黑体" w:eastAsia="黑体"/>
          <w:b w:val="0"/>
          <w:bCs w:val="0"/>
        </w:rPr>
        <w:t>其他重要事项的情况说明</w:t>
      </w:r>
    </w:p>
    <w:p>
      <w:pPr>
        <w:spacing w:line="600" w:lineRule="exact"/>
        <w:ind w:firstLine="643" w:firstLineChars="200"/>
        <w:outlineLvl w:val="2"/>
        <w:rPr>
          <w:rFonts w:hint="eastAsia" w:ascii="仿宋" w:hAnsi="仿宋" w:eastAsia="仿宋"/>
          <w:color w:val="000000"/>
        </w:rPr>
      </w:pPr>
      <w:bookmarkStart w:id="64" w:name="_Toc15377222"/>
      <w:bookmarkEnd w:id="64"/>
      <w:r>
        <w:rPr>
          <w:rFonts w:hint="eastAsia" w:ascii="仿宋" w:hAnsi="仿宋" w:eastAsia="仿宋"/>
          <w:b/>
          <w:bCs/>
          <w:color w:val="000000"/>
          <w:sz w:val="32"/>
          <w:szCs w:val="32"/>
        </w:rPr>
        <w:t>（一）机关运行经费支出情况</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2019年，市国资委机关运行经费支出218.89万元，比2018年减少29.47万元，下降11.87%。主要原因是按规定压缩一般财政公共支出。</w:t>
      </w:r>
    </w:p>
    <w:p>
      <w:pPr>
        <w:spacing w:line="600" w:lineRule="exact"/>
        <w:ind w:firstLine="643" w:firstLineChars="200"/>
        <w:rPr>
          <w:rFonts w:hint="eastAsia" w:ascii="仿宋" w:hAnsi="仿宋" w:eastAsia="仿宋"/>
          <w:b/>
          <w:bCs/>
          <w:color w:val="FF0000"/>
          <w:sz w:val="32"/>
          <w:szCs w:val="32"/>
        </w:rPr>
      </w:pPr>
      <w:r>
        <w:rPr>
          <w:rFonts w:hint="eastAsia" w:ascii="仿宋" w:hAnsi="仿宋" w:eastAsia="仿宋"/>
          <w:b/>
          <w:bCs/>
          <w:color w:val="FF0000"/>
          <w:sz w:val="32"/>
          <w:szCs w:val="32"/>
        </w:rPr>
        <w:t>（注：数据来源于财决附03表）</w:t>
      </w:r>
    </w:p>
    <w:p>
      <w:pPr>
        <w:autoSpaceDE w:val="0"/>
        <w:autoSpaceDN w:val="0"/>
        <w:adjustRightInd w:val="0"/>
        <w:spacing w:line="600" w:lineRule="exact"/>
        <w:ind w:firstLine="643" w:firstLineChars="200"/>
        <w:jc w:val="left"/>
        <w:outlineLvl w:val="2"/>
        <w:rPr>
          <w:rFonts w:hint="eastAsia" w:ascii="仿宋" w:hAnsi="仿宋" w:eastAsia="仿宋"/>
          <w:b/>
          <w:bCs/>
          <w:color w:val="000000"/>
          <w:sz w:val="32"/>
          <w:szCs w:val="32"/>
        </w:rPr>
      </w:pPr>
      <w:bookmarkStart w:id="65" w:name="_Toc15377223"/>
      <w:bookmarkEnd w:id="65"/>
      <w:r>
        <w:rPr>
          <w:rFonts w:hint="eastAsia" w:ascii="仿宋" w:hAnsi="仿宋" w:eastAsia="仿宋"/>
          <w:b/>
          <w:bCs/>
          <w:color w:val="000000"/>
          <w:sz w:val="32"/>
          <w:szCs w:val="32"/>
        </w:rPr>
        <w:t>（二）政府采购支出情况</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2019年，***政府采购支出总额**万元，其中：政府采购货物支出**万元、政府采购工程支出**万元、政府采购服务支出**万元。主要用于…（具体工作）。授予中小企业合同金额**万元，占政府采购支出总额的**%，其中：授予小微企业合同金额**万元，占政府采购支出总额的**%。</w:t>
      </w:r>
    </w:p>
    <w:p>
      <w:pPr>
        <w:spacing w:line="600" w:lineRule="exact"/>
        <w:ind w:firstLine="643" w:firstLineChars="200"/>
        <w:rPr>
          <w:rFonts w:hint="eastAsia" w:ascii="仿宋" w:hAnsi="仿宋" w:eastAsia="仿宋"/>
          <w:b/>
          <w:bCs/>
          <w:color w:val="FF0000"/>
          <w:sz w:val="32"/>
          <w:szCs w:val="32"/>
        </w:rPr>
      </w:pPr>
      <w:r>
        <w:rPr>
          <w:rFonts w:hint="eastAsia" w:ascii="仿宋" w:hAnsi="仿宋" w:eastAsia="仿宋"/>
          <w:b/>
          <w:bCs/>
          <w:color w:val="FF0000"/>
          <w:sz w:val="32"/>
          <w:szCs w:val="32"/>
        </w:rPr>
        <w:t>（注：数据来源于财决附03表）</w:t>
      </w:r>
    </w:p>
    <w:p>
      <w:pPr>
        <w:autoSpaceDE w:val="0"/>
        <w:autoSpaceDN w:val="0"/>
        <w:adjustRightInd w:val="0"/>
        <w:spacing w:line="600" w:lineRule="exact"/>
        <w:ind w:firstLine="643" w:firstLineChars="200"/>
        <w:jc w:val="left"/>
        <w:outlineLvl w:val="2"/>
        <w:rPr>
          <w:rFonts w:hint="eastAsia" w:ascii="仿宋" w:hAnsi="仿宋" w:eastAsia="仿宋"/>
          <w:b/>
          <w:bCs/>
          <w:color w:val="000000"/>
          <w:sz w:val="32"/>
          <w:szCs w:val="32"/>
        </w:rPr>
      </w:pPr>
      <w:bookmarkStart w:id="66" w:name="_Toc15377224"/>
      <w:bookmarkEnd w:id="66"/>
      <w:r>
        <w:rPr>
          <w:rFonts w:hint="eastAsia" w:ascii="仿宋" w:hAnsi="仿宋" w:eastAsia="仿宋"/>
          <w:b/>
          <w:bCs/>
          <w:color w:val="000000"/>
          <w:sz w:val="32"/>
          <w:szCs w:val="32"/>
        </w:rPr>
        <w:t>（三）国有资产占有使用情况</w:t>
      </w:r>
    </w:p>
    <w:p>
      <w:pPr>
        <w:autoSpaceDE w:val="0"/>
        <w:autoSpaceDN w:val="0"/>
        <w:adjustRightInd w:val="0"/>
        <w:spacing w:line="600" w:lineRule="exact"/>
        <w:ind w:firstLine="640" w:firstLineChars="200"/>
        <w:jc w:val="left"/>
        <w:rPr>
          <w:rFonts w:hint="eastAsia" w:ascii="仿宋" w:hAnsi="仿宋" w:eastAsia="仿宋"/>
          <w:b/>
          <w:bCs/>
          <w:color w:val="FF0000"/>
          <w:sz w:val="32"/>
          <w:szCs w:val="32"/>
        </w:rPr>
      </w:pPr>
      <w:r>
        <w:rPr>
          <w:rFonts w:hint="eastAsia" w:ascii="仿宋_GB2312" w:eastAsia="仿宋_GB2312"/>
          <w:color w:val="000000"/>
          <w:sz w:val="32"/>
          <w:szCs w:val="32"/>
        </w:rPr>
        <w:t>截至2019年12月31日，市国资共有车辆1辆，其中：主要领导干部用车1辆、机要通信用车**辆、应急保障用车**辆、其他用车**辆……其他用车主要是用于……单价50万元以上通用设备**台（套），单价100万元以上专用设备**台（套）。</w:t>
      </w:r>
      <w:r>
        <w:rPr>
          <w:rFonts w:hint="eastAsia" w:ascii="仿宋" w:hAnsi="仿宋" w:eastAsia="仿宋"/>
          <w:b/>
          <w:bCs/>
          <w:color w:val="FF0000"/>
          <w:sz w:val="32"/>
          <w:szCs w:val="32"/>
        </w:rPr>
        <w:t>（注：数据来源财决附03表，按部门决算报表填报数据罗列车辆情况。）</w:t>
      </w:r>
    </w:p>
    <w:p>
      <w:pPr>
        <w:autoSpaceDE w:val="0"/>
        <w:autoSpaceDN w:val="0"/>
        <w:adjustRightInd w:val="0"/>
        <w:spacing w:line="600" w:lineRule="exact"/>
        <w:ind w:firstLine="643" w:firstLineChars="200"/>
        <w:jc w:val="left"/>
        <w:outlineLvl w:val="2"/>
        <w:rPr>
          <w:rFonts w:hint="eastAsia" w:ascii="仿宋" w:hAnsi="仿宋" w:eastAsia="仿宋"/>
          <w:b/>
          <w:bCs/>
          <w:color w:val="000000"/>
          <w:sz w:val="32"/>
          <w:szCs w:val="32"/>
        </w:rPr>
      </w:pPr>
      <w:r>
        <w:rPr>
          <w:rFonts w:hint="eastAsia" w:ascii="仿宋" w:hAnsi="仿宋" w:eastAsia="仿宋"/>
          <w:b/>
          <w:bCs/>
          <w:color w:val="000000"/>
          <w:sz w:val="32"/>
          <w:szCs w:val="32"/>
        </w:rPr>
        <w:t>（四）预算绩效管理情况。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根据预算绩效管理要求，本部门（单位）在年初预算编制阶段，组织对公开聘请第三方机构对国有企业进行审计服务项目（项目名称）开展了预算事前绩效评估，对4个项目编制了绩效目标，预算执行过程中，选取1个项目开展绩效监控，年终执行完毕后，对1个项目开展了绩效目标完成情况自评。</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本部门按要求对2019年部门整体支出开展绩效自评，从评价情况来看进一步深化国有企业改革工作，全面实施对市本级国有企业的重组整合，转变财政支持产业发展方式，充分发挥财政资金的引导和放大作用，加大川陕革命老区振兴发展基金募投，融资方面，进一步优化巴中市属国有企业融资结构，提高直接融资比例。本部门还自行组织了3个项目支出绩效评价，从评价情况来看较好的完成了该项目。</w:t>
      </w:r>
    </w:p>
    <w:p>
      <w:pPr>
        <w:spacing w:line="580" w:lineRule="exact"/>
        <w:ind w:firstLine="640" w:firstLineChars="200"/>
        <w:rPr>
          <w:rFonts w:hint="eastAsia" w:ascii="仿宋_GB2312" w:eastAsia="仿宋_GB2312"/>
          <w:sz w:val="32"/>
          <w:szCs w:val="32"/>
        </w:rPr>
      </w:pPr>
      <w:r>
        <w:rPr>
          <w:rFonts w:hint="eastAsia" w:ascii="楷体_GB2312" w:eastAsia="楷体_GB2312"/>
          <w:sz w:val="32"/>
          <w:szCs w:val="32"/>
        </w:rPr>
        <w:t>1、项目绩效目标完成情况。</w:t>
      </w:r>
      <w:r>
        <w:rPr>
          <w:rFonts w:hint="eastAsia" w:ascii="楷体_GB2312" w:eastAsia="楷体_GB2312"/>
          <w:sz w:val="32"/>
          <w:szCs w:val="32"/>
        </w:rPr>
        <w:br w:type="textWrapping"/>
      </w:r>
      <w:r>
        <w:rPr>
          <w:rFonts w:hint="eastAsia" w:ascii="仿宋_GB2312" w:eastAsia="仿宋_GB2312"/>
          <w:sz w:val="32"/>
          <w:szCs w:val="32"/>
        </w:rPr>
        <w:t xml:space="preserve">    本部门在2019年度部门决算中反映“企业债券及投融资工作””国资国企改革”“审计服务项目”等3个项目绩效目标实际完成情况。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企业债券及投融资工作经费项目绩效目标完成情况综述。项目全年预算数25万元，执行数为25万元，完成预算的100%。通过项目实施，市国资委分别与省金控集团和省产业基金签订了战略合作协议。大力支持市属企业市场化融资。</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（2）国资国企改革专项经费项目绩效目标完成情况综述。项目全年预算数5万元，执行数为5万元，完成预算的100%。通过项目实施，加快国有经济布局结构调整，全面深化国资国企改革。</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公开聘请第三方机构对国有企业进行审计服务项目绩效目标完成情况综述。项目全年预算数149.15万元，执行数为149.15万元，完成预算的100%。通过项目实施委托会计师事务所出具科学、真实、客观、可信的市属企业年度财务决算审计报告，国有资本经营收益、负责人经营业绩考核、企业工资总额清算等专项审计报告，为市国资委履行国资国企监管职能提供有力的数据支撑。</w:t>
      </w:r>
    </w:p>
    <w:p>
      <w:pPr>
        <w:pStyle w:val="2"/>
        <w:spacing w:before="93"/>
        <w:rPr>
          <w:rFonts w:hint="eastAsia"/>
          <w:sz w:val="32"/>
          <w:szCs w:val="32"/>
        </w:rPr>
      </w:pPr>
      <w:r>
        <w:rPr>
          <w:rFonts w:hint="eastAsia"/>
          <w:sz w:val="32"/>
          <w:szCs w:val="32"/>
        </w:rPr>
        <w:t xml:space="preserve"> </w:t>
      </w:r>
    </w:p>
    <w:p>
      <w:pPr>
        <w:pStyle w:val="2"/>
        <w:spacing w:before="93"/>
        <w:rPr>
          <w:rFonts w:hint="eastAsia"/>
          <w:sz w:val="32"/>
          <w:szCs w:val="32"/>
        </w:rPr>
      </w:pPr>
      <w:r>
        <w:rPr>
          <w:rFonts w:hint="eastAsia"/>
          <w:sz w:val="32"/>
          <w:szCs w:val="32"/>
        </w:rPr>
        <w:t xml:space="preserve"> </w:t>
      </w:r>
    </w:p>
    <w:p>
      <w:pPr>
        <w:pStyle w:val="2"/>
        <w:spacing w:before="93"/>
        <w:rPr>
          <w:rFonts w:hint="eastAsia"/>
          <w:sz w:val="32"/>
          <w:szCs w:val="32"/>
        </w:rPr>
      </w:pPr>
      <w:r>
        <w:rPr>
          <w:rFonts w:hint="eastAsia"/>
          <w:sz w:val="32"/>
          <w:szCs w:val="32"/>
        </w:rPr>
        <w:t xml:space="preserve"> </w:t>
      </w:r>
    </w:p>
    <w:p>
      <w:pPr>
        <w:pStyle w:val="2"/>
        <w:spacing w:before="93"/>
        <w:rPr>
          <w:rFonts w:hint="eastAsia"/>
          <w:sz w:val="32"/>
          <w:szCs w:val="32"/>
        </w:rPr>
      </w:pPr>
      <w:r>
        <w:rPr>
          <w:rFonts w:hint="eastAsia"/>
          <w:sz w:val="32"/>
          <w:szCs w:val="32"/>
        </w:rPr>
        <w:t xml:space="preserve"> </w:t>
      </w:r>
    </w:p>
    <w:p>
      <w:pPr>
        <w:pStyle w:val="2"/>
        <w:spacing w:before="93"/>
        <w:rPr>
          <w:rFonts w:hint="eastAsia"/>
          <w:sz w:val="32"/>
          <w:szCs w:val="32"/>
        </w:rPr>
      </w:pPr>
      <w:r>
        <w:rPr>
          <w:rFonts w:hint="eastAsia"/>
          <w:sz w:val="32"/>
          <w:szCs w:val="32"/>
        </w:rPr>
        <w:t xml:space="preserve"> </w:t>
      </w:r>
    </w:p>
    <w:p>
      <w:pPr>
        <w:pStyle w:val="2"/>
        <w:spacing w:before="93"/>
        <w:rPr>
          <w:rFonts w:hint="eastAsia"/>
          <w:sz w:val="32"/>
          <w:szCs w:val="32"/>
        </w:rPr>
      </w:pPr>
      <w:r>
        <w:rPr>
          <w:rFonts w:hint="eastAsia"/>
          <w:sz w:val="32"/>
          <w:szCs w:val="32"/>
        </w:rPr>
        <w:t xml:space="preserve"> </w:t>
      </w:r>
    </w:p>
    <w:tbl>
      <w:tblPr>
        <w:tblStyle w:val="9"/>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bottom w:w="0" w:type="dxa"/>
              <w:right w:w="15" w:type="dxa"/>
            </w:tcMar>
            <w:vAlign w:val="center"/>
          </w:tcPr>
          <w:p>
            <w:pPr>
              <w:widowControl/>
              <w:jc w:val="center"/>
              <w:textAlignment w:val="center"/>
              <w:rPr>
                <w:rFonts w:ascii="宋体" w:hAnsi="宋体"/>
                <w:color w:val="000000"/>
                <w:sz w:val="36"/>
                <w:szCs w:val="36"/>
              </w:rPr>
            </w:pPr>
            <w:r>
              <w:rPr>
                <w:rFonts w:hint="eastAsia" w:ascii="宋体" w:hAnsi="宋体"/>
                <w:b/>
                <w:bCs/>
                <w:color w:val="000000"/>
                <w:kern w:val="0"/>
                <w:sz w:val="36"/>
                <w:szCs w:val="36"/>
              </w:rPr>
              <w:t>项目绩效目标完成情况表</w:t>
            </w:r>
            <w:r>
              <w:rPr>
                <w:rFonts w:hint="eastAsia" w:ascii="宋体" w:hAnsi="宋体"/>
                <w:b/>
                <w:bCs/>
                <w:color w:val="000000"/>
                <w:kern w:val="0"/>
                <w:sz w:val="36"/>
                <w:szCs w:val="36"/>
              </w:rPr>
              <w:br w:type="textWrapping"/>
            </w:r>
            <w:r>
              <w:rPr>
                <w:rFonts w:hint="eastAsia" w:ascii="宋体" w:hAnsi="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项目名称</w:t>
            </w:r>
          </w:p>
        </w:tc>
        <w:tc>
          <w:tcPr>
            <w:tcW w:w="7178"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企业债券及投融资工作经费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预算单位</w:t>
            </w:r>
          </w:p>
        </w:tc>
        <w:tc>
          <w:tcPr>
            <w:tcW w:w="7178"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803001</w:t>
            </w:r>
          </w:p>
        </w:tc>
      </w:tr>
      <w:tr>
        <w:tblPrEx>
          <w:tblCellMar>
            <w:top w:w="0" w:type="dxa"/>
            <w:left w:w="0" w:type="dxa"/>
            <w:bottom w:w="0" w:type="dxa"/>
            <w:right w:w="0" w:type="dxa"/>
          </w:tblCellMar>
        </w:tblPrEx>
        <w:trPr>
          <w:trHeight w:val="276" w:hRule="atLeast"/>
          <w:jc w:val="center"/>
        </w:trPr>
        <w:tc>
          <w:tcPr>
            <w:tcW w:w="390"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预算执行情况(万元)</w:t>
            </w:r>
          </w:p>
        </w:tc>
        <w:tc>
          <w:tcPr>
            <w:tcW w:w="2392"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预算数:</w:t>
            </w:r>
          </w:p>
        </w:tc>
        <w:tc>
          <w:tcPr>
            <w:tcW w:w="23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25万</w:t>
            </w:r>
          </w:p>
        </w:tc>
        <w:tc>
          <w:tcPr>
            <w:tcW w:w="23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执行数:</w:t>
            </w:r>
          </w:p>
        </w:tc>
        <w:tc>
          <w:tcPr>
            <w:tcW w:w="23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25万</w:t>
            </w:r>
          </w:p>
        </w:tc>
      </w:tr>
      <w:tr>
        <w:tblPrEx>
          <w:tblCellMar>
            <w:top w:w="0" w:type="dxa"/>
            <w:left w:w="0" w:type="dxa"/>
            <w:bottom w:w="0" w:type="dxa"/>
            <w:right w:w="0" w:type="dxa"/>
          </w:tblCellMar>
        </w:tblPrEx>
        <w:trPr>
          <w:trHeight w:val="276" w:hRule="atLeast"/>
          <w:jc w:val="center"/>
        </w:trPr>
        <w:tc>
          <w:tcPr>
            <w:tcW w:w="39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sz w:val="24"/>
                <w:szCs w:val="24"/>
              </w:rPr>
            </w:pPr>
          </w:p>
        </w:tc>
        <w:tc>
          <w:tcPr>
            <w:tcW w:w="2392"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其中-财政拨款:</w:t>
            </w:r>
          </w:p>
        </w:tc>
        <w:tc>
          <w:tcPr>
            <w:tcW w:w="23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25万</w:t>
            </w:r>
          </w:p>
        </w:tc>
        <w:tc>
          <w:tcPr>
            <w:tcW w:w="23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其中-财政拨款:</w:t>
            </w:r>
          </w:p>
        </w:tc>
        <w:tc>
          <w:tcPr>
            <w:tcW w:w="23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25万</w:t>
            </w:r>
          </w:p>
        </w:tc>
      </w:tr>
      <w:tr>
        <w:tblPrEx>
          <w:tblCellMar>
            <w:top w:w="0" w:type="dxa"/>
            <w:left w:w="0" w:type="dxa"/>
            <w:bottom w:w="0" w:type="dxa"/>
            <w:right w:w="0" w:type="dxa"/>
          </w:tblCellMar>
        </w:tblPrEx>
        <w:trPr>
          <w:trHeight w:val="1511" w:hRule="atLeast"/>
          <w:jc w:val="center"/>
        </w:trPr>
        <w:tc>
          <w:tcPr>
            <w:tcW w:w="39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sz w:val="24"/>
                <w:szCs w:val="24"/>
              </w:rPr>
            </w:pPr>
          </w:p>
        </w:tc>
        <w:tc>
          <w:tcPr>
            <w:tcW w:w="2392"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其它资金:</w:t>
            </w:r>
          </w:p>
        </w:tc>
        <w:tc>
          <w:tcPr>
            <w:tcW w:w="23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p>
        </w:tc>
        <w:tc>
          <w:tcPr>
            <w:tcW w:w="23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其它资金:</w:t>
            </w:r>
          </w:p>
        </w:tc>
        <w:tc>
          <w:tcPr>
            <w:tcW w:w="23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 w:val="24"/>
                <w:szCs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年度目标完成情况</w:t>
            </w:r>
          </w:p>
        </w:tc>
        <w:tc>
          <w:tcPr>
            <w:tcW w:w="4784"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预期目标</w:t>
            </w:r>
          </w:p>
        </w:tc>
        <w:tc>
          <w:tcPr>
            <w:tcW w:w="4786"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nil"/>
              <w:left w:val="single" w:color="000000" w:sz="4" w:space="0"/>
              <w:bottom w:val="single" w:color="auto" w:sz="4" w:space="0"/>
              <w:right w:val="single" w:color="000000" w:sz="4" w:space="0"/>
            </w:tcBorders>
            <w:vAlign w:val="center"/>
          </w:tcPr>
          <w:p>
            <w:pPr>
              <w:widowControl/>
              <w:jc w:val="left"/>
              <w:rPr>
                <w:rFonts w:ascii="宋体" w:hAnsi="宋体"/>
                <w:color w:val="000000"/>
                <w:sz w:val="24"/>
                <w:szCs w:val="24"/>
              </w:rPr>
            </w:pPr>
          </w:p>
        </w:tc>
        <w:tc>
          <w:tcPr>
            <w:tcW w:w="4784" w:type="dxa"/>
            <w:gridSpan w:val="3"/>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为筹集全市经济社会发展建设资金，发行的企业债券、中期票据、公司债券、定向工具；完成年度债券发行任务</w:t>
            </w:r>
          </w:p>
        </w:tc>
        <w:tc>
          <w:tcPr>
            <w:tcW w:w="4786" w:type="dxa"/>
            <w:gridSpan w:val="2"/>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ind w:firstLine="480" w:firstLineChars="200"/>
              <w:textAlignment w:val="center"/>
              <w:rPr>
                <w:rFonts w:ascii="宋体" w:hAnsi="宋体"/>
                <w:color w:val="000000"/>
                <w:sz w:val="24"/>
                <w:szCs w:val="24"/>
              </w:rPr>
            </w:pPr>
            <w:r>
              <w:rPr>
                <w:rFonts w:hint="eastAsia" w:ascii="宋体" w:hAnsi="宋体"/>
                <w:color w:val="000000"/>
                <w:sz w:val="24"/>
                <w:szCs w:val="24"/>
              </w:rPr>
              <w:t>2019年市属国有企业通过企业债、公司债、PPN、专项债等方式实现融资到位40.55亿元，其中市国资经营融资到账29亿元（公司债15亿元、中票8亿元、PPN10亿元），秦巴新城公司融资到账7.55亿元（其中企业债4亿元、PPN3.55亿元），为国有企业转型发展、债务风险防范化解、支持全市重大项目建设等提供了资金保障。</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绩效指标完成情况</w:t>
            </w:r>
          </w:p>
        </w:tc>
        <w:tc>
          <w:tcPr>
            <w:tcW w:w="1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一级指标</w:t>
            </w:r>
          </w:p>
        </w:tc>
        <w:tc>
          <w:tcPr>
            <w:tcW w:w="10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二级指标</w:t>
            </w: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三级指标</w:t>
            </w:r>
          </w:p>
        </w:tc>
        <w:tc>
          <w:tcPr>
            <w:tcW w:w="239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预期指标值(包含数字及文字描述)</w:t>
            </w: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szCs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项目完成指标</w:t>
            </w:r>
          </w:p>
        </w:tc>
        <w:tc>
          <w:tcPr>
            <w:tcW w:w="10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完成年度债券发行任务</w:t>
            </w:r>
          </w:p>
        </w:tc>
        <w:tc>
          <w:tcPr>
            <w:tcW w:w="239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2019年市属国有企业通过企业债、公司债、PPN、专项债等方式实现融资到位40.55亿元</w:t>
            </w: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2019年市属国有企业通过企业债、公司债、PPN、专项债等方式实现融资到位40.55亿元</w:t>
            </w:r>
          </w:p>
        </w:tc>
      </w:tr>
      <w:tr>
        <w:tblPrEx>
          <w:tblCellMar>
            <w:top w:w="0" w:type="dxa"/>
            <w:left w:w="0" w:type="dxa"/>
            <w:bottom w:w="0" w:type="dxa"/>
            <w:right w:w="0" w:type="dxa"/>
          </w:tblCellMar>
        </w:tblPrEx>
        <w:trPr>
          <w:trHeight w:val="1297" w:hRule="atLeast"/>
          <w:jc w:val="center"/>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szCs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项目完成指标</w:t>
            </w:r>
          </w:p>
        </w:tc>
        <w:tc>
          <w:tcPr>
            <w:tcW w:w="10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筹集其他发展资金</w:t>
            </w:r>
          </w:p>
        </w:tc>
        <w:tc>
          <w:tcPr>
            <w:tcW w:w="239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2019年市属国有企业通过企业债、公司债、PPN、专项债等方式实现融资到位40.55亿元</w:t>
            </w: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2019年市属国有企业通过企业债、公司债、PPN、专项债等方式实现融资到位40.55亿元</w:t>
            </w:r>
          </w:p>
        </w:tc>
      </w:tr>
      <w:tr>
        <w:tblPrEx>
          <w:tblCellMar>
            <w:top w:w="0" w:type="dxa"/>
            <w:left w:w="0" w:type="dxa"/>
            <w:bottom w:w="0" w:type="dxa"/>
            <w:right w:w="0" w:type="dxa"/>
          </w:tblCellMar>
        </w:tblPrEx>
        <w:trPr>
          <w:trHeight w:val="1297" w:hRule="atLeast"/>
          <w:jc w:val="center"/>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szCs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效益指标</w:t>
            </w:r>
          </w:p>
        </w:tc>
        <w:tc>
          <w:tcPr>
            <w:tcW w:w="10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p>
        </w:tc>
        <w:tc>
          <w:tcPr>
            <w:tcW w:w="239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p>
        </w:tc>
      </w:tr>
      <w:tr>
        <w:tblPrEx>
          <w:tblCellMar>
            <w:top w:w="0" w:type="dxa"/>
            <w:left w:w="0" w:type="dxa"/>
            <w:bottom w:w="0" w:type="dxa"/>
            <w:right w:w="0" w:type="dxa"/>
          </w:tblCellMar>
        </w:tblPrEx>
        <w:trPr>
          <w:trHeight w:val="1050" w:hRule="atLeast"/>
          <w:jc w:val="center"/>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szCs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满意度指标</w:t>
            </w:r>
          </w:p>
        </w:tc>
        <w:tc>
          <w:tcPr>
            <w:tcW w:w="10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满意度</w:t>
            </w:r>
            <m:oMath>
              <m:r>
                <m:rPr>
                  <m:sty m:val="p"/>
                </m:rPr>
                <w:rPr>
                  <w:rFonts w:ascii="Cambria Math" w:hAnsi="Cambria Math"/>
                  <w:color w:val="000000"/>
                  <w:sz w:val="24"/>
                  <w:szCs w:val="24"/>
                </w:rPr>
                <m:t>≥90%</m:t>
              </m:r>
            </m:oMath>
          </w:p>
          <w:p>
            <w:pPr>
              <w:pStyle w:val="2"/>
              <w:spacing w:before="93"/>
              <w:rPr>
                <w:rFonts w:ascii="宋体" w:hAnsi="宋体" w:eastAsia="宋体"/>
              </w:rPr>
            </w:pPr>
          </w:p>
        </w:tc>
        <w:tc>
          <w:tcPr>
            <w:tcW w:w="239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满意度</w:t>
            </w:r>
            <m:oMath>
              <m:r>
                <m:rPr>
                  <m:sty m:val="p"/>
                </m:rPr>
                <w:rPr>
                  <w:rFonts w:ascii="Cambria Math" w:hAnsi="Cambria Math"/>
                  <w:color w:val="000000"/>
                  <w:sz w:val="24"/>
                  <w:szCs w:val="24"/>
                </w:rPr>
                <m:t>≥90%</m:t>
              </m:r>
            </m:oMath>
          </w:p>
          <w:p>
            <w:pPr>
              <w:widowControl/>
              <w:jc w:val="center"/>
              <w:textAlignment w:val="center"/>
              <w:rPr>
                <w:rFonts w:ascii="宋体" w:hAnsi="宋体"/>
                <w:color w:val="000000"/>
                <w:sz w:val="24"/>
                <w:szCs w:val="24"/>
              </w:rPr>
            </w:pP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满意度</w:t>
            </w:r>
            <m:oMath>
              <m:r>
                <m:rPr>
                  <m:sty m:val="p"/>
                </m:rPr>
                <w:rPr>
                  <w:rFonts w:ascii="Cambria Math" w:hAnsi="Cambria Math"/>
                  <w:color w:val="000000"/>
                  <w:sz w:val="24"/>
                  <w:szCs w:val="24"/>
                </w:rPr>
                <m:t>≥90%</m:t>
              </m:r>
            </m:oMath>
          </w:p>
          <w:p>
            <w:pPr>
              <w:widowControl/>
              <w:jc w:val="center"/>
              <w:textAlignment w:val="center"/>
              <w:rPr>
                <w:rFonts w:ascii="宋体" w:hAnsi="宋体"/>
                <w:color w:val="000000"/>
                <w:sz w:val="24"/>
                <w:szCs w:val="24"/>
              </w:rPr>
            </w:pPr>
          </w:p>
        </w:tc>
      </w:tr>
      <w:tr>
        <w:tblPrEx>
          <w:tblCellMar>
            <w:top w:w="0" w:type="dxa"/>
            <w:left w:w="0" w:type="dxa"/>
            <w:bottom w:w="0" w:type="dxa"/>
            <w:right w:w="0" w:type="dxa"/>
          </w:tblCellMar>
        </w:tblPrEx>
        <w:trPr>
          <w:trHeight w:val="1034" w:hRule="atLeast"/>
          <w:jc w:val="center"/>
        </w:trPr>
        <w:tc>
          <w:tcPr>
            <w:tcW w:w="9960" w:type="dxa"/>
            <w:gridSpan w:val="6"/>
            <w:tcBorders>
              <w:top w:val="single" w:color="auto" w:sz="4" w:space="0"/>
              <w:left w:val="nil"/>
              <w:bottom w:val="nil"/>
              <w:right w:val="nil"/>
            </w:tcBorders>
            <w:tcMar>
              <w:top w:w="15" w:type="dxa"/>
              <w:left w:w="15" w:type="dxa"/>
              <w:bottom w:w="0" w:type="dxa"/>
              <w:right w:w="15" w:type="dxa"/>
            </w:tcMar>
            <w:vAlign w:val="center"/>
          </w:tcPr>
          <w:p>
            <w:pPr>
              <w:pStyle w:val="2"/>
              <w:spacing w:before="93"/>
              <w:rPr>
                <w:rFonts w:ascii="宋体" w:hAnsi="宋体" w:cs="宋体"/>
                <w:b/>
                <w:bCs/>
                <w:color w:val="000000"/>
                <w:sz w:val="36"/>
                <w:szCs w:val="36"/>
              </w:rPr>
            </w:pPr>
          </w:p>
          <w:p>
            <w:pPr>
              <w:widowControl/>
              <w:jc w:val="center"/>
              <w:textAlignment w:val="center"/>
              <w:rPr>
                <w:rFonts w:ascii="宋体" w:hAnsi="宋体"/>
                <w:color w:val="000000"/>
                <w:sz w:val="36"/>
                <w:szCs w:val="36"/>
              </w:rPr>
            </w:pPr>
            <w:r>
              <w:rPr>
                <w:rFonts w:hint="eastAsia" w:ascii="宋体" w:hAnsi="宋体"/>
                <w:b/>
                <w:bCs/>
                <w:color w:val="000000"/>
                <w:kern w:val="0"/>
                <w:sz w:val="36"/>
                <w:szCs w:val="36"/>
              </w:rPr>
              <w:t>项目绩效目标完成情况表</w:t>
            </w:r>
            <w:r>
              <w:rPr>
                <w:rFonts w:hint="eastAsia" w:ascii="宋体" w:hAnsi="宋体"/>
                <w:b/>
                <w:bCs/>
                <w:color w:val="000000"/>
                <w:kern w:val="0"/>
                <w:sz w:val="36"/>
                <w:szCs w:val="36"/>
              </w:rPr>
              <w:br w:type="textWrapping"/>
            </w:r>
            <w:r>
              <w:rPr>
                <w:rFonts w:hint="eastAsia" w:ascii="宋体" w:hAnsi="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项目名称</w:t>
            </w:r>
          </w:p>
        </w:tc>
        <w:tc>
          <w:tcPr>
            <w:tcW w:w="7178"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国资国企改革专项经费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预算单位</w:t>
            </w:r>
          </w:p>
        </w:tc>
        <w:tc>
          <w:tcPr>
            <w:tcW w:w="7178"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803001</w:t>
            </w:r>
          </w:p>
        </w:tc>
      </w:tr>
      <w:tr>
        <w:tblPrEx>
          <w:tblCellMar>
            <w:top w:w="0" w:type="dxa"/>
            <w:left w:w="0" w:type="dxa"/>
            <w:bottom w:w="0" w:type="dxa"/>
            <w:right w:w="0" w:type="dxa"/>
          </w:tblCellMar>
        </w:tblPrEx>
        <w:trPr>
          <w:trHeight w:val="276" w:hRule="atLeast"/>
          <w:jc w:val="center"/>
        </w:trPr>
        <w:tc>
          <w:tcPr>
            <w:tcW w:w="390"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预算执行情况(万元)</w:t>
            </w:r>
          </w:p>
        </w:tc>
        <w:tc>
          <w:tcPr>
            <w:tcW w:w="2392"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预算数:</w:t>
            </w:r>
          </w:p>
        </w:tc>
        <w:tc>
          <w:tcPr>
            <w:tcW w:w="23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5万</w:t>
            </w:r>
          </w:p>
        </w:tc>
        <w:tc>
          <w:tcPr>
            <w:tcW w:w="23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执行数:</w:t>
            </w:r>
          </w:p>
        </w:tc>
        <w:tc>
          <w:tcPr>
            <w:tcW w:w="23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5万</w:t>
            </w:r>
          </w:p>
        </w:tc>
      </w:tr>
      <w:tr>
        <w:tblPrEx>
          <w:tblCellMar>
            <w:top w:w="0" w:type="dxa"/>
            <w:left w:w="0" w:type="dxa"/>
            <w:bottom w:w="0" w:type="dxa"/>
            <w:right w:w="0" w:type="dxa"/>
          </w:tblCellMar>
        </w:tblPrEx>
        <w:trPr>
          <w:trHeight w:val="276" w:hRule="atLeast"/>
          <w:jc w:val="center"/>
        </w:trPr>
        <w:tc>
          <w:tcPr>
            <w:tcW w:w="39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sz w:val="24"/>
                <w:szCs w:val="24"/>
              </w:rPr>
            </w:pPr>
          </w:p>
        </w:tc>
        <w:tc>
          <w:tcPr>
            <w:tcW w:w="2392"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其中-财政拨款:</w:t>
            </w:r>
          </w:p>
        </w:tc>
        <w:tc>
          <w:tcPr>
            <w:tcW w:w="23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5万</w:t>
            </w:r>
          </w:p>
        </w:tc>
        <w:tc>
          <w:tcPr>
            <w:tcW w:w="23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其中-财政拨款:</w:t>
            </w:r>
          </w:p>
        </w:tc>
        <w:tc>
          <w:tcPr>
            <w:tcW w:w="23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5万</w:t>
            </w:r>
          </w:p>
        </w:tc>
      </w:tr>
      <w:tr>
        <w:tblPrEx>
          <w:tblCellMar>
            <w:top w:w="0" w:type="dxa"/>
            <w:left w:w="0" w:type="dxa"/>
            <w:bottom w:w="0" w:type="dxa"/>
            <w:right w:w="0" w:type="dxa"/>
          </w:tblCellMar>
        </w:tblPrEx>
        <w:trPr>
          <w:trHeight w:val="749" w:hRule="atLeast"/>
          <w:jc w:val="center"/>
        </w:trPr>
        <w:tc>
          <w:tcPr>
            <w:tcW w:w="39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sz w:val="24"/>
                <w:szCs w:val="24"/>
              </w:rPr>
            </w:pPr>
          </w:p>
        </w:tc>
        <w:tc>
          <w:tcPr>
            <w:tcW w:w="2392"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其它资金:</w:t>
            </w:r>
          </w:p>
        </w:tc>
        <w:tc>
          <w:tcPr>
            <w:tcW w:w="23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p>
        </w:tc>
        <w:tc>
          <w:tcPr>
            <w:tcW w:w="23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其它资金:</w:t>
            </w:r>
          </w:p>
        </w:tc>
        <w:tc>
          <w:tcPr>
            <w:tcW w:w="23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 w:val="24"/>
                <w:szCs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年度目标完成情况</w:t>
            </w:r>
          </w:p>
        </w:tc>
        <w:tc>
          <w:tcPr>
            <w:tcW w:w="4784"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预期目标</w:t>
            </w:r>
          </w:p>
        </w:tc>
        <w:tc>
          <w:tcPr>
            <w:tcW w:w="4786"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实际完成目标</w:t>
            </w:r>
          </w:p>
        </w:tc>
      </w:tr>
      <w:tr>
        <w:tblPrEx>
          <w:tblCellMar>
            <w:top w:w="0" w:type="dxa"/>
            <w:left w:w="0" w:type="dxa"/>
            <w:bottom w:w="0" w:type="dxa"/>
            <w:right w:w="0" w:type="dxa"/>
          </w:tblCellMar>
        </w:tblPrEx>
        <w:trPr>
          <w:trHeight w:val="4097" w:hRule="atLeast"/>
          <w:jc w:val="center"/>
        </w:trPr>
        <w:tc>
          <w:tcPr>
            <w:tcW w:w="390" w:type="dxa"/>
            <w:vMerge w:val="continue"/>
            <w:tcBorders>
              <w:top w:val="nil"/>
              <w:left w:val="single" w:color="000000" w:sz="4" w:space="0"/>
              <w:bottom w:val="single" w:color="auto" w:sz="4" w:space="0"/>
              <w:right w:val="single" w:color="000000" w:sz="4" w:space="0"/>
            </w:tcBorders>
            <w:vAlign w:val="center"/>
          </w:tcPr>
          <w:p>
            <w:pPr>
              <w:widowControl/>
              <w:jc w:val="left"/>
              <w:rPr>
                <w:rFonts w:ascii="宋体" w:hAnsi="宋体"/>
                <w:color w:val="000000"/>
                <w:sz w:val="24"/>
                <w:szCs w:val="24"/>
              </w:rPr>
            </w:pPr>
          </w:p>
        </w:tc>
        <w:tc>
          <w:tcPr>
            <w:tcW w:w="4784" w:type="dxa"/>
            <w:gridSpan w:val="3"/>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加快国有经济布局结构调整，全面深化国资国企改革。</w:t>
            </w:r>
          </w:p>
        </w:tc>
        <w:tc>
          <w:tcPr>
            <w:tcW w:w="4786" w:type="dxa"/>
            <w:gridSpan w:val="2"/>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 xml:space="preserve">  进一步深化国有企业改革工作，全面实施对市本级国有企业的重组整合。制订出台了《关于进一步深化市属国有企业改革的实施方案》，按照“分类整合、做大做强、市场导向、稳步推进”的原则，将经营性质相近、关联度高、业务重叠的市级企业进行优化组合和合理配置，通过划转、退出、置换等办法，进一步压缩企业户数，做大企业规模，优化国有资本布局，将市属统计监管24家国有企业减少为8家，新组建市国资运营集团、市城建投集团、市农投资集团、市公用事业集团，做大做强市文旅集团、市交投集团，初步形成“1家国有资本运营公司、6家国有资本投资公司、1家基金管理公司”的国有资本投资运营新格局。</w:t>
            </w:r>
          </w:p>
        </w:tc>
      </w:tr>
      <w:tr>
        <w:tblPrEx>
          <w:tblCellMar>
            <w:top w:w="0" w:type="dxa"/>
            <w:left w:w="0" w:type="dxa"/>
            <w:bottom w:w="0" w:type="dxa"/>
            <w:right w:w="0" w:type="dxa"/>
          </w:tblCellMar>
        </w:tblPrEx>
        <w:trPr>
          <w:trHeight w:val="687" w:hRule="atLeast"/>
          <w:jc w:val="center"/>
        </w:trPr>
        <w:tc>
          <w:tcPr>
            <w:tcW w:w="39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绩效指标完成情况</w:t>
            </w:r>
          </w:p>
        </w:tc>
        <w:tc>
          <w:tcPr>
            <w:tcW w:w="1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一级指标</w:t>
            </w:r>
          </w:p>
        </w:tc>
        <w:tc>
          <w:tcPr>
            <w:tcW w:w="10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二级指标</w:t>
            </w: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三级指标</w:t>
            </w:r>
          </w:p>
        </w:tc>
        <w:tc>
          <w:tcPr>
            <w:tcW w:w="239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预期指标值(包含数字及文字描述)</w:t>
            </w: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实际完成指标值(包含数字及文字描述)</w:t>
            </w:r>
          </w:p>
        </w:tc>
      </w:tr>
      <w:tr>
        <w:tblPrEx>
          <w:tblCellMar>
            <w:top w:w="0" w:type="dxa"/>
            <w:left w:w="0" w:type="dxa"/>
            <w:bottom w:w="0" w:type="dxa"/>
            <w:right w:w="0" w:type="dxa"/>
          </w:tblCellMar>
        </w:tblPrEx>
        <w:trPr>
          <w:trHeight w:val="825" w:hRule="atLeast"/>
          <w:jc w:val="center"/>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szCs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项目完成指标</w:t>
            </w:r>
          </w:p>
        </w:tc>
        <w:tc>
          <w:tcPr>
            <w:tcW w:w="10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全民所有制企业公司制改制</w:t>
            </w:r>
          </w:p>
        </w:tc>
        <w:tc>
          <w:tcPr>
            <w:tcW w:w="239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完成3家</w:t>
            </w: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完成3家</w:t>
            </w:r>
          </w:p>
        </w:tc>
      </w:tr>
      <w:tr>
        <w:tblPrEx>
          <w:tblCellMar>
            <w:top w:w="0" w:type="dxa"/>
            <w:left w:w="0" w:type="dxa"/>
            <w:bottom w:w="0" w:type="dxa"/>
            <w:right w:w="0" w:type="dxa"/>
          </w:tblCellMar>
        </w:tblPrEx>
        <w:trPr>
          <w:trHeight w:val="412" w:hRule="atLeast"/>
          <w:jc w:val="center"/>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szCs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项目完成指标</w:t>
            </w:r>
          </w:p>
        </w:tc>
        <w:tc>
          <w:tcPr>
            <w:tcW w:w="10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企业重组整合</w:t>
            </w:r>
          </w:p>
        </w:tc>
        <w:tc>
          <w:tcPr>
            <w:tcW w:w="239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完成3家</w:t>
            </w: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完成3家</w:t>
            </w:r>
          </w:p>
        </w:tc>
      </w:tr>
      <w:tr>
        <w:tblPrEx>
          <w:tblCellMar>
            <w:top w:w="0" w:type="dxa"/>
            <w:left w:w="0" w:type="dxa"/>
            <w:bottom w:w="0" w:type="dxa"/>
            <w:right w:w="0" w:type="dxa"/>
          </w:tblCellMar>
        </w:tblPrEx>
        <w:trPr>
          <w:trHeight w:val="592" w:hRule="atLeast"/>
          <w:jc w:val="center"/>
        </w:trPr>
        <w:tc>
          <w:tcPr>
            <w:tcW w:w="390" w:type="dxa"/>
            <w:vMerge w:val="continue"/>
            <w:tcBorders>
              <w:top w:val="single" w:color="auto" w:sz="4" w:space="0"/>
              <w:right w:val="single" w:color="auto" w:sz="4" w:space="0"/>
            </w:tcBorders>
            <w:vAlign w:val="center"/>
          </w:tcPr>
          <w:p>
            <w:pPr>
              <w:widowControl/>
              <w:jc w:val="left"/>
              <w:rPr>
                <w:rFonts w:ascii="宋体" w:hAnsi="宋体"/>
                <w:color w:val="000000"/>
                <w:sz w:val="24"/>
                <w:szCs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项目完成指标</w:t>
            </w:r>
          </w:p>
        </w:tc>
        <w:tc>
          <w:tcPr>
            <w:tcW w:w="10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市属国有企业“三项制度”改革</w:t>
            </w:r>
          </w:p>
        </w:tc>
        <w:tc>
          <w:tcPr>
            <w:tcW w:w="239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 xml:space="preserve">完成24家 </w:t>
            </w: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 xml:space="preserve">完成24家 </w:t>
            </w:r>
          </w:p>
        </w:tc>
      </w:tr>
      <w:tr>
        <w:tblPrEx>
          <w:tblCellMar>
            <w:top w:w="0" w:type="dxa"/>
            <w:left w:w="0" w:type="dxa"/>
            <w:bottom w:w="0" w:type="dxa"/>
            <w:right w:w="0" w:type="dxa"/>
          </w:tblCellMar>
        </w:tblPrEx>
        <w:trPr>
          <w:trHeight w:val="259" w:hRule="atLeast"/>
          <w:jc w:val="center"/>
        </w:trPr>
        <w:tc>
          <w:tcPr>
            <w:tcW w:w="390" w:type="dxa"/>
            <w:vMerge w:val="continue"/>
            <w:tcBorders>
              <w:right w:val="single" w:color="auto" w:sz="4" w:space="0"/>
            </w:tcBorders>
            <w:vAlign w:val="center"/>
          </w:tcPr>
          <w:p>
            <w:pPr>
              <w:widowControl/>
              <w:jc w:val="left"/>
              <w:rPr>
                <w:rFonts w:ascii="宋体" w:hAnsi="宋体"/>
                <w:color w:val="000000"/>
                <w:sz w:val="24"/>
                <w:szCs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满意度指标</w:t>
            </w:r>
          </w:p>
        </w:tc>
        <w:tc>
          <w:tcPr>
            <w:tcW w:w="10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满意度</w:t>
            </w:r>
            <m:oMath>
              <m:r>
                <m:rPr>
                  <m:sty m:val="p"/>
                </m:rPr>
                <w:rPr>
                  <w:rFonts w:ascii="Cambria Math" w:hAnsi="Cambria Math"/>
                  <w:color w:val="000000"/>
                  <w:sz w:val="24"/>
                  <w:szCs w:val="24"/>
                </w:rPr>
                <m:t>≥90%</m:t>
              </m:r>
            </m:oMath>
          </w:p>
          <w:p>
            <w:pPr>
              <w:widowControl/>
              <w:jc w:val="center"/>
              <w:textAlignment w:val="center"/>
              <w:rPr>
                <w:rFonts w:ascii="宋体" w:hAnsi="宋体"/>
                <w:color w:val="000000"/>
                <w:sz w:val="24"/>
                <w:szCs w:val="24"/>
              </w:rPr>
            </w:pPr>
          </w:p>
        </w:tc>
        <w:tc>
          <w:tcPr>
            <w:tcW w:w="239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满意度</w:t>
            </w:r>
            <m:oMath>
              <m:r>
                <m:rPr>
                  <m:sty m:val="p"/>
                </m:rPr>
                <w:rPr>
                  <w:rFonts w:ascii="Cambria Math" w:hAnsi="Cambria Math"/>
                  <w:color w:val="000000"/>
                  <w:sz w:val="24"/>
                  <w:szCs w:val="24"/>
                </w:rPr>
                <m:t>≥90%</m:t>
              </m:r>
            </m:oMath>
          </w:p>
          <w:p>
            <w:pPr>
              <w:widowControl/>
              <w:jc w:val="center"/>
              <w:textAlignment w:val="center"/>
              <w:rPr>
                <w:rFonts w:ascii="宋体" w:hAnsi="宋体"/>
                <w:color w:val="000000"/>
                <w:sz w:val="24"/>
                <w:szCs w:val="24"/>
              </w:rPr>
            </w:pP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满意度</w:t>
            </w:r>
            <m:oMath>
              <m:r>
                <m:rPr>
                  <m:sty m:val="p"/>
                </m:rPr>
                <w:rPr>
                  <w:rFonts w:ascii="Cambria Math" w:hAnsi="Cambria Math"/>
                  <w:color w:val="000000"/>
                  <w:sz w:val="24"/>
                  <w:szCs w:val="24"/>
                </w:rPr>
                <m:t>≥90%</m:t>
              </m:r>
            </m:oMath>
          </w:p>
          <w:p>
            <w:pPr>
              <w:widowControl/>
              <w:jc w:val="center"/>
              <w:textAlignment w:val="center"/>
              <w:rPr>
                <w:rFonts w:ascii="宋体" w:hAnsi="宋体"/>
                <w:color w:val="000000"/>
                <w:sz w:val="24"/>
                <w:szCs w:val="24"/>
              </w:rPr>
            </w:pP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bottom w:w="0" w:type="dxa"/>
              <w:right w:w="15" w:type="dxa"/>
            </w:tcMar>
            <w:vAlign w:val="center"/>
          </w:tcPr>
          <w:p>
            <w:pPr>
              <w:widowControl/>
              <w:textAlignment w:val="center"/>
              <w:rPr>
                <w:rFonts w:hint="eastAsia" w:ascii="宋体" w:hAnsi="宋体"/>
                <w:b/>
                <w:bCs/>
                <w:color w:val="000000"/>
                <w:kern w:val="0"/>
                <w:sz w:val="36"/>
                <w:szCs w:val="36"/>
              </w:rPr>
            </w:pPr>
          </w:p>
          <w:p>
            <w:pPr>
              <w:widowControl/>
              <w:jc w:val="center"/>
              <w:textAlignment w:val="center"/>
              <w:rPr>
                <w:rFonts w:ascii="宋体" w:hAnsi="宋体"/>
                <w:color w:val="000000"/>
                <w:sz w:val="36"/>
                <w:szCs w:val="36"/>
              </w:rPr>
            </w:pPr>
            <w:r>
              <w:rPr>
                <w:rFonts w:hint="eastAsia" w:ascii="宋体" w:hAnsi="宋体"/>
                <w:b/>
                <w:bCs/>
                <w:color w:val="000000"/>
                <w:kern w:val="0"/>
                <w:sz w:val="36"/>
                <w:szCs w:val="36"/>
              </w:rPr>
              <w:t>项目绩效目标完成情况表</w:t>
            </w:r>
            <w:r>
              <w:rPr>
                <w:rFonts w:hint="eastAsia" w:ascii="宋体" w:hAnsi="宋体"/>
                <w:b/>
                <w:bCs/>
                <w:color w:val="000000"/>
                <w:kern w:val="0"/>
                <w:sz w:val="36"/>
                <w:szCs w:val="36"/>
              </w:rPr>
              <w:br w:type="textWrapping"/>
            </w:r>
            <w:r>
              <w:rPr>
                <w:rFonts w:hint="eastAsia" w:ascii="宋体" w:hAnsi="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项目名称</w:t>
            </w:r>
          </w:p>
        </w:tc>
        <w:tc>
          <w:tcPr>
            <w:tcW w:w="7178"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公开聘请第三方机构对国有企业进行审计服务</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预算单位</w:t>
            </w:r>
          </w:p>
        </w:tc>
        <w:tc>
          <w:tcPr>
            <w:tcW w:w="7178"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803001</w:t>
            </w:r>
          </w:p>
        </w:tc>
      </w:tr>
      <w:tr>
        <w:tblPrEx>
          <w:tblCellMar>
            <w:top w:w="0" w:type="dxa"/>
            <w:left w:w="0" w:type="dxa"/>
            <w:bottom w:w="0" w:type="dxa"/>
            <w:right w:w="0" w:type="dxa"/>
          </w:tblCellMar>
        </w:tblPrEx>
        <w:trPr>
          <w:trHeight w:val="276" w:hRule="atLeast"/>
          <w:jc w:val="center"/>
        </w:trPr>
        <w:tc>
          <w:tcPr>
            <w:tcW w:w="390"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预算执行情况(万元)</w:t>
            </w:r>
          </w:p>
        </w:tc>
        <w:tc>
          <w:tcPr>
            <w:tcW w:w="2392"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预算数:</w:t>
            </w:r>
          </w:p>
        </w:tc>
        <w:tc>
          <w:tcPr>
            <w:tcW w:w="23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8万</w:t>
            </w:r>
          </w:p>
        </w:tc>
        <w:tc>
          <w:tcPr>
            <w:tcW w:w="23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执行数:</w:t>
            </w:r>
          </w:p>
        </w:tc>
        <w:tc>
          <w:tcPr>
            <w:tcW w:w="23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sz w:val="24"/>
                <w:szCs w:val="24"/>
              </w:rPr>
            </w:pPr>
            <w:r>
              <w:rPr>
                <w:rFonts w:hint="eastAsia" w:ascii="宋体" w:hAnsi="宋体"/>
                <w:color w:val="000000"/>
                <w:sz w:val="24"/>
                <w:szCs w:val="24"/>
              </w:rPr>
              <w:t xml:space="preserve">      149.15万</w:t>
            </w:r>
          </w:p>
        </w:tc>
      </w:tr>
      <w:tr>
        <w:tblPrEx>
          <w:tblCellMar>
            <w:top w:w="0" w:type="dxa"/>
            <w:left w:w="0" w:type="dxa"/>
            <w:bottom w:w="0" w:type="dxa"/>
            <w:right w:w="0" w:type="dxa"/>
          </w:tblCellMar>
        </w:tblPrEx>
        <w:trPr>
          <w:trHeight w:val="276" w:hRule="atLeast"/>
          <w:jc w:val="center"/>
        </w:trPr>
        <w:tc>
          <w:tcPr>
            <w:tcW w:w="39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sz w:val="24"/>
                <w:szCs w:val="24"/>
              </w:rPr>
            </w:pPr>
          </w:p>
        </w:tc>
        <w:tc>
          <w:tcPr>
            <w:tcW w:w="2392"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其中-财政拨款:</w:t>
            </w:r>
          </w:p>
        </w:tc>
        <w:tc>
          <w:tcPr>
            <w:tcW w:w="23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8万</w:t>
            </w:r>
          </w:p>
        </w:tc>
        <w:tc>
          <w:tcPr>
            <w:tcW w:w="23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其中-财政拨款:</w:t>
            </w:r>
          </w:p>
        </w:tc>
        <w:tc>
          <w:tcPr>
            <w:tcW w:w="23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 xml:space="preserve"> 149.15万</w:t>
            </w:r>
          </w:p>
        </w:tc>
      </w:tr>
      <w:tr>
        <w:tblPrEx>
          <w:tblCellMar>
            <w:top w:w="0" w:type="dxa"/>
            <w:left w:w="0" w:type="dxa"/>
            <w:bottom w:w="0" w:type="dxa"/>
            <w:right w:w="0" w:type="dxa"/>
          </w:tblCellMar>
        </w:tblPrEx>
        <w:trPr>
          <w:trHeight w:val="1511" w:hRule="atLeast"/>
          <w:jc w:val="center"/>
        </w:trPr>
        <w:tc>
          <w:tcPr>
            <w:tcW w:w="39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sz w:val="24"/>
                <w:szCs w:val="24"/>
              </w:rPr>
            </w:pPr>
          </w:p>
        </w:tc>
        <w:tc>
          <w:tcPr>
            <w:tcW w:w="2392"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其它资金:</w:t>
            </w:r>
          </w:p>
        </w:tc>
        <w:tc>
          <w:tcPr>
            <w:tcW w:w="23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p>
        </w:tc>
        <w:tc>
          <w:tcPr>
            <w:tcW w:w="23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其它资金:</w:t>
            </w:r>
          </w:p>
        </w:tc>
        <w:tc>
          <w:tcPr>
            <w:tcW w:w="23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 w:val="24"/>
                <w:szCs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年度目标完成情况</w:t>
            </w:r>
          </w:p>
        </w:tc>
        <w:tc>
          <w:tcPr>
            <w:tcW w:w="4784"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预期目标</w:t>
            </w:r>
          </w:p>
        </w:tc>
        <w:tc>
          <w:tcPr>
            <w:tcW w:w="4786"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nil"/>
              <w:left w:val="single" w:color="000000" w:sz="4" w:space="0"/>
              <w:bottom w:val="single" w:color="auto" w:sz="4" w:space="0"/>
              <w:right w:val="single" w:color="000000" w:sz="4" w:space="0"/>
            </w:tcBorders>
            <w:vAlign w:val="center"/>
          </w:tcPr>
          <w:p>
            <w:pPr>
              <w:widowControl/>
              <w:jc w:val="left"/>
              <w:rPr>
                <w:rFonts w:ascii="宋体" w:hAnsi="宋体"/>
                <w:color w:val="000000"/>
                <w:sz w:val="24"/>
                <w:szCs w:val="24"/>
              </w:rPr>
            </w:pPr>
          </w:p>
        </w:tc>
        <w:tc>
          <w:tcPr>
            <w:tcW w:w="4784" w:type="dxa"/>
            <w:gridSpan w:val="3"/>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sz w:val="24"/>
                <w:szCs w:val="24"/>
              </w:rPr>
            </w:pPr>
            <w:r>
              <w:rPr>
                <w:rFonts w:hint="eastAsia" w:ascii="宋体" w:hAnsi="宋体"/>
                <w:color w:val="000000"/>
                <w:sz w:val="24"/>
                <w:szCs w:val="24"/>
              </w:rPr>
              <w:t>委托会计师事务所出具科学、真实、客观、可信的市属企业年度财务决算审计报告，国有资本经营收益、负责人经营业绩考核、企业工资总额清算等专项审计报告，为市国资委履行国资国企监管职能提供有力的数据支撑。</w:t>
            </w:r>
          </w:p>
        </w:tc>
        <w:tc>
          <w:tcPr>
            <w:tcW w:w="4786" w:type="dxa"/>
            <w:gridSpan w:val="2"/>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委托会计师事务所出具科学、真实、客观、可信的市属企业年度财务决算审计报告，国有资本经营收益、负责人经营业绩考核、企业工资总额清算等专项审计报告，为市国资委履行国资国企监管职能提供有力的数据支撑。</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绩效指标完成情况</w:t>
            </w:r>
          </w:p>
        </w:tc>
        <w:tc>
          <w:tcPr>
            <w:tcW w:w="1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一级指标</w:t>
            </w:r>
          </w:p>
        </w:tc>
        <w:tc>
          <w:tcPr>
            <w:tcW w:w="10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二级指标</w:t>
            </w: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三级指标</w:t>
            </w:r>
          </w:p>
        </w:tc>
        <w:tc>
          <w:tcPr>
            <w:tcW w:w="239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预期指标值(包含数字及文字描述)</w:t>
            </w: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szCs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项目完成指标</w:t>
            </w:r>
          </w:p>
        </w:tc>
        <w:tc>
          <w:tcPr>
            <w:tcW w:w="10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财务决算审计报告</w:t>
            </w:r>
          </w:p>
        </w:tc>
        <w:tc>
          <w:tcPr>
            <w:tcW w:w="239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3份（本）/1年（次）/1户企业</w:t>
            </w: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3份（本）/1年（次）/1户企业</w:t>
            </w:r>
          </w:p>
        </w:tc>
      </w:tr>
      <w:tr>
        <w:tblPrEx>
          <w:tblCellMar>
            <w:top w:w="0" w:type="dxa"/>
            <w:left w:w="0" w:type="dxa"/>
            <w:bottom w:w="0" w:type="dxa"/>
            <w:right w:w="0" w:type="dxa"/>
          </w:tblCellMar>
        </w:tblPrEx>
        <w:trPr>
          <w:trHeight w:val="1297" w:hRule="atLeast"/>
          <w:jc w:val="center"/>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szCs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项目完成指标</w:t>
            </w:r>
          </w:p>
        </w:tc>
        <w:tc>
          <w:tcPr>
            <w:tcW w:w="10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国有资本收益、经营业绩考核、工资总额等专项汇总审计报告</w:t>
            </w:r>
          </w:p>
        </w:tc>
        <w:tc>
          <w:tcPr>
            <w:tcW w:w="239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3份（册）/1年（次）/1户企业</w:t>
            </w: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3份（册）/1年（次）/1户企业</w:t>
            </w:r>
          </w:p>
        </w:tc>
      </w:tr>
      <w:tr>
        <w:tblPrEx>
          <w:tblCellMar>
            <w:top w:w="0" w:type="dxa"/>
            <w:left w:w="0" w:type="dxa"/>
            <w:bottom w:w="0" w:type="dxa"/>
            <w:right w:w="0" w:type="dxa"/>
          </w:tblCellMar>
        </w:tblPrEx>
        <w:trPr>
          <w:trHeight w:val="1042" w:hRule="atLeast"/>
          <w:jc w:val="center"/>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szCs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项目完成指标</w:t>
            </w:r>
          </w:p>
        </w:tc>
        <w:tc>
          <w:tcPr>
            <w:tcW w:w="10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p>
        </w:tc>
        <w:tc>
          <w:tcPr>
            <w:tcW w:w="239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p>
        </w:tc>
      </w:tr>
      <w:tr>
        <w:tblPrEx>
          <w:tblCellMar>
            <w:top w:w="0" w:type="dxa"/>
            <w:left w:w="0" w:type="dxa"/>
            <w:bottom w:w="0" w:type="dxa"/>
            <w:right w:w="0" w:type="dxa"/>
          </w:tblCellMar>
        </w:tblPrEx>
        <w:trPr>
          <w:trHeight w:val="1050" w:hRule="atLeast"/>
          <w:jc w:val="center"/>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szCs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满意度指标</w:t>
            </w:r>
          </w:p>
        </w:tc>
        <w:tc>
          <w:tcPr>
            <w:tcW w:w="10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满意度</w:t>
            </w:r>
            <m:oMath>
              <m:r>
                <m:rPr>
                  <m:sty m:val="p"/>
                </m:rPr>
                <w:rPr>
                  <w:rFonts w:ascii="Cambria Math" w:hAnsi="Cambria Math"/>
                  <w:color w:val="000000"/>
                  <w:sz w:val="24"/>
                  <w:szCs w:val="24"/>
                </w:rPr>
                <m:t>≥90%</m:t>
              </m:r>
            </m:oMath>
          </w:p>
          <w:p>
            <w:pPr>
              <w:widowControl/>
              <w:jc w:val="center"/>
              <w:textAlignment w:val="center"/>
              <w:rPr>
                <w:rFonts w:ascii="宋体" w:hAnsi="宋体"/>
                <w:color w:val="000000"/>
                <w:sz w:val="24"/>
                <w:szCs w:val="24"/>
              </w:rPr>
            </w:pPr>
          </w:p>
        </w:tc>
        <w:tc>
          <w:tcPr>
            <w:tcW w:w="239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满意度</w:t>
            </w:r>
            <m:oMath>
              <m:r>
                <m:rPr>
                  <m:sty m:val="p"/>
                </m:rPr>
                <w:rPr>
                  <w:rFonts w:ascii="Cambria Math" w:hAnsi="Cambria Math"/>
                  <w:color w:val="000000"/>
                  <w:sz w:val="24"/>
                  <w:szCs w:val="24"/>
                </w:rPr>
                <m:t>≥90%</m:t>
              </m:r>
            </m:oMath>
          </w:p>
          <w:p>
            <w:pPr>
              <w:widowControl/>
              <w:jc w:val="center"/>
              <w:textAlignment w:val="center"/>
              <w:rPr>
                <w:rFonts w:ascii="宋体" w:hAnsi="宋体"/>
                <w:color w:val="000000"/>
                <w:sz w:val="24"/>
                <w:szCs w:val="24"/>
              </w:rPr>
            </w:pP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满意度</w:t>
            </w:r>
            <m:oMath>
              <m:r>
                <m:rPr>
                  <m:sty m:val="p"/>
                </m:rPr>
                <w:rPr>
                  <w:rFonts w:ascii="Cambria Math" w:hAnsi="Cambria Math"/>
                  <w:color w:val="000000"/>
                  <w:sz w:val="24"/>
                  <w:szCs w:val="24"/>
                </w:rPr>
                <m:t>≥90%</m:t>
              </m:r>
            </m:oMath>
          </w:p>
          <w:p>
            <w:pPr>
              <w:widowControl/>
              <w:jc w:val="center"/>
              <w:textAlignment w:val="center"/>
              <w:rPr>
                <w:rFonts w:ascii="宋体" w:hAnsi="宋体"/>
                <w:color w:val="000000"/>
                <w:sz w:val="24"/>
                <w:szCs w:val="24"/>
              </w:rPr>
            </w:pPr>
          </w:p>
        </w:tc>
      </w:tr>
    </w:tbl>
    <w:p>
      <w:pPr>
        <w:spacing w:line="580" w:lineRule="exact"/>
        <w:ind w:left="630"/>
        <w:rPr>
          <w:rFonts w:hint="eastAsia" w:ascii="仿宋_GB2312" w:eastAsia="仿宋_GB2312"/>
          <w:sz w:val="32"/>
          <w:szCs w:val="32"/>
        </w:rPr>
      </w:pPr>
      <w:r>
        <w:rPr>
          <w:rFonts w:hint="eastAsia" w:ascii="仿宋_GB2312" w:eastAsia="仿宋_GB2312"/>
          <w:sz w:val="32"/>
          <w:szCs w:val="32"/>
        </w:rPr>
        <w:t xml:space="preserve"> </w:t>
      </w:r>
    </w:p>
    <w:p>
      <w:pPr>
        <w:spacing w:line="580" w:lineRule="exact"/>
        <w:ind w:left="630"/>
        <w:rPr>
          <w:rFonts w:hint="eastAsia" w:ascii="仿宋_GB2312" w:eastAsia="仿宋_GB2312"/>
          <w:sz w:val="32"/>
          <w:szCs w:val="32"/>
        </w:rPr>
      </w:pPr>
      <w:r>
        <w:rPr>
          <w:rFonts w:hint="eastAsia" w:ascii="楷体_GB2312" w:eastAsia="楷体_GB2312"/>
          <w:sz w:val="32"/>
          <w:szCs w:val="32"/>
        </w:rPr>
        <w:t>2.部门绩效评价结果。</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本部门按要求对2019年部门整体支出绩效评价情况开展自评，《巴中市国有资产监督管理委员会部门2019年部门整体支出绩效评价报告》见附件（附件1）。</w:t>
      </w:r>
    </w:p>
    <w:p>
      <w:pPr>
        <w:spacing w:line="580" w:lineRule="exact"/>
        <w:ind w:firstLine="640" w:firstLineChars="200"/>
        <w:rPr>
          <w:rFonts w:hint="eastAsia" w:ascii="仿宋_GB2312" w:eastAsia="仿宋_GB2312"/>
          <w:b/>
          <w:bCs/>
          <w:color w:val="000000"/>
          <w:sz w:val="32"/>
          <w:szCs w:val="32"/>
        </w:rPr>
      </w:pPr>
      <w:r>
        <w:rPr>
          <w:rFonts w:hint="eastAsia" w:ascii="仿宋_GB2312" w:eastAsia="仿宋_GB2312"/>
          <w:sz w:val="32"/>
          <w:szCs w:val="32"/>
        </w:rPr>
        <w:t>本部门自行组织对3项目开展了绩效评价，《关于巴中川陕革命老区振兴发展基金和国有资本经营预算补助经费支出绩效自评》见附件（附件2）。</w:t>
      </w:r>
    </w:p>
    <w:p>
      <w:pPr>
        <w:widowControl/>
        <w:jc w:val="left"/>
        <w:rPr>
          <w:rFonts w:hint="eastAsia" w:ascii="仿宋_GB2312" w:eastAsia="仿宋_GB2312"/>
          <w:b/>
          <w:bCs/>
          <w:color w:val="000000"/>
          <w:sz w:val="32"/>
          <w:szCs w:val="32"/>
        </w:rPr>
      </w:pPr>
      <w:r>
        <w:rPr>
          <w:rFonts w:hint="eastAsia" w:ascii="仿宋_GB2312" w:eastAsia="仿宋_GB2312"/>
          <w:b/>
          <w:bCs/>
          <w:color w:val="000000"/>
          <w:sz w:val="32"/>
          <w:szCs w:val="32"/>
        </w:rPr>
        <w:br w:type="page"/>
      </w:r>
    </w:p>
    <w:p>
      <w:pPr>
        <w:numPr>
          <w:ilvl w:val="0"/>
          <w:numId w:val="4"/>
        </w:numPr>
        <w:spacing w:line="600" w:lineRule="exact"/>
        <w:ind w:firstLine="660" w:firstLineChars="150"/>
        <w:jc w:val="center"/>
        <w:outlineLvl w:val="0"/>
        <w:rPr>
          <w:rStyle w:val="20"/>
          <w:rFonts w:hint="eastAsia" w:ascii="黑体" w:hAnsi="黑体" w:eastAsia="黑体"/>
        </w:rPr>
      </w:pPr>
      <w:bookmarkStart w:id="67" w:name="_Toc15377225"/>
      <w:bookmarkEnd w:id="67"/>
      <w:bookmarkStart w:id="68" w:name="_Toc15396613"/>
      <w:r>
        <w:rPr>
          <w:rFonts w:hint="eastAsia" w:ascii="黑体" w:hAnsi="黑体" w:eastAsia="黑体"/>
          <w:color w:val="000000"/>
          <w:sz w:val="44"/>
          <w:szCs w:val="44"/>
        </w:rPr>
        <w:t>名</w:t>
      </w:r>
      <w:bookmarkEnd w:id="68"/>
      <w:r>
        <w:rPr>
          <w:rStyle w:val="20"/>
          <w:rFonts w:hint="eastAsia" w:ascii="黑体" w:hAnsi="黑体" w:eastAsia="黑体"/>
          <w:b w:val="0"/>
          <w:bCs w:val="0"/>
        </w:rPr>
        <w:t>词解释</w:t>
      </w:r>
    </w:p>
    <w:p>
      <w:pPr>
        <w:spacing w:line="600" w:lineRule="exact"/>
        <w:jc w:val="left"/>
        <w:rPr>
          <w:rFonts w:hint="eastAsia" w:ascii="宋体"/>
          <w:b/>
          <w:bCs/>
          <w:color w:val="000000"/>
        </w:rPr>
      </w:pPr>
      <w:r>
        <w:rPr>
          <w:rFonts w:hint="eastAsia" w:ascii="宋体"/>
          <w:b/>
          <w:bCs/>
          <w:color w:val="000000"/>
          <w:sz w:val="44"/>
          <w:szCs w:val="44"/>
        </w:rPr>
        <w:t xml:space="preserve"> </w:t>
      </w:r>
    </w:p>
    <w:p>
      <w:pPr>
        <w:pStyle w:val="16"/>
        <w:spacing w:line="560" w:lineRule="exact"/>
        <w:ind w:firstLine="640" w:firstLineChars="200"/>
        <w:rPr>
          <w:rFonts w:hint="eastAsia" w:ascii="仿宋_GB2312" w:eastAsia="仿宋_GB2312" w:cs="仿宋"/>
          <w:sz w:val="32"/>
          <w:szCs w:val="32"/>
        </w:rPr>
      </w:pPr>
      <w:r>
        <w:rPr>
          <w:rFonts w:hint="eastAsia" w:ascii="仿宋_GB2312" w:eastAsia="仿宋_GB2312" w:cs="仿宋"/>
          <w:sz w:val="32"/>
          <w:szCs w:val="32"/>
        </w:rPr>
        <w:t>1.财政拨款收入：指单位从同级财政部门取得的财政预算资金。</w:t>
      </w:r>
    </w:p>
    <w:p>
      <w:pPr>
        <w:pStyle w:val="16"/>
        <w:spacing w:line="560" w:lineRule="exact"/>
        <w:ind w:firstLine="640" w:firstLineChars="200"/>
        <w:rPr>
          <w:rFonts w:hint="eastAsia" w:ascii="仿宋_GB2312" w:eastAsia="仿宋_GB2312" w:cs="仿宋"/>
          <w:sz w:val="32"/>
          <w:szCs w:val="32"/>
        </w:rPr>
      </w:pPr>
      <w:r>
        <w:rPr>
          <w:rFonts w:hint="eastAsia" w:ascii="仿宋_GB2312" w:eastAsia="仿宋_GB2312" w:cs="仿宋"/>
          <w:sz w:val="32"/>
          <w:szCs w:val="32"/>
        </w:rPr>
        <w:t>2.事业收入：指事业单位开展专业业务活动及辅助活动取得的收入。如…（二级预算单位事业收入情况）等。</w:t>
      </w:r>
    </w:p>
    <w:p>
      <w:pPr>
        <w:pStyle w:val="16"/>
        <w:spacing w:line="560" w:lineRule="exact"/>
        <w:ind w:firstLine="640" w:firstLineChars="200"/>
        <w:rPr>
          <w:rFonts w:hint="eastAsia" w:ascii="仿宋_GB2312" w:eastAsia="仿宋_GB2312" w:cs="仿宋"/>
          <w:sz w:val="32"/>
          <w:szCs w:val="32"/>
        </w:rPr>
      </w:pPr>
      <w:r>
        <w:rPr>
          <w:rFonts w:hint="eastAsia" w:ascii="仿宋_GB2312" w:eastAsia="仿宋_GB2312" w:cs="仿宋"/>
          <w:sz w:val="32"/>
          <w:szCs w:val="32"/>
        </w:rPr>
        <w:t>3.经营收入：指事业单位在专业业务活动及其辅助活动之外开展非独立核算经营活动取得的收入。如…（二级预算单位经营收入情况）等。</w:t>
      </w:r>
    </w:p>
    <w:p>
      <w:pPr>
        <w:pStyle w:val="16"/>
        <w:spacing w:line="560" w:lineRule="exact"/>
        <w:ind w:firstLine="640" w:firstLineChars="200"/>
        <w:rPr>
          <w:rFonts w:hint="eastAsia" w:ascii="仿宋_GB2312" w:eastAsia="仿宋_GB2312" w:cs="仿宋"/>
          <w:sz w:val="32"/>
          <w:szCs w:val="32"/>
        </w:rPr>
      </w:pPr>
      <w:r>
        <w:rPr>
          <w:rFonts w:hint="eastAsia" w:ascii="仿宋_GB2312" w:eastAsia="仿宋_GB2312" w:cs="仿宋"/>
          <w:sz w:val="32"/>
          <w:szCs w:val="32"/>
        </w:rPr>
        <w:t xml:space="preserve">4.其他收入：指单位取得的除上述收入以外的各项收入。主要是…（收入类型）等。 </w:t>
      </w:r>
    </w:p>
    <w:p>
      <w:pPr>
        <w:pStyle w:val="16"/>
        <w:spacing w:line="560" w:lineRule="exact"/>
        <w:ind w:firstLine="640" w:firstLineChars="200"/>
        <w:rPr>
          <w:rFonts w:hint="eastAsia" w:ascii="仿宋_GB2312" w:eastAsia="仿宋_GB2312" w:cs="仿宋"/>
          <w:sz w:val="32"/>
          <w:szCs w:val="32"/>
        </w:rPr>
      </w:pPr>
      <w:r>
        <w:rPr>
          <w:rFonts w:hint="eastAsia" w:ascii="仿宋_GB2312" w:eastAsia="仿宋_GB2312" w:cs="仿宋"/>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16"/>
        <w:spacing w:line="560" w:lineRule="exact"/>
        <w:ind w:firstLine="640" w:firstLineChars="200"/>
        <w:rPr>
          <w:rFonts w:hint="eastAsia" w:ascii="仿宋_GB2312" w:eastAsia="仿宋_GB2312" w:cs="仿宋"/>
          <w:sz w:val="32"/>
          <w:szCs w:val="32"/>
        </w:rPr>
      </w:pPr>
      <w:r>
        <w:rPr>
          <w:rFonts w:hint="eastAsia" w:ascii="仿宋_GB2312" w:eastAsia="仿宋_GB2312" w:cs="仿宋"/>
          <w:sz w:val="32"/>
          <w:szCs w:val="32"/>
        </w:rPr>
        <w:t xml:space="preserve">6.年初结转和结余：指以前年度尚未完成、结转到本年按有关规定继续使用的资金。 </w:t>
      </w:r>
    </w:p>
    <w:p>
      <w:pPr>
        <w:pStyle w:val="16"/>
        <w:spacing w:line="560" w:lineRule="exact"/>
        <w:ind w:firstLine="640" w:firstLineChars="200"/>
        <w:rPr>
          <w:rFonts w:hint="eastAsia" w:ascii="仿宋_GB2312" w:eastAsia="仿宋_GB2312" w:cs="仿宋"/>
          <w:sz w:val="32"/>
          <w:szCs w:val="32"/>
        </w:rPr>
      </w:pPr>
      <w:r>
        <w:rPr>
          <w:rFonts w:hint="eastAsia" w:ascii="仿宋_GB2312" w:eastAsia="仿宋_GB2312" w:cs="仿宋"/>
          <w:sz w:val="32"/>
          <w:szCs w:val="32"/>
        </w:rPr>
        <w:t>7.结余分配：指事业单位按照事业单位会计制度的规定从非财政补助结余中分配的事业基金和职工福利基金等。</w:t>
      </w:r>
    </w:p>
    <w:p>
      <w:pPr>
        <w:pStyle w:val="16"/>
        <w:spacing w:line="560" w:lineRule="exact"/>
        <w:ind w:firstLine="640" w:firstLineChars="200"/>
        <w:rPr>
          <w:rFonts w:hint="eastAsia" w:ascii="仿宋_GB2312" w:eastAsia="仿宋_GB2312" w:cs="仿宋"/>
          <w:sz w:val="32"/>
          <w:szCs w:val="32"/>
        </w:rPr>
      </w:pPr>
      <w:r>
        <w:rPr>
          <w:rFonts w:hint="eastAsia" w:ascii="仿宋_GB2312" w:eastAsia="仿宋_GB2312" w:cs="仿宋"/>
          <w:sz w:val="32"/>
          <w:szCs w:val="32"/>
        </w:rPr>
        <w:t>8、年末结转和结余：指单位按有关规定结转到下年或以后年度继续使用的资金。</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9.一般公共服务（类）…（款）…（项）：指……。</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10.外交（类）…（款）…（项）：指……。</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11.公共安全（类）…（款）…（项）：指……。</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12.教育（类）…（款）…（项）：指……。</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13.科学技术（类）…（款）…（项）：指……。</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14.文化体育与传媒（类）…（款）…（项）：指……。</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15.社会保障和就业（类）…（款）…（项）：指……。</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16.医疗卫生与计划生育（类）…（款）…（项）：指……。</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17.节能环保（类）…（款）…（项）：指……。</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18.城乡社区（类）…（款）…（项）：指……。</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19.农林水（类）…（款）…（项）：指……。</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20.交通运输（类）…（款）…（项）：指……。</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21.资源勘探信息等（类）…（款）…（项）：指……。</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22.商业服务业（类）…（款）…（项）：指……。</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23.金融（类）…（款）…（项）：指……。</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24.国土海洋气象等（类）…（款）…（项）：指……。</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25.住房保障（类）…（款）…（项）：指……。</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26.粮油物资储备（类）…（款）…（项）：指……。</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hint="eastAsia" w:ascii="仿宋" w:hAnsi="仿宋" w:eastAsia="仿宋"/>
          <w:b/>
          <w:bCs/>
          <w:color w:val="000000"/>
          <w:sz w:val="32"/>
          <w:szCs w:val="32"/>
        </w:rPr>
      </w:pPr>
      <w:r>
        <w:rPr>
          <w:rFonts w:hint="eastAsia" w:ascii="仿宋" w:hAnsi="仿宋" w:eastAsia="仿宋"/>
          <w:b/>
          <w:bCs/>
          <w:color w:val="000000"/>
          <w:sz w:val="32"/>
          <w:szCs w:val="32"/>
        </w:rPr>
        <w:t>（解释本部门决算报表中全部功能分类科目至项级，请参照《2019年政府收支分类科目》增减内容。）</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27.基本支出：指为保障机构正常运转、完成日常工作任务而发生的人员支出和公用支出。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28.项目支出：指在基本支出之外为完成特定行政任务和事业发展目标所发生的支出。 </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29.经营支出：指事业单位在专业业务活动及其辅助活动之外开展非独立核算经营活动发生的支出。</w:t>
      </w:r>
    </w:p>
    <w:p>
      <w:pPr>
        <w:pStyle w:val="16"/>
        <w:spacing w:line="560" w:lineRule="exact"/>
        <w:ind w:firstLine="640" w:firstLineChars="200"/>
        <w:rPr>
          <w:rFonts w:hint="eastAsia" w:ascii="仿宋_GB2312" w:eastAsia="仿宋_GB2312" w:cs="仿宋"/>
          <w:sz w:val="32"/>
          <w:szCs w:val="32"/>
        </w:rPr>
      </w:pPr>
      <w:r>
        <w:rPr>
          <w:rFonts w:hint="eastAsia" w:ascii="仿宋_GB2312" w:eastAsia="仿宋_GB2312" w:cs="仿宋"/>
          <w:sz w:val="32"/>
          <w:szCs w:val="32"/>
        </w:rPr>
        <w:t>30.“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6"/>
        <w:spacing w:line="560" w:lineRule="exact"/>
        <w:ind w:firstLine="640" w:firstLineChars="200"/>
        <w:rPr>
          <w:rFonts w:hint="eastAsia" w:ascii="仿宋_GB2312" w:eastAsia="仿宋_GB2312" w:cs="仿宋"/>
          <w:sz w:val="32"/>
          <w:szCs w:val="32"/>
        </w:rPr>
      </w:pPr>
      <w:r>
        <w:rPr>
          <w:rFonts w:hint="eastAsia" w:ascii="仿宋_GB2312" w:eastAsia="仿宋_GB2312" w:cs="仿宋"/>
          <w:sz w:val="32"/>
          <w:szCs w:val="32"/>
        </w:rPr>
        <w:t>31.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6"/>
        <w:spacing w:line="560" w:lineRule="exact"/>
        <w:ind w:firstLine="640" w:firstLineChars="200"/>
        <w:rPr>
          <w:rFonts w:hint="eastAsia" w:ascii="仿宋_GB2312" w:eastAsia="仿宋_GB2312" w:cs="仿宋"/>
          <w:sz w:val="32"/>
          <w:szCs w:val="32"/>
        </w:rPr>
      </w:pPr>
      <w:r>
        <w:rPr>
          <w:rFonts w:hint="eastAsia" w:ascii="仿宋_GB2312" w:eastAsia="仿宋_GB2312" w:cs="仿宋"/>
          <w:sz w:val="32"/>
          <w:szCs w:val="32"/>
        </w:rPr>
        <w:t>32.……。</w:t>
      </w:r>
    </w:p>
    <w:p>
      <w:pPr>
        <w:pStyle w:val="16"/>
        <w:spacing w:line="560" w:lineRule="exact"/>
        <w:ind w:firstLine="640" w:firstLineChars="200"/>
        <w:rPr>
          <w:rFonts w:hint="eastAsia" w:ascii="仿宋_GB2312" w:eastAsia="仿宋_GB2312" w:cs="黑体"/>
          <w:sz w:val="32"/>
          <w:szCs w:val="32"/>
        </w:rPr>
      </w:pPr>
      <w:r>
        <w:rPr>
          <w:rFonts w:hint="eastAsia" w:ascii="仿宋_GB2312" w:eastAsia="仿宋_GB2312" w:cs="黑体"/>
          <w:sz w:val="32"/>
          <w:szCs w:val="32"/>
        </w:rPr>
        <w:t xml:space="preserve"> </w:t>
      </w:r>
    </w:p>
    <w:p>
      <w:pPr>
        <w:ind w:firstLine="643" w:firstLineChars="200"/>
        <w:rPr>
          <w:rFonts w:hint="eastAsia" w:ascii="仿宋" w:hAnsi="仿宋" w:eastAsia="仿宋"/>
          <w:b/>
          <w:bCs/>
          <w:color w:val="000000"/>
          <w:sz w:val="32"/>
          <w:szCs w:val="32"/>
        </w:rPr>
      </w:pPr>
      <w:r>
        <w:rPr>
          <w:rFonts w:hint="eastAsia" w:ascii="仿宋" w:hAnsi="仿宋" w:eastAsia="仿宋"/>
          <w:b/>
          <w:bCs/>
          <w:color w:val="000000"/>
          <w:sz w:val="32"/>
          <w:szCs w:val="32"/>
        </w:rPr>
        <w:t>（名词解释部分请根据各部门实际列支情况罗列，并根据本部门职责职能增减名词解释内容。）</w:t>
      </w:r>
    </w:p>
    <w:p>
      <w:pPr>
        <w:spacing w:line="600" w:lineRule="exact"/>
        <w:jc w:val="center"/>
        <w:outlineLvl w:val="0"/>
        <w:rPr>
          <w:rStyle w:val="20"/>
          <w:rFonts w:hint="eastAsia" w:ascii="黑体" w:hAnsi="黑体" w:eastAsia="黑体"/>
        </w:rPr>
      </w:pPr>
      <w:bookmarkStart w:id="69" w:name="_Toc15377226"/>
      <w:bookmarkEnd w:id="69"/>
      <w:r>
        <w:rPr>
          <w:rFonts w:hint="eastAsia" w:ascii="宋体"/>
          <w:b/>
          <w:bCs/>
          <w:color w:val="000000"/>
          <w:sz w:val="44"/>
          <w:szCs w:val="44"/>
        </w:rPr>
        <w:br w:type="page"/>
      </w:r>
      <w:bookmarkStart w:id="70" w:name="_Toc15396614"/>
      <w:bookmarkEnd w:id="70"/>
      <w:r>
        <w:rPr>
          <w:rFonts w:hint="eastAsia" w:ascii="黑体" w:hAnsi="黑体" w:eastAsia="黑体"/>
          <w:color w:val="000000"/>
          <w:sz w:val="44"/>
          <w:szCs w:val="44"/>
        </w:rPr>
        <w:t>第</w:t>
      </w:r>
      <w:r>
        <w:rPr>
          <w:rStyle w:val="20"/>
          <w:rFonts w:hint="eastAsia" w:ascii="黑体" w:hAnsi="黑体" w:eastAsia="黑体"/>
          <w:b w:val="0"/>
          <w:bCs w:val="0"/>
        </w:rPr>
        <w:t>四部分 附件</w:t>
      </w:r>
    </w:p>
    <w:p>
      <w:pPr>
        <w:spacing w:line="600" w:lineRule="exact"/>
        <w:jc w:val="left"/>
        <w:outlineLvl w:val="0"/>
        <w:rPr>
          <w:rFonts w:hint="eastAsia" w:ascii="方正小标宋简体" w:eastAsia="方正小标宋简体"/>
          <w:sz w:val="32"/>
          <w:szCs w:val="32"/>
        </w:rPr>
      </w:pPr>
      <w:r>
        <w:rPr>
          <w:rFonts w:hint="eastAsia" w:ascii="黑体" w:hAnsi="黑体" w:eastAsia="黑体"/>
          <w:sz w:val="32"/>
          <w:szCs w:val="32"/>
        </w:rPr>
        <w:t>附件1</w:t>
      </w:r>
    </w:p>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 xml:space="preserve"> </w:t>
      </w:r>
    </w:p>
    <w:p>
      <w:pPr>
        <w:spacing w:line="580" w:lineRule="exact"/>
        <w:jc w:val="center"/>
        <w:rPr>
          <w:rFonts w:hint="eastAsia" w:eastAsia="方正小标宋简体"/>
          <w:b/>
          <w:bCs/>
          <w:sz w:val="40"/>
          <w:szCs w:val="40"/>
        </w:rPr>
      </w:pPr>
      <w:r>
        <w:rPr>
          <w:rFonts w:ascii="方正小标宋简体" w:eastAsia="方正小标宋简体"/>
          <w:b/>
          <w:bCs/>
          <w:sz w:val="40"/>
          <w:szCs w:val="40"/>
        </w:rPr>
        <w:t>巴中市国有资产监督管理委员会</w:t>
      </w:r>
    </w:p>
    <w:p>
      <w:pPr>
        <w:spacing w:line="580" w:lineRule="exact"/>
        <w:jc w:val="center"/>
        <w:rPr>
          <w:rFonts w:eastAsia="方正小标宋简体"/>
          <w:b/>
          <w:bCs/>
          <w:sz w:val="40"/>
          <w:szCs w:val="40"/>
        </w:rPr>
      </w:pPr>
      <w:r>
        <w:rPr>
          <w:rFonts w:ascii="方正小标宋简体" w:eastAsia="方正小标宋简体"/>
          <w:b/>
          <w:bCs/>
          <w:sz w:val="40"/>
          <w:szCs w:val="40"/>
        </w:rPr>
        <w:t>关于</w:t>
      </w:r>
      <w:r>
        <w:rPr>
          <w:rFonts w:hint="eastAsia" w:ascii="方正小标宋简体" w:eastAsia="方正小标宋简体"/>
          <w:b/>
          <w:bCs/>
          <w:sz w:val="40"/>
          <w:szCs w:val="40"/>
        </w:rPr>
        <w:t>部门整体支出自评的报告</w:t>
      </w:r>
    </w:p>
    <w:p>
      <w:pPr>
        <w:spacing w:line="580" w:lineRule="exact"/>
        <w:rPr>
          <w:rFonts w:hint="eastAsia" w:ascii="方正仿宋_GBK" w:eastAsia="方正仿宋_GBK"/>
        </w:rPr>
      </w:pPr>
      <w:r>
        <w:rPr>
          <w:rFonts w:hint="eastAsia" w:ascii="方正仿宋_GBK" w:eastAsia="方正仿宋_GBK"/>
        </w:rPr>
        <w:t xml:space="preserve"> </w:t>
      </w:r>
    </w:p>
    <w:p>
      <w:pPr>
        <w:autoSpaceDE w:val="0"/>
        <w:spacing w:line="580" w:lineRule="exact"/>
        <w:rPr>
          <w:rFonts w:hint="eastAsia" w:ascii="方正仿宋_GBK" w:eastAsia="方正仿宋_GBK"/>
          <w:sz w:val="32"/>
          <w:szCs w:val="32"/>
        </w:rPr>
      </w:pPr>
      <w:r>
        <w:rPr>
          <w:rFonts w:hint="eastAsia" w:ascii="方正仿宋_GBK" w:eastAsia="方正仿宋_GBK"/>
          <w:sz w:val="32"/>
          <w:szCs w:val="32"/>
        </w:rPr>
        <w:t>市财政局：</w:t>
      </w:r>
    </w:p>
    <w:p>
      <w:pPr>
        <w:autoSpaceDE w:val="0"/>
        <w:spacing w:line="580" w:lineRule="exact"/>
        <w:ind w:firstLine="630"/>
        <w:rPr>
          <w:rFonts w:hint="eastAsia"/>
          <w:sz w:val="32"/>
          <w:szCs w:val="32"/>
        </w:rPr>
      </w:pPr>
      <w:r>
        <w:rPr>
          <w:rFonts w:hint="eastAsia" w:ascii="方正仿宋_GBK" w:eastAsia="方正仿宋_GBK"/>
          <w:spacing w:val="-12"/>
          <w:sz w:val="32"/>
          <w:szCs w:val="32"/>
        </w:rPr>
        <w:t>根据《巴中市财政局关于开展2020年市级财政支出绩效评价工作的通知》（巴财监绩〔2020〕4号）精神，市国委按照绩效评价的程序和办法，实事求是，客观公正地对部门整体支出情况进行了自评，现将自评情况报告如下：</w:t>
      </w:r>
    </w:p>
    <w:p>
      <w:pPr>
        <w:autoSpaceDE w:val="0"/>
        <w:spacing w:line="580" w:lineRule="exact"/>
        <w:ind w:firstLine="720"/>
        <w:rPr>
          <w:rFonts w:ascii="方正黑体简体" w:hAnsi="黑体" w:eastAsia="方正黑体简体" w:cs="宋体"/>
          <w:color w:val="000000"/>
          <w:sz w:val="32"/>
          <w:szCs w:val="32"/>
          <w:shd w:val="clear" w:color="auto" w:fill="FFFFFF"/>
        </w:rPr>
      </w:pPr>
      <w:r>
        <w:rPr>
          <w:rFonts w:hint="eastAsia" w:ascii="方正黑体简体" w:hAnsi="黑体" w:eastAsia="方正黑体简体" w:cs="宋体"/>
          <w:color w:val="000000"/>
          <w:sz w:val="32"/>
          <w:szCs w:val="32"/>
          <w:shd w:val="clear" w:color="auto" w:fill="FFFFFF"/>
        </w:rPr>
        <w:t>一、部门（单位）概况</w:t>
      </w:r>
    </w:p>
    <w:p>
      <w:pPr>
        <w:autoSpaceDE w:val="0"/>
        <w:snapToGrid w:val="0"/>
        <w:spacing w:line="580" w:lineRule="exact"/>
        <w:ind w:firstLine="640" w:firstLineChars="200"/>
        <w:rPr>
          <w:rFonts w:hint="eastAsia" w:ascii="方正楷体_GBK" w:hAnsi="仿宋" w:eastAsia="方正楷体_GBK" w:cs="宋体"/>
          <w:color w:val="000000"/>
          <w:sz w:val="32"/>
          <w:szCs w:val="32"/>
          <w:shd w:val="clear" w:color="auto" w:fill="FFFFFF"/>
        </w:rPr>
      </w:pPr>
      <w:r>
        <w:rPr>
          <w:rFonts w:hint="eastAsia" w:ascii="方正楷体_GBK" w:hAnsi="仿宋" w:eastAsia="方正楷体_GBK" w:cs="宋体"/>
          <w:color w:val="000000"/>
          <w:sz w:val="32"/>
          <w:szCs w:val="32"/>
          <w:shd w:val="clear" w:color="auto" w:fill="FFFFFF"/>
        </w:rPr>
        <w:t>（一）机构组成。</w:t>
      </w:r>
    </w:p>
    <w:p>
      <w:pPr>
        <w:autoSpaceDE w:val="0"/>
        <w:snapToGrid w:val="0"/>
        <w:spacing w:line="580" w:lineRule="exact"/>
        <w:ind w:firstLine="592" w:firstLineChars="200"/>
        <w:rPr>
          <w:rFonts w:hint="eastAsia" w:ascii="方正仿宋_GBK" w:eastAsia="方正仿宋_GBK"/>
          <w:spacing w:val="-12"/>
          <w:sz w:val="32"/>
          <w:szCs w:val="32"/>
        </w:rPr>
      </w:pPr>
      <w:r>
        <w:rPr>
          <w:rFonts w:hint="eastAsia" w:ascii="方正仿宋_GBK" w:eastAsia="方正仿宋_GBK"/>
          <w:spacing w:val="-12"/>
          <w:sz w:val="32"/>
          <w:szCs w:val="32"/>
        </w:rPr>
        <w:t>巴中市国有资产监督管理委员会（简称市国资委），是市政府工作部门，下设巴中市国有企业发展服务中心。</w:t>
      </w:r>
    </w:p>
    <w:p>
      <w:pPr>
        <w:autoSpaceDE w:val="0"/>
        <w:snapToGrid w:val="0"/>
        <w:spacing w:line="580" w:lineRule="exact"/>
        <w:ind w:firstLine="640" w:firstLineChars="200"/>
        <w:rPr>
          <w:rFonts w:hint="eastAsia" w:ascii="方正仿宋_GBK" w:eastAsia="方正仿宋_GBK"/>
          <w:spacing w:val="-12"/>
          <w:sz w:val="32"/>
          <w:szCs w:val="32"/>
        </w:rPr>
      </w:pPr>
      <w:r>
        <w:rPr>
          <w:rFonts w:hint="eastAsia" w:ascii="方正楷体_GBK" w:hAnsi="仿宋" w:eastAsia="方正楷体_GBK" w:cs="宋体"/>
          <w:color w:val="000000"/>
          <w:sz w:val="32"/>
          <w:szCs w:val="32"/>
          <w:shd w:val="clear" w:color="auto" w:fill="FFFFFF"/>
        </w:rPr>
        <w:t>（二）机构职能。</w:t>
      </w:r>
      <w:r>
        <w:rPr>
          <w:rFonts w:hint="eastAsia" w:ascii="方正仿宋_GBK" w:eastAsia="方正仿宋_GBK"/>
          <w:spacing w:val="-12"/>
          <w:sz w:val="32"/>
          <w:szCs w:val="32"/>
        </w:rPr>
        <w:t>根据市政府授权，依法履行出资人职责。拟订国有资产管理的规范性文件和有关制度，依法对县（区）国有资产管理进行指导。承担所监管企业国有资产保值增值的责任，建立和完善国有资产保值增值指标体系，制定考核标准，制定所监管企业负责人收入分配政策并组织实施。</w:t>
      </w:r>
    </w:p>
    <w:p>
      <w:pPr>
        <w:autoSpaceDE w:val="0"/>
        <w:snapToGrid w:val="0"/>
        <w:spacing w:line="580" w:lineRule="exact"/>
        <w:ind w:firstLine="592" w:firstLineChars="200"/>
        <w:rPr>
          <w:rFonts w:hint="eastAsia" w:ascii="方正仿宋_GBK" w:eastAsia="方正仿宋_GBK"/>
          <w:spacing w:val="-12"/>
          <w:sz w:val="32"/>
          <w:szCs w:val="32"/>
        </w:rPr>
      </w:pPr>
      <w:r>
        <w:rPr>
          <w:rFonts w:hint="eastAsia" w:ascii="方正仿宋_GBK" w:eastAsia="方正仿宋_GBK"/>
          <w:spacing w:val="-12"/>
          <w:sz w:val="32"/>
          <w:szCs w:val="32"/>
        </w:rPr>
        <w:t>推进国有企业改革，完善公司治理结构，推动国有经济布局和结构的战略性调整。通过法定程序对所监管企业负责人进行任免、考核并根据其经营业绩进行奖惩，建立符合社会主义市场经济体制和现代企业制度要求的选人、用人机制，完善经营者激励和约束制度。负责监事会的日常管理工作。制定所监管企业年度国有资本经营预算建议草案；组织和监督所监管企业国有资本经营预算的执行；编报所监管企业年度国有资本经营决算草案；负责组织所监管企业上缴国有资本收益。根据市委授权，负责部分国有资产在县（区）的重点国有企业负责人的任免等管理工作。协调中央、省、外地在巴国有企业改革发展中与地方相关的事宜。</w:t>
      </w:r>
    </w:p>
    <w:p>
      <w:pPr>
        <w:autoSpaceDE w:val="0"/>
        <w:spacing w:line="580" w:lineRule="exact"/>
        <w:ind w:firstLine="720"/>
        <w:rPr>
          <w:rFonts w:hint="eastAsia" w:ascii="方正楷体_GBK" w:hAnsi="仿宋" w:eastAsia="方正楷体_GBK" w:cs="宋体"/>
          <w:color w:val="000000"/>
          <w:sz w:val="32"/>
          <w:szCs w:val="32"/>
          <w:shd w:val="clear" w:color="auto" w:fill="FFFFFF"/>
        </w:rPr>
      </w:pPr>
      <w:r>
        <w:rPr>
          <w:rFonts w:hint="eastAsia" w:ascii="方正楷体_GBK" w:hAnsi="仿宋" w:eastAsia="方正楷体_GBK" w:cs="宋体"/>
          <w:color w:val="000000"/>
          <w:sz w:val="32"/>
          <w:szCs w:val="32"/>
          <w:shd w:val="clear" w:color="auto" w:fill="FFFFFF"/>
        </w:rPr>
        <w:t>（三）人员概况</w:t>
      </w:r>
    </w:p>
    <w:p>
      <w:pPr>
        <w:autoSpaceDE w:val="0"/>
        <w:snapToGrid w:val="0"/>
        <w:spacing w:line="580" w:lineRule="exact"/>
        <w:ind w:firstLine="592" w:firstLineChars="200"/>
        <w:rPr>
          <w:rFonts w:hint="eastAsia" w:ascii="方正仿宋_GBK" w:eastAsia="方正仿宋_GBK"/>
          <w:spacing w:val="-12"/>
          <w:sz w:val="32"/>
          <w:szCs w:val="32"/>
        </w:rPr>
      </w:pPr>
      <w:r>
        <w:rPr>
          <w:rFonts w:hint="eastAsia" w:ascii="方正仿宋_GBK" w:eastAsia="方正仿宋_GBK"/>
          <w:spacing w:val="-12"/>
          <w:sz w:val="32"/>
          <w:szCs w:val="32"/>
        </w:rPr>
        <w:t>我单位2019年年末实有人数16人，在职人员16人，                        其中，行政人员14人，非参公事业人员2人。</w:t>
      </w:r>
    </w:p>
    <w:p>
      <w:pPr>
        <w:autoSpaceDE w:val="0"/>
        <w:spacing w:line="580" w:lineRule="exact"/>
        <w:ind w:firstLine="720"/>
        <w:rPr>
          <w:rFonts w:hint="eastAsia" w:ascii="方正黑体简体" w:hAnsi="黑体" w:eastAsia="方正黑体简体" w:cs="宋体"/>
          <w:color w:val="000000"/>
          <w:sz w:val="32"/>
          <w:szCs w:val="32"/>
          <w:shd w:val="clear" w:color="auto" w:fill="FFFFFF"/>
        </w:rPr>
      </w:pPr>
      <w:r>
        <w:rPr>
          <w:rFonts w:hint="eastAsia" w:ascii="方正黑体简体" w:hAnsi="黑体" w:eastAsia="方正黑体简体" w:cs="宋体"/>
          <w:color w:val="000000"/>
          <w:sz w:val="32"/>
          <w:szCs w:val="32"/>
          <w:shd w:val="clear" w:color="auto" w:fill="FFFFFF"/>
        </w:rPr>
        <w:t>二、部门财政资金收支情况</w:t>
      </w:r>
    </w:p>
    <w:p>
      <w:pPr>
        <w:autoSpaceDE w:val="0"/>
        <w:spacing w:line="580" w:lineRule="exact"/>
        <w:ind w:firstLine="720"/>
        <w:rPr>
          <w:rFonts w:hint="eastAsia" w:ascii="方正仿宋_GBK" w:eastAsia="方正仿宋_GBK"/>
          <w:spacing w:val="-12"/>
          <w:sz w:val="32"/>
          <w:szCs w:val="32"/>
        </w:rPr>
      </w:pPr>
      <w:r>
        <w:rPr>
          <w:rFonts w:hint="eastAsia" w:ascii="方正楷体_GBK" w:hAnsi="仿宋" w:eastAsia="方正楷体_GBK" w:cs="宋体"/>
          <w:color w:val="000000"/>
          <w:sz w:val="32"/>
          <w:szCs w:val="32"/>
          <w:shd w:val="clear" w:color="auto" w:fill="FFFFFF"/>
        </w:rPr>
        <w:t>（一）部门财政资金收入情况</w:t>
      </w:r>
      <w:r>
        <w:rPr>
          <w:rFonts w:hint="eastAsia" w:ascii="方正仿宋_GBK" w:eastAsia="方正仿宋_GBK"/>
          <w:spacing w:val="-12"/>
          <w:sz w:val="32"/>
          <w:szCs w:val="32"/>
        </w:rPr>
        <w:t>2019年巴中市国有资产监督管理委员会收入年初预算441.00万元，决算数总收入5026.75万元，其中财政拨款收入5026.75万元。</w:t>
      </w:r>
    </w:p>
    <w:p>
      <w:pPr>
        <w:autoSpaceDE w:val="0"/>
        <w:spacing w:line="580" w:lineRule="exact"/>
        <w:ind w:firstLine="720"/>
        <w:rPr>
          <w:rFonts w:hint="eastAsia" w:ascii="方正楷体_GBK" w:hAnsi="仿宋" w:eastAsia="方正楷体_GBK" w:cs="宋体"/>
          <w:color w:val="000000"/>
          <w:sz w:val="32"/>
          <w:szCs w:val="32"/>
          <w:shd w:val="clear" w:color="auto" w:fill="FFFFFF"/>
        </w:rPr>
      </w:pPr>
      <w:r>
        <w:rPr>
          <w:rFonts w:hint="eastAsia" w:ascii="方正楷体_GBK" w:hAnsi="仿宋" w:eastAsia="方正楷体_GBK" w:cs="宋体"/>
          <w:color w:val="000000"/>
          <w:sz w:val="32"/>
          <w:szCs w:val="32"/>
          <w:shd w:val="clear" w:color="auto" w:fill="FFFFFF"/>
        </w:rPr>
        <w:t>（二）部门财政资金支出情况</w:t>
      </w:r>
    </w:p>
    <w:p>
      <w:pPr>
        <w:autoSpaceDE w:val="0"/>
        <w:snapToGrid w:val="0"/>
        <w:spacing w:line="580" w:lineRule="exact"/>
        <w:ind w:firstLine="592" w:firstLineChars="200"/>
        <w:rPr>
          <w:rFonts w:hint="eastAsia" w:ascii="方正仿宋_GBK" w:eastAsia="方正仿宋_GBK"/>
          <w:spacing w:val="-12"/>
          <w:sz w:val="32"/>
          <w:szCs w:val="32"/>
        </w:rPr>
      </w:pPr>
      <w:r>
        <w:rPr>
          <w:rFonts w:hint="eastAsia" w:ascii="方正仿宋_GBK" w:eastAsia="方正仿宋_GBK"/>
          <w:spacing w:val="-12"/>
          <w:sz w:val="32"/>
          <w:szCs w:val="32"/>
        </w:rPr>
        <w:t>巴中市国有资产监督管理委员会2019年收入合计为5026.75万元。财政拨款收入经费5026.75万元，其中基本支出合计为423.37万元,占总收入的8.42% ，项目支出合计为4540.71万元，占总收入的90.33% 。具体支出情况分析如下：</w:t>
      </w:r>
    </w:p>
    <w:p>
      <w:pPr>
        <w:autoSpaceDE w:val="0"/>
        <w:snapToGrid w:val="0"/>
        <w:spacing w:line="580" w:lineRule="exact"/>
        <w:rPr>
          <w:rFonts w:hint="eastAsia" w:ascii="方正仿宋_GBK" w:eastAsia="方正仿宋_GBK"/>
          <w:spacing w:val="-12"/>
          <w:sz w:val="32"/>
          <w:szCs w:val="32"/>
        </w:rPr>
      </w:pPr>
      <w:r>
        <w:rPr>
          <w:rFonts w:hint="eastAsia" w:ascii="方正仿宋_GBK" w:eastAsia="方正仿宋_GBK"/>
          <w:spacing w:val="-12"/>
          <w:sz w:val="32"/>
          <w:szCs w:val="32"/>
        </w:rPr>
        <w:t xml:space="preserve">     2019年支出合计4964.08万元。其中：工资福利支出224.36万元，占总支出的4.52%;商品服务支出198.57万元，占总支出的4%，对企业的补助4392.00万元，占总支出的88.48%，其他支出149.15万元，占总支出的3%。</w:t>
      </w:r>
    </w:p>
    <w:p>
      <w:pPr>
        <w:autoSpaceDE w:val="0"/>
        <w:spacing w:line="580" w:lineRule="exact"/>
        <w:ind w:firstLine="720"/>
        <w:rPr>
          <w:rFonts w:hint="eastAsia" w:ascii="方正黑体简体" w:hAnsi="黑体" w:eastAsia="方正黑体简体" w:cs="宋体"/>
          <w:color w:val="000000"/>
          <w:sz w:val="32"/>
          <w:szCs w:val="32"/>
          <w:shd w:val="clear" w:color="auto" w:fill="FFFFFF"/>
        </w:rPr>
      </w:pPr>
      <w:r>
        <w:rPr>
          <w:rFonts w:hint="eastAsia" w:ascii="方正黑体简体" w:hAnsi="黑体" w:eastAsia="方正黑体简体" w:cs="宋体"/>
          <w:color w:val="000000"/>
          <w:sz w:val="32"/>
          <w:szCs w:val="32"/>
          <w:shd w:val="clear" w:color="auto" w:fill="FFFFFF"/>
        </w:rPr>
        <w:t>三、部门财政支出管理情况</w:t>
      </w:r>
    </w:p>
    <w:p>
      <w:pPr>
        <w:autoSpaceDE w:val="0"/>
        <w:spacing w:line="580" w:lineRule="exact"/>
        <w:ind w:firstLine="720"/>
        <w:rPr>
          <w:rFonts w:hint="eastAsia" w:ascii="方正楷体_GBK" w:hAnsi="仿宋" w:eastAsia="方正楷体_GBK" w:cs="宋体"/>
          <w:color w:val="000000"/>
          <w:sz w:val="32"/>
          <w:szCs w:val="32"/>
          <w:shd w:val="clear" w:color="auto" w:fill="FFFFFF"/>
        </w:rPr>
      </w:pPr>
      <w:r>
        <w:rPr>
          <w:rFonts w:hint="eastAsia" w:ascii="方正楷体_GBK" w:hAnsi="仿宋" w:eastAsia="方正楷体_GBK" w:cs="宋体"/>
          <w:color w:val="000000"/>
          <w:sz w:val="32"/>
          <w:szCs w:val="32"/>
          <w:shd w:val="clear" w:color="auto" w:fill="FFFFFF"/>
        </w:rPr>
        <w:t>（一）制度建设情况</w:t>
      </w:r>
    </w:p>
    <w:p>
      <w:pPr>
        <w:autoSpaceDE w:val="0"/>
        <w:snapToGrid w:val="0"/>
        <w:spacing w:line="580" w:lineRule="exact"/>
        <w:ind w:firstLine="592" w:firstLineChars="200"/>
        <w:rPr>
          <w:rFonts w:hint="eastAsia" w:ascii="方正仿宋_GBK" w:eastAsia="方正仿宋_GBK"/>
          <w:spacing w:val="-12"/>
          <w:sz w:val="32"/>
          <w:szCs w:val="32"/>
        </w:rPr>
      </w:pPr>
      <w:r>
        <w:rPr>
          <w:rFonts w:hint="eastAsia" w:ascii="方正仿宋_GBK" w:eastAsia="方正仿宋_GBK"/>
          <w:spacing w:val="-12"/>
          <w:sz w:val="32"/>
          <w:szCs w:val="32"/>
        </w:rPr>
        <w:t>1、建章立制。按照中央、省、市有关“厉行节约，反对铺张浪费”的一系列规定，制定了《市国资委机关公务接待管理制度》、《市国资委公车管理办法》、《市国资委机关差旅费管理办法》等财务管理制度，明确了审批权限、开支范围、报销流程、信息公开等措施。</w:t>
      </w:r>
    </w:p>
    <w:p>
      <w:pPr>
        <w:autoSpaceDE w:val="0"/>
        <w:snapToGrid w:val="0"/>
        <w:spacing w:line="580" w:lineRule="exact"/>
        <w:ind w:firstLine="592" w:firstLineChars="200"/>
        <w:rPr>
          <w:rFonts w:hint="eastAsia" w:ascii="方正仿宋_GBK" w:eastAsia="方正仿宋_GBK"/>
          <w:spacing w:val="-12"/>
          <w:sz w:val="32"/>
          <w:szCs w:val="32"/>
        </w:rPr>
      </w:pPr>
      <w:r>
        <w:rPr>
          <w:rFonts w:hint="eastAsia" w:ascii="方正仿宋_GBK" w:eastAsia="方正仿宋_GBK"/>
          <w:spacing w:val="-12"/>
          <w:sz w:val="32"/>
          <w:szCs w:val="32"/>
        </w:rPr>
        <w:t>2、规范核算。严格按照批复的预算科目、项目设置账户，逐月、分项核算，及时反映预算执行情况，使会计核算工作逐步实现“科学化、规范化、精细化”。</w:t>
      </w:r>
    </w:p>
    <w:p>
      <w:pPr>
        <w:autoSpaceDE w:val="0"/>
        <w:snapToGrid w:val="0"/>
        <w:spacing w:line="580" w:lineRule="exact"/>
        <w:ind w:firstLine="592" w:firstLineChars="200"/>
        <w:rPr>
          <w:rFonts w:hint="eastAsia" w:ascii="方正仿宋_GBK" w:eastAsia="方正仿宋_GBK"/>
          <w:spacing w:val="-12"/>
          <w:sz w:val="32"/>
          <w:szCs w:val="32"/>
        </w:rPr>
      </w:pPr>
      <w:r>
        <w:rPr>
          <w:rFonts w:hint="eastAsia" w:ascii="方正仿宋_GBK" w:eastAsia="方正仿宋_GBK"/>
          <w:spacing w:val="-12"/>
          <w:sz w:val="32"/>
          <w:szCs w:val="32"/>
        </w:rPr>
        <w:t>3、加强领导。市级部门决算工作会议召开后，市国资委成立了以分管领导为组长，相关科室为成员的决算工作小组，及时开展账务核对、资产盘点、项目清理等工作，确保了决算数据真实可靠。</w:t>
      </w:r>
    </w:p>
    <w:p>
      <w:pPr>
        <w:autoSpaceDE w:val="0"/>
        <w:snapToGrid w:val="0"/>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（二）本部门（单位）决算公开工作。</w:t>
      </w:r>
    </w:p>
    <w:p>
      <w:pPr>
        <w:autoSpaceDE w:val="0"/>
        <w:snapToGrid w:val="0"/>
        <w:spacing w:line="580" w:lineRule="exact"/>
        <w:ind w:firstLine="592" w:firstLineChars="200"/>
        <w:rPr>
          <w:rFonts w:hint="eastAsia" w:ascii="方正仿宋_GBK" w:eastAsia="方正仿宋_GBK"/>
          <w:spacing w:val="-12"/>
          <w:sz w:val="32"/>
          <w:szCs w:val="32"/>
        </w:rPr>
      </w:pPr>
      <w:r>
        <w:rPr>
          <w:rFonts w:hint="eastAsia" w:ascii="方正仿宋_GBK" w:eastAsia="方正仿宋_GBK"/>
          <w:spacing w:val="-12"/>
          <w:sz w:val="32"/>
          <w:szCs w:val="32"/>
        </w:rPr>
        <w:t>按时完成本单位决算工作，并由市财政局统一进行了公开公示。</w:t>
      </w:r>
    </w:p>
    <w:p>
      <w:pPr>
        <w:autoSpaceDE w:val="0"/>
        <w:spacing w:line="580" w:lineRule="exact"/>
        <w:ind w:firstLine="720"/>
        <w:rPr>
          <w:rFonts w:hint="eastAsia" w:ascii="方正仿宋简体" w:hAnsi="仿宋" w:eastAsia="方正仿宋简体" w:cs="宋体"/>
          <w:color w:val="000000"/>
          <w:sz w:val="32"/>
          <w:szCs w:val="32"/>
          <w:shd w:val="clear" w:color="auto" w:fill="FFFFFF"/>
        </w:rPr>
      </w:pPr>
      <w:r>
        <w:rPr>
          <w:rFonts w:hint="eastAsia" w:ascii="方正楷体_GBK" w:hAnsi="仿宋" w:eastAsia="方正楷体_GBK" w:cs="宋体"/>
          <w:color w:val="000000"/>
          <w:sz w:val="32"/>
          <w:szCs w:val="32"/>
          <w:shd w:val="clear" w:color="auto" w:fill="FFFFFF"/>
        </w:rPr>
        <w:t>（二）绩效目标管理情况</w:t>
      </w:r>
    </w:p>
    <w:p>
      <w:pPr>
        <w:autoSpaceDE w:val="0"/>
        <w:snapToGrid w:val="0"/>
        <w:spacing w:line="580" w:lineRule="exact"/>
        <w:ind w:firstLine="592" w:firstLineChars="200"/>
        <w:rPr>
          <w:rFonts w:hint="eastAsia" w:ascii="方正仿宋_GBK" w:eastAsia="方正仿宋_GBK"/>
          <w:spacing w:val="-12"/>
          <w:sz w:val="32"/>
          <w:szCs w:val="32"/>
        </w:rPr>
      </w:pPr>
      <w:r>
        <w:rPr>
          <w:rFonts w:hint="eastAsia" w:ascii="方正仿宋_GBK" w:eastAsia="方正仿宋_GBK"/>
          <w:spacing w:val="-12"/>
          <w:sz w:val="32"/>
          <w:szCs w:val="32"/>
        </w:rPr>
        <w:t>包括预算编制的科学性和合理性、绩效目标填报的完整性和可行性、绩效目标过程监控的规范性和长效性、绩效评价的客观性和公正性。</w:t>
      </w:r>
    </w:p>
    <w:p>
      <w:pPr>
        <w:autoSpaceDE w:val="0"/>
        <w:spacing w:line="580" w:lineRule="exact"/>
        <w:ind w:firstLine="720"/>
        <w:rPr>
          <w:rFonts w:hint="eastAsia" w:ascii="方正楷体_GBK" w:hAnsi="仿宋" w:eastAsia="方正楷体_GBK" w:cs="宋体"/>
          <w:color w:val="000000"/>
          <w:sz w:val="32"/>
          <w:szCs w:val="32"/>
          <w:shd w:val="clear" w:color="auto" w:fill="FFFFFF"/>
        </w:rPr>
      </w:pPr>
      <w:r>
        <w:rPr>
          <w:rFonts w:hint="eastAsia" w:ascii="方正楷体_GBK" w:hAnsi="仿宋" w:eastAsia="方正楷体_GBK" w:cs="宋体"/>
          <w:color w:val="000000"/>
          <w:sz w:val="32"/>
          <w:szCs w:val="32"/>
          <w:shd w:val="clear" w:color="auto" w:fill="FFFFFF"/>
        </w:rPr>
        <w:t>（三）综合管理情况</w:t>
      </w:r>
    </w:p>
    <w:p>
      <w:pPr>
        <w:autoSpaceDE w:val="0"/>
        <w:snapToGrid w:val="0"/>
        <w:spacing w:line="580" w:lineRule="exact"/>
        <w:ind w:firstLine="592" w:firstLineChars="200"/>
        <w:rPr>
          <w:rFonts w:hint="eastAsia" w:ascii="方正仿宋_GBK" w:eastAsia="方正仿宋_GBK"/>
          <w:spacing w:val="-12"/>
          <w:sz w:val="32"/>
          <w:szCs w:val="32"/>
        </w:rPr>
      </w:pPr>
      <w:r>
        <w:rPr>
          <w:rFonts w:hint="eastAsia" w:ascii="方正仿宋_GBK" w:eastAsia="方正仿宋_GBK"/>
          <w:spacing w:val="-12"/>
          <w:sz w:val="32"/>
          <w:szCs w:val="32"/>
        </w:rPr>
        <w:t>实行收支两条线管理，不相容岗位与职责有效的分离和实施，举债事项实行集体决策，定期对账，落实政府采购政策，政府采购合规。切实加强内部控制建设工作的组织领导，进一步明确工作职责，制定实施方案，做好工作部署、部门协调、进度跟踪、信息报送等工作，推动单位内部控制水平的整体提升。</w:t>
      </w:r>
    </w:p>
    <w:p>
      <w:pPr>
        <w:autoSpaceDE w:val="0"/>
        <w:snapToGrid w:val="0"/>
        <w:spacing w:line="580" w:lineRule="exact"/>
        <w:ind w:firstLine="592" w:firstLineChars="200"/>
        <w:rPr>
          <w:rFonts w:hint="eastAsia" w:ascii="方正仿宋简体" w:hAnsi="仿宋" w:eastAsia="方正仿宋简体" w:cs="宋体"/>
          <w:color w:val="000000"/>
          <w:sz w:val="32"/>
          <w:szCs w:val="32"/>
          <w:shd w:val="clear" w:color="auto" w:fill="FFFFFF"/>
        </w:rPr>
      </w:pPr>
      <w:r>
        <w:rPr>
          <w:rFonts w:hint="eastAsia" w:ascii="方正仿宋_GBK" w:eastAsia="方正仿宋_GBK"/>
          <w:spacing w:val="-12"/>
          <w:sz w:val="32"/>
          <w:szCs w:val="32"/>
        </w:rPr>
        <w:t>按时完成预决算编制，在执行过程中有计划进行资金申报使用，完善资金管理及内部控制制度，确保资金安全，做到帐款、帐帐、帐实相符。认真执行中央八项规定，严格控制三公经费支出，2019年巴中市国有资产监督管理委员会无人员因公出国，费用为零，公务用车运行维护费6.93万元，公务接待费3.60万元，主要用于接待市、区领导等指导检查工作。项目资金管理严格按照用款计划，分月、季度执行，按照项目金管理办法实行专款专用，按照年初预算项目，实施完成后使环境更优美、经济更稳定、社会更和谐，达到预期经济、社会目标。基本支出保障了行政事业单位机构正常运转，完成了特定的行政工作任务或事业发展目标，为经济和社会事业发展提供资金障。</w:t>
      </w:r>
    </w:p>
    <w:p>
      <w:pPr>
        <w:autoSpaceDE w:val="0"/>
        <w:spacing w:line="580" w:lineRule="exact"/>
        <w:ind w:firstLine="720"/>
        <w:rPr>
          <w:rFonts w:hint="eastAsia" w:ascii="方正楷体_GBK" w:hAnsi="仿宋" w:eastAsia="方正楷体_GBK" w:cs="宋体"/>
          <w:color w:val="000000"/>
          <w:sz w:val="32"/>
          <w:szCs w:val="32"/>
          <w:shd w:val="clear" w:color="auto" w:fill="FFFFFF"/>
        </w:rPr>
      </w:pPr>
      <w:r>
        <w:rPr>
          <w:rFonts w:hint="eastAsia" w:ascii="方正楷体_GBK" w:hAnsi="仿宋" w:eastAsia="方正楷体_GBK" w:cs="宋体"/>
          <w:color w:val="000000"/>
          <w:sz w:val="32"/>
          <w:szCs w:val="32"/>
          <w:shd w:val="clear" w:color="auto" w:fill="FFFFFF"/>
        </w:rPr>
        <w:t>（四）综合绩效情况</w:t>
      </w:r>
    </w:p>
    <w:p>
      <w:pPr>
        <w:pStyle w:val="8"/>
        <w:widowControl/>
        <w:autoSpaceDE w:val="0"/>
        <w:spacing w:before="0" w:beforeAutospacing="0" w:after="0" w:afterAutospacing="0" w:line="580" w:lineRule="exact"/>
        <w:ind w:firstLine="640"/>
        <w:rPr>
          <w:rFonts w:hint="eastAsia" w:eastAsia="仿宋_GB2312"/>
          <w:color w:val="000000"/>
          <w:sz w:val="32"/>
          <w:szCs w:val="32"/>
        </w:rPr>
      </w:pPr>
      <w:r>
        <w:rPr>
          <w:rFonts w:hint="eastAsia" w:ascii="仿宋_GB2312" w:eastAsia="仿宋_GB2312"/>
          <w:color w:val="000000"/>
          <w:sz w:val="32"/>
          <w:szCs w:val="32"/>
          <w:shd w:val="clear" w:color="auto" w:fill="FFFFFF"/>
        </w:rPr>
        <w:t>严格执行财务管理制度。严格执行中央和上级有关部门出台的财经纪律相关规定，严控"三公经费"、会议费、培训费、差旅费等支出。严格报账程序，严把票据审核关，减少现金支付。认真做好会计核算，做到账账相符、账实相符。强化内控建设，防范防控岗位风险,确保各项工作有序运转</w:t>
      </w:r>
      <w:r>
        <w:rPr>
          <w:rFonts w:hint="eastAsia" w:ascii="宋体" w:hAnsi="宋体" w:cs="仿宋_GB2312"/>
          <w:color w:val="000000"/>
          <w:sz w:val="32"/>
          <w:szCs w:val="32"/>
          <w:shd w:val="clear" w:color="auto" w:fill="FFFFFF"/>
        </w:rPr>
        <w:t>。</w:t>
      </w:r>
    </w:p>
    <w:p>
      <w:pPr>
        <w:autoSpaceDE w:val="0"/>
        <w:spacing w:line="580" w:lineRule="exact"/>
        <w:ind w:firstLine="720"/>
        <w:rPr>
          <w:rFonts w:ascii="方正黑体简体" w:hAnsi="黑体" w:eastAsia="方正黑体简体" w:cs="宋体"/>
          <w:color w:val="000000"/>
          <w:sz w:val="32"/>
          <w:szCs w:val="32"/>
          <w:shd w:val="clear" w:color="auto" w:fill="FFFFFF"/>
        </w:rPr>
      </w:pPr>
      <w:r>
        <w:rPr>
          <w:rFonts w:hint="eastAsia" w:ascii="方正黑体简体" w:hAnsi="黑体" w:eastAsia="方正黑体简体" w:cs="宋体"/>
          <w:color w:val="000000"/>
          <w:sz w:val="32"/>
          <w:szCs w:val="32"/>
          <w:shd w:val="clear" w:color="auto" w:fill="FFFFFF"/>
        </w:rPr>
        <w:t>四、评价结论及建议</w:t>
      </w:r>
    </w:p>
    <w:p>
      <w:pPr>
        <w:pStyle w:val="8"/>
        <w:widowControl/>
        <w:autoSpaceDE w:val="0"/>
        <w:spacing w:before="0" w:beforeAutospacing="0" w:after="0" w:afterAutospacing="0" w:line="580" w:lineRule="exact"/>
        <w:ind w:firstLine="640"/>
        <w:rPr>
          <w:rFonts w:hint="eastAsia" w:eastAsia="仿宋_GB2312"/>
          <w:color w:val="000000"/>
          <w:sz w:val="32"/>
          <w:szCs w:val="32"/>
        </w:rPr>
      </w:pPr>
      <w:r>
        <w:rPr>
          <w:rFonts w:hint="eastAsia" w:ascii="仿宋_GB2312" w:eastAsia="仿宋_GB2312"/>
          <w:color w:val="000000"/>
          <w:sz w:val="32"/>
          <w:szCs w:val="32"/>
          <w:shd w:val="clear" w:color="auto" w:fill="FFFFFF"/>
        </w:rPr>
        <w:t>我</w:t>
      </w:r>
      <w:r>
        <w:rPr>
          <w:rFonts w:hint="eastAsia" w:ascii="宋体" w:hAnsi="宋体" w:cs="仿宋_GB2312"/>
          <w:color w:val="000000"/>
          <w:sz w:val="32"/>
          <w:szCs w:val="32"/>
          <w:shd w:val="clear" w:color="auto" w:fill="FFFFFF"/>
        </w:rPr>
        <w:t>委</w:t>
      </w:r>
      <w:r>
        <w:rPr>
          <w:rFonts w:hint="eastAsia" w:ascii="仿宋_GB2312" w:eastAsia="仿宋_GB2312"/>
          <w:color w:val="000000"/>
          <w:sz w:val="32"/>
          <w:szCs w:val="32"/>
          <w:shd w:val="clear" w:color="auto" w:fill="FFFFFF"/>
        </w:rPr>
        <w:t>严格按照年初预算批复认真组织实施, 严格执行财经纪律相关管理规定，做到各项收支安排使用符合事业发展计划和财政政策的要求，确保了单位正常运行和重大项目的实施，较好地完成了201</w:t>
      </w:r>
      <w:r>
        <w:rPr>
          <w:rFonts w:hint="eastAsia" w:ascii="仿宋_GB2312" w:cs="仿宋_GB2312"/>
          <w:color w:val="000000"/>
          <w:sz w:val="32"/>
          <w:szCs w:val="32"/>
          <w:shd w:val="clear" w:color="auto" w:fill="FFFFFF"/>
        </w:rPr>
        <w:t>9</w:t>
      </w:r>
      <w:r>
        <w:rPr>
          <w:rFonts w:hint="eastAsia" w:ascii="仿宋_GB2312" w:eastAsia="仿宋_GB2312"/>
          <w:color w:val="000000"/>
          <w:sz w:val="32"/>
          <w:szCs w:val="32"/>
          <w:shd w:val="clear" w:color="auto" w:fill="FFFFFF"/>
        </w:rPr>
        <w:t>年部门预算编制和决算汇总工作, 201</w:t>
      </w:r>
      <w:r>
        <w:rPr>
          <w:rFonts w:hint="eastAsia" w:ascii="仿宋_GB2312" w:cs="仿宋_GB2312"/>
          <w:color w:val="000000"/>
          <w:sz w:val="32"/>
          <w:szCs w:val="32"/>
          <w:shd w:val="clear" w:color="auto" w:fill="FFFFFF"/>
        </w:rPr>
        <w:t>9</w:t>
      </w:r>
      <w:r>
        <w:rPr>
          <w:rFonts w:hint="eastAsia" w:ascii="仿宋_GB2312" w:eastAsia="仿宋_GB2312"/>
          <w:color w:val="000000"/>
          <w:sz w:val="32"/>
          <w:szCs w:val="32"/>
          <w:shd w:val="clear" w:color="auto" w:fill="FFFFFF"/>
        </w:rPr>
        <w:t>年目标任务基本完成，预算执行情况较好。但仍存在预算编制不够完善,个别项目进度缓慢、绩效管理工作有待加强等问题。</w:t>
      </w:r>
    </w:p>
    <w:p>
      <w:pPr>
        <w:spacing w:line="580" w:lineRule="exact"/>
        <w:ind w:firstLine="640" w:firstLineChars="200"/>
        <w:rPr>
          <w:rFonts w:ascii="仿宋_GB2312" w:eastAsia="仿宋_GB2312"/>
          <w:sz w:val="32"/>
          <w:szCs w:val="32"/>
        </w:rPr>
      </w:pPr>
      <w:r>
        <w:rPr>
          <w:rFonts w:hint="eastAsia" w:ascii="仿宋_GB2312" w:eastAsia="仿宋_GB2312"/>
          <w:color w:val="000000"/>
          <w:sz w:val="32"/>
          <w:szCs w:val="32"/>
          <w:shd w:val="clear" w:color="auto" w:fill="FFFFFF"/>
        </w:rPr>
        <w:t>在今后的工作中,我</w:t>
      </w:r>
      <w:r>
        <w:rPr>
          <w:rFonts w:hint="eastAsia" w:ascii="宋体" w:hAnsi="宋体" w:cs="仿宋_GB2312"/>
          <w:color w:val="000000"/>
          <w:sz w:val="32"/>
          <w:szCs w:val="32"/>
          <w:shd w:val="clear" w:color="auto" w:fill="FFFFFF"/>
        </w:rPr>
        <w:t>委</w:t>
      </w:r>
      <w:r>
        <w:rPr>
          <w:rFonts w:hint="eastAsia" w:ascii="仿宋_GB2312" w:eastAsia="仿宋_GB2312"/>
          <w:color w:val="000000"/>
          <w:sz w:val="32"/>
          <w:szCs w:val="32"/>
          <w:shd w:val="clear" w:color="auto" w:fill="FFFFFF"/>
        </w:rPr>
        <w:t>将严格按照新《预算法》的要求，加强预算编制的科学性、合理性,让预算编制更贴合实际，使项目预算与工作结合更加紧密。严格按照批复预算执行，及时将预算分解下达到各单位，并按照项目开展进度有计划申请资金及时支付。加强预算绩效管理，增强预算约束力，做好预算项目支出绩效目标及各项绩效指标的细化、量化工作,用好用活各类财政资金，提高财政资金的使用效益。</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spacing w:line="580" w:lineRule="exact"/>
        <w:rPr>
          <w:rFonts w:hint="eastAsia" w:ascii="黑体" w:hAnsi="黑体" w:eastAsia="黑体"/>
          <w:sz w:val="32"/>
          <w:szCs w:val="32"/>
        </w:rPr>
      </w:pPr>
      <w:r>
        <w:rPr>
          <w:rFonts w:hint="eastAsia" w:ascii="黑体" w:hAnsi="黑体" w:eastAsia="黑体"/>
          <w:sz w:val="32"/>
          <w:szCs w:val="32"/>
        </w:rPr>
        <w:t xml:space="preserve"> </w:t>
      </w:r>
    </w:p>
    <w:p>
      <w:pPr>
        <w:spacing w:line="580" w:lineRule="exact"/>
        <w:rPr>
          <w:rFonts w:hint="eastAsia" w:ascii="黑体" w:hAnsi="黑体" w:eastAsia="黑体"/>
          <w:sz w:val="32"/>
          <w:szCs w:val="32"/>
        </w:rPr>
      </w:pPr>
      <w:r>
        <w:rPr>
          <w:rFonts w:hint="eastAsia" w:ascii="黑体" w:hAnsi="黑体" w:eastAsia="黑体"/>
          <w:sz w:val="32"/>
          <w:szCs w:val="32"/>
        </w:rPr>
        <w:t xml:space="preserve"> </w:t>
      </w:r>
    </w:p>
    <w:p>
      <w:pPr>
        <w:spacing w:line="580" w:lineRule="exact"/>
        <w:rPr>
          <w:rFonts w:hint="eastAsia" w:ascii="黑体" w:hAnsi="黑体" w:eastAsia="黑体"/>
          <w:sz w:val="32"/>
          <w:szCs w:val="32"/>
        </w:rPr>
      </w:pPr>
      <w:r>
        <w:rPr>
          <w:rFonts w:hint="eastAsia" w:ascii="黑体" w:hAnsi="黑体" w:eastAsia="黑体"/>
          <w:sz w:val="32"/>
          <w:szCs w:val="32"/>
        </w:rPr>
        <w:t xml:space="preserve"> </w:t>
      </w:r>
    </w:p>
    <w:p>
      <w:pPr>
        <w:spacing w:line="580" w:lineRule="exact"/>
        <w:rPr>
          <w:rFonts w:hint="eastAsia" w:ascii="黑体" w:hAnsi="黑体" w:eastAsia="黑体"/>
          <w:sz w:val="32"/>
          <w:szCs w:val="32"/>
        </w:rPr>
      </w:pPr>
      <w:r>
        <w:rPr>
          <w:rFonts w:hint="eastAsia" w:ascii="黑体" w:hAnsi="黑体" w:eastAsia="黑体"/>
          <w:sz w:val="32"/>
          <w:szCs w:val="32"/>
        </w:rPr>
        <w:t xml:space="preserve"> </w:t>
      </w:r>
    </w:p>
    <w:p>
      <w:pPr>
        <w:spacing w:line="580" w:lineRule="exact"/>
        <w:rPr>
          <w:rFonts w:hint="eastAsia" w:ascii="黑体" w:hAnsi="黑体" w:eastAsia="黑体"/>
          <w:sz w:val="32"/>
          <w:szCs w:val="32"/>
        </w:rPr>
      </w:pPr>
      <w:r>
        <w:rPr>
          <w:rFonts w:hint="eastAsia" w:ascii="黑体" w:hAnsi="黑体" w:eastAsia="黑体"/>
          <w:sz w:val="32"/>
          <w:szCs w:val="32"/>
        </w:rPr>
        <w:t xml:space="preserve"> </w:t>
      </w:r>
    </w:p>
    <w:p>
      <w:pPr>
        <w:spacing w:line="580" w:lineRule="exact"/>
        <w:rPr>
          <w:rFonts w:hint="eastAsia" w:ascii="黑体" w:hAnsi="黑体" w:eastAsia="黑体"/>
          <w:sz w:val="32"/>
          <w:szCs w:val="32"/>
        </w:rPr>
      </w:pPr>
      <w:r>
        <w:rPr>
          <w:rFonts w:hint="eastAsia" w:ascii="黑体" w:hAnsi="黑体" w:eastAsia="黑体"/>
          <w:sz w:val="32"/>
          <w:szCs w:val="32"/>
        </w:rPr>
        <w:t xml:space="preserve"> </w:t>
      </w:r>
    </w:p>
    <w:p>
      <w:pPr>
        <w:spacing w:line="580" w:lineRule="exact"/>
        <w:rPr>
          <w:rFonts w:hint="eastAsia" w:ascii="黑体" w:hAnsi="黑体" w:eastAsia="黑体"/>
          <w:sz w:val="32"/>
          <w:szCs w:val="32"/>
        </w:rPr>
      </w:pPr>
      <w:r>
        <w:rPr>
          <w:rFonts w:hint="eastAsia" w:ascii="黑体" w:hAnsi="黑体" w:eastAsia="黑体"/>
          <w:sz w:val="32"/>
          <w:szCs w:val="32"/>
        </w:rPr>
        <w:t xml:space="preserve"> </w:t>
      </w:r>
    </w:p>
    <w:p>
      <w:pPr>
        <w:spacing w:line="580" w:lineRule="exact"/>
        <w:rPr>
          <w:rFonts w:hint="eastAsia" w:ascii="黑体" w:hAnsi="黑体" w:eastAsia="黑体"/>
          <w:sz w:val="32"/>
          <w:szCs w:val="32"/>
        </w:rPr>
      </w:pPr>
      <w:r>
        <w:rPr>
          <w:rFonts w:hint="eastAsia" w:ascii="黑体" w:hAnsi="黑体" w:eastAsia="黑体"/>
          <w:sz w:val="32"/>
          <w:szCs w:val="32"/>
        </w:rPr>
        <w:t xml:space="preserve"> </w:t>
      </w:r>
    </w:p>
    <w:p>
      <w:pPr>
        <w:spacing w:line="580" w:lineRule="exact"/>
        <w:rPr>
          <w:rFonts w:hint="eastAsia" w:ascii="黑体" w:hAnsi="黑体" w:eastAsia="黑体"/>
          <w:sz w:val="32"/>
          <w:szCs w:val="32"/>
        </w:rPr>
      </w:pPr>
      <w:r>
        <w:rPr>
          <w:rFonts w:hint="eastAsia" w:ascii="黑体" w:hAnsi="黑体" w:eastAsia="黑体"/>
          <w:sz w:val="32"/>
          <w:szCs w:val="32"/>
        </w:rPr>
        <w:t xml:space="preserve"> </w:t>
      </w:r>
    </w:p>
    <w:p>
      <w:pPr>
        <w:spacing w:line="580" w:lineRule="exact"/>
        <w:rPr>
          <w:rFonts w:hint="eastAsia" w:ascii="黑体" w:hAnsi="黑体" w:eastAsia="黑体"/>
          <w:sz w:val="32"/>
          <w:szCs w:val="32"/>
        </w:rPr>
      </w:pPr>
      <w:r>
        <w:rPr>
          <w:rFonts w:hint="eastAsia" w:ascii="黑体" w:hAnsi="黑体" w:eastAsia="黑体"/>
          <w:sz w:val="32"/>
          <w:szCs w:val="32"/>
        </w:rPr>
        <w:t xml:space="preserve"> </w:t>
      </w:r>
    </w:p>
    <w:p>
      <w:pPr>
        <w:pStyle w:val="2"/>
        <w:spacing w:before="93"/>
        <w:rPr>
          <w:rFonts w:hint="eastAsia" w:ascii="黑体" w:hAnsi="黑体" w:eastAsia="黑体"/>
          <w:sz w:val="32"/>
          <w:szCs w:val="32"/>
        </w:rPr>
      </w:pPr>
      <w:r>
        <w:rPr>
          <w:rFonts w:hint="eastAsia" w:ascii="黑体" w:hAnsi="黑体" w:eastAsia="黑体"/>
          <w:sz w:val="32"/>
          <w:szCs w:val="32"/>
        </w:rPr>
        <w:t xml:space="preserve"> </w:t>
      </w:r>
    </w:p>
    <w:p>
      <w:pPr>
        <w:pStyle w:val="2"/>
        <w:spacing w:before="93"/>
        <w:rPr>
          <w:rFonts w:hint="eastAsia" w:ascii="黑体" w:hAnsi="黑体" w:eastAsia="黑体"/>
          <w:sz w:val="32"/>
          <w:szCs w:val="32"/>
        </w:rPr>
      </w:pPr>
      <w:r>
        <w:rPr>
          <w:rFonts w:hint="eastAsia" w:ascii="黑体" w:hAnsi="黑体" w:eastAsia="黑体"/>
          <w:sz w:val="32"/>
          <w:szCs w:val="32"/>
        </w:rPr>
        <w:t xml:space="preserve"> </w:t>
      </w:r>
    </w:p>
    <w:p>
      <w:pPr>
        <w:pStyle w:val="2"/>
        <w:spacing w:before="93"/>
        <w:rPr>
          <w:rFonts w:hint="eastAsia" w:ascii="黑体" w:hAnsi="黑体" w:eastAsia="黑体"/>
          <w:sz w:val="32"/>
          <w:szCs w:val="32"/>
        </w:rPr>
      </w:pPr>
      <w:r>
        <w:rPr>
          <w:rFonts w:hint="eastAsia" w:ascii="黑体" w:hAnsi="黑体" w:eastAsia="黑体"/>
          <w:sz w:val="32"/>
          <w:szCs w:val="32"/>
        </w:rPr>
        <w:t xml:space="preserve"> </w:t>
      </w:r>
    </w:p>
    <w:p>
      <w:pPr>
        <w:spacing w:line="580" w:lineRule="exact"/>
        <w:rPr>
          <w:rFonts w:hint="eastAsia" w:ascii="仿宋_GB2312" w:eastAsia="仿宋_GB2312"/>
          <w:sz w:val="32"/>
          <w:szCs w:val="32"/>
        </w:rPr>
      </w:pPr>
      <w:r>
        <w:rPr>
          <w:rFonts w:hint="eastAsia" w:ascii="黑体" w:hAnsi="黑体" w:eastAsia="黑体"/>
          <w:sz w:val="32"/>
          <w:szCs w:val="32"/>
        </w:rPr>
        <w:t>附件2</w:t>
      </w:r>
    </w:p>
    <w:p>
      <w:pPr>
        <w:spacing w:line="600" w:lineRule="exact"/>
        <w:rPr>
          <w:rFonts w:hint="eastAsia" w:ascii="宋体" w:hAnsi="宋体"/>
          <w:sz w:val="32"/>
          <w:szCs w:val="32"/>
        </w:rPr>
      </w:pPr>
      <w:r>
        <w:rPr>
          <w:rFonts w:hint="eastAsia" w:ascii="宋体" w:hAnsi="宋体"/>
          <w:sz w:val="32"/>
          <w:szCs w:val="32"/>
        </w:rPr>
        <w:t xml:space="preserve"> </w:t>
      </w:r>
    </w:p>
    <w:p>
      <w:pPr>
        <w:spacing w:line="580" w:lineRule="exact"/>
        <w:jc w:val="center"/>
        <w:rPr>
          <w:rFonts w:hint="eastAsia" w:eastAsia="方正小标宋简体"/>
          <w:b/>
          <w:bCs/>
          <w:sz w:val="40"/>
          <w:szCs w:val="40"/>
        </w:rPr>
      </w:pPr>
      <w:r>
        <w:rPr>
          <w:rFonts w:ascii="方正小标宋简体" w:eastAsia="方正小标宋简体"/>
          <w:b/>
          <w:bCs/>
          <w:sz w:val="40"/>
          <w:szCs w:val="40"/>
        </w:rPr>
        <w:t>巴中市国有资产监督管理委员会</w:t>
      </w:r>
    </w:p>
    <w:p>
      <w:pPr>
        <w:spacing w:line="580" w:lineRule="exact"/>
        <w:jc w:val="center"/>
        <w:rPr>
          <w:sz w:val="40"/>
          <w:szCs w:val="40"/>
        </w:rPr>
      </w:pPr>
      <w:r>
        <w:rPr>
          <w:rFonts w:ascii="方正小标宋简体" w:eastAsia="方正小标宋简体"/>
          <w:b/>
          <w:bCs/>
          <w:sz w:val="40"/>
          <w:szCs w:val="40"/>
        </w:rPr>
        <w:t>关于巴中川陕革命老区振兴发展基金和国有资本经营预算补助经费支出绩效自评</w:t>
      </w:r>
      <w:r>
        <w:rPr>
          <w:rFonts w:hint="eastAsia" w:ascii="方正小标宋简体" w:eastAsia="方正小标宋简体"/>
          <w:b/>
          <w:bCs/>
          <w:sz w:val="40"/>
          <w:szCs w:val="40"/>
        </w:rPr>
        <w:t>的</w:t>
      </w:r>
      <w:r>
        <w:rPr>
          <w:rFonts w:ascii="方正小标宋简体" w:eastAsia="方正小标宋简体"/>
          <w:b/>
          <w:bCs/>
          <w:sz w:val="40"/>
          <w:szCs w:val="40"/>
        </w:rPr>
        <w:t>报告</w:t>
      </w:r>
    </w:p>
    <w:p>
      <w:pPr>
        <w:spacing w:line="400" w:lineRule="exact"/>
      </w:pPr>
      <w:r>
        <w:t xml:space="preserve"> </w:t>
      </w:r>
    </w:p>
    <w:p>
      <w:pPr>
        <w:spacing w:line="580" w:lineRule="exact"/>
        <w:rPr>
          <w:rFonts w:ascii="方正仿宋_GBK" w:eastAsia="方正仿宋_GBK"/>
          <w:sz w:val="32"/>
          <w:szCs w:val="32"/>
        </w:rPr>
      </w:pPr>
      <w:r>
        <w:rPr>
          <w:rFonts w:hint="eastAsia" w:ascii="方正仿宋_GBK" w:eastAsia="方正仿宋_GBK"/>
          <w:sz w:val="32"/>
          <w:szCs w:val="32"/>
        </w:rPr>
        <w:t>市财政局：</w:t>
      </w:r>
    </w:p>
    <w:p>
      <w:pPr>
        <w:spacing w:line="580" w:lineRule="exact"/>
        <w:ind w:firstLine="630"/>
        <w:rPr>
          <w:rFonts w:hint="eastAsia" w:ascii="方正仿宋_GBK" w:eastAsia="方正仿宋_GBK"/>
          <w:spacing w:val="-12"/>
          <w:sz w:val="32"/>
          <w:szCs w:val="32"/>
        </w:rPr>
      </w:pPr>
      <w:r>
        <w:rPr>
          <w:rFonts w:hint="eastAsia" w:ascii="方正仿宋_GBK" w:eastAsia="方正仿宋_GBK"/>
          <w:spacing w:val="-12"/>
          <w:sz w:val="32"/>
          <w:szCs w:val="32"/>
        </w:rPr>
        <w:t>根据《巴中市财政局关于开展2020年市级财政支出绩效评价工作的通知》（巴财监绩〔2020〕4号）精神，市国委按照绩效评价的程序和办法，实事求是，客观公正地对巴中川陕革命老区振兴发展基金和国有资本经营预算补助经费支出绩效进行了全面自评，现将自评情况报告如下：</w:t>
      </w:r>
    </w:p>
    <w:p>
      <w:pPr>
        <w:spacing w:line="580" w:lineRule="exact"/>
        <w:ind w:firstLine="630"/>
        <w:rPr>
          <w:rFonts w:hint="eastAsia" w:ascii="方正黑体_GBK" w:eastAsia="方正黑体_GBK"/>
          <w:spacing w:val="-12"/>
          <w:sz w:val="32"/>
          <w:szCs w:val="32"/>
        </w:rPr>
      </w:pPr>
      <w:r>
        <w:rPr>
          <w:rFonts w:hint="eastAsia" w:ascii="方正黑体_GBK" w:eastAsia="方正黑体_GBK"/>
          <w:spacing w:val="-12"/>
          <w:sz w:val="32"/>
          <w:szCs w:val="32"/>
        </w:rPr>
        <w:t>一、</w:t>
      </w:r>
      <w:r>
        <w:rPr>
          <w:rFonts w:hint="eastAsia" w:ascii="方正黑体_GBK" w:eastAsia="方正黑体_GBK"/>
          <w:sz w:val="32"/>
          <w:szCs w:val="32"/>
        </w:rPr>
        <w:t>项目概况</w:t>
      </w:r>
    </w:p>
    <w:p>
      <w:pPr>
        <w:spacing w:line="580" w:lineRule="exact"/>
        <w:ind w:firstLine="624"/>
        <w:rPr>
          <w:rFonts w:hint="eastAsia" w:ascii="方正仿宋_GBK" w:eastAsia="方正仿宋_GBK"/>
          <w:sz w:val="32"/>
          <w:szCs w:val="32"/>
        </w:rPr>
      </w:pPr>
      <w:r>
        <w:rPr>
          <w:rFonts w:hint="eastAsia" w:ascii="方正楷体_GBK" w:eastAsia="方正楷体_GBK"/>
          <w:b/>
          <w:bCs/>
          <w:sz w:val="32"/>
          <w:szCs w:val="32"/>
        </w:rPr>
        <w:t>（一）巴中川陕革命老区振兴发展基金项目。</w:t>
      </w:r>
      <w:r>
        <w:rPr>
          <w:rFonts w:hint="eastAsia" w:ascii="方正仿宋_GBK" w:eastAsia="方正仿宋_GBK"/>
          <w:sz w:val="32"/>
          <w:szCs w:val="32"/>
        </w:rPr>
        <w:t>2017年11月，为充分利用同创九鼎投资管理集团股份有限公司在PE投资领域的专业和资本优势，进一步推动巴中区域经济发展，培育巴中优势产业和优质企业，四届市委第三十三次常委会和四届市政府第41次常务会议审议同意《巴中川陕革命老区振兴发展基金产业投资基金设立方案》，方案中明确：基金初期规模15亿元，远期目标规模50亿元。主要投资于脱贫攻坚、产业发展、基础设施建设项目。首期基金由市人民政府授权市财政局出资2亿元，巴中市国有资产经营公司和四川秦巴新城公司共同出资3亿元作为劣后资金。</w:t>
      </w:r>
    </w:p>
    <w:p>
      <w:pPr>
        <w:pStyle w:val="2"/>
        <w:spacing w:before="93" w:after="0" w:afterAutospacing="0" w:line="580" w:lineRule="exact"/>
        <w:ind w:firstLine="640" w:firstLineChars="200"/>
        <w:rPr>
          <w:rFonts w:hint="eastAsia" w:ascii="方正仿宋_GBK" w:eastAsia="方正仿宋_GBK"/>
          <w:sz w:val="32"/>
          <w:szCs w:val="32"/>
        </w:rPr>
      </w:pPr>
      <w:r>
        <w:rPr>
          <w:rFonts w:hint="eastAsia" w:ascii="方正楷体_GBK" w:eastAsia="方正楷体_GBK"/>
          <w:b/>
          <w:bCs/>
          <w:sz w:val="32"/>
          <w:szCs w:val="32"/>
        </w:rPr>
        <w:t>（二）国有资本经营预算补助经费项目。</w:t>
      </w:r>
      <w:r>
        <w:rPr>
          <w:rFonts w:hint="eastAsia" w:ascii="方正仿宋_GBK" w:eastAsia="方正仿宋_GBK"/>
          <w:sz w:val="32"/>
          <w:szCs w:val="32"/>
        </w:rPr>
        <w:t>为支持市级国有资本做大做强做优，加快国有企业改革创新，市财政在2019年底下达2019年国有资本经营预算补助经费380万元，其中：作为国有企业资本金注入、改革成本支出331万元； 国有资本“十四五”规划编制费用49万元，主要用于国有资本“十四五”规划编制相关费用。</w:t>
      </w:r>
    </w:p>
    <w:p>
      <w:pPr>
        <w:spacing w:line="580" w:lineRule="exact"/>
        <w:ind w:firstLine="624"/>
        <w:rPr>
          <w:rFonts w:hint="eastAsia" w:ascii="方正黑体_GBK" w:eastAsia="方正黑体_GBK"/>
          <w:sz w:val="32"/>
          <w:szCs w:val="32"/>
        </w:rPr>
      </w:pPr>
      <w:r>
        <w:rPr>
          <w:rFonts w:hint="eastAsia" w:ascii="方正黑体_GBK" w:eastAsia="方正黑体_GBK"/>
          <w:sz w:val="32"/>
          <w:szCs w:val="32"/>
        </w:rPr>
        <w:t>二、项目实施及管理情况</w:t>
      </w:r>
    </w:p>
    <w:p>
      <w:pPr>
        <w:spacing w:line="580" w:lineRule="exact"/>
        <w:rPr>
          <w:rFonts w:hint="eastAsia" w:ascii="方正仿宋_GBK" w:eastAsia="方正仿宋_GBK"/>
          <w:sz w:val="32"/>
          <w:szCs w:val="32"/>
        </w:rPr>
      </w:pPr>
      <w:r>
        <w:rPr>
          <w:rFonts w:hint="eastAsia" w:ascii="方正仿宋_GBK" w:eastAsia="方正仿宋_GBK"/>
          <w:b/>
          <w:bCs/>
          <w:sz w:val="32"/>
          <w:szCs w:val="32"/>
        </w:rPr>
        <w:t xml:space="preserve">   </w:t>
      </w:r>
      <w:r>
        <w:rPr>
          <w:rFonts w:hint="eastAsia" w:ascii="方正楷体_GBK" w:eastAsia="方正楷体_GBK"/>
          <w:b/>
          <w:bCs/>
          <w:sz w:val="32"/>
          <w:szCs w:val="32"/>
        </w:rPr>
        <w:t>（一）专项工作经费收支概况、支出结构。</w:t>
      </w:r>
      <w:r>
        <w:rPr>
          <w:rFonts w:hint="eastAsia" w:ascii="方正仿宋_GBK" w:eastAsia="方正仿宋_GBK"/>
          <w:b/>
          <w:bCs/>
          <w:spacing w:val="-12"/>
          <w:sz w:val="32"/>
          <w:szCs w:val="32"/>
        </w:rPr>
        <w:t>一是巴中川陕革命老区振兴发展产业投资基金。</w:t>
      </w:r>
      <w:r>
        <w:rPr>
          <w:rFonts w:hint="eastAsia" w:ascii="方正仿宋_GBK" w:eastAsia="方正仿宋_GBK"/>
          <w:sz w:val="32"/>
          <w:szCs w:val="32"/>
        </w:rPr>
        <w:t>截至2018年12月底，市本级安排巴中川陕革命老区振兴发展产业投资基金19300万元，截至2018年底实际支出19300万元，预算执行率为100%。</w:t>
      </w:r>
      <w:r>
        <w:rPr>
          <w:rFonts w:hint="eastAsia" w:ascii="方正仿宋_GBK" w:eastAsia="方正仿宋_GBK"/>
          <w:b/>
          <w:bCs/>
          <w:sz w:val="32"/>
          <w:szCs w:val="32"/>
        </w:rPr>
        <w:t>二是国有资本“十四五”规划编制费用。</w:t>
      </w:r>
      <w:r>
        <w:rPr>
          <w:rFonts w:hint="eastAsia" w:ascii="方正仿宋_GBK" w:eastAsia="方正仿宋_GBK"/>
          <w:sz w:val="32"/>
          <w:szCs w:val="32"/>
        </w:rPr>
        <w:t>已按照合同约定，支付了30%的十四五编制咨询服务费和招标代理费等共计15.81万元。</w:t>
      </w:r>
    </w:p>
    <w:p>
      <w:pPr>
        <w:spacing w:line="580" w:lineRule="exact"/>
        <w:ind w:firstLine="640" w:firstLineChars="200"/>
        <w:rPr>
          <w:rFonts w:hint="eastAsia" w:ascii="方正仿宋_GBK" w:eastAsia="方正仿宋_GBK"/>
          <w:sz w:val="32"/>
          <w:szCs w:val="32"/>
        </w:rPr>
      </w:pPr>
      <w:r>
        <w:rPr>
          <w:rFonts w:hint="eastAsia" w:ascii="方正楷体_GBK" w:eastAsia="方正楷体_GBK"/>
          <w:b/>
          <w:bCs/>
          <w:sz w:val="32"/>
          <w:szCs w:val="32"/>
        </w:rPr>
        <w:t>（二）专项工作经费管理措施、制度建设情况。</w:t>
      </w:r>
      <w:r>
        <w:rPr>
          <w:rFonts w:hint="eastAsia" w:ascii="方正仿宋_GBK" w:eastAsia="方正仿宋_GBK"/>
          <w:sz w:val="32"/>
          <w:szCs w:val="32"/>
        </w:rPr>
        <w:t>为加快推进国有资产资本化、国有资本证券化、国有产权多元化改革，提高财政资金的使用效率，明确专项工作经费支出范围、严格审批程序和监督检查等措施，对每一笔经费在核定的支出限额和支出范围内实行据实凭票报账制；严格财务程序，强化报销环节管理，认真落实经办人、科室负责人、委领导责任，确保了专项工作经费支出的合规、到位。同时，按季度对专项工作经费支出情况进行审计，严格监督专项工作经费专款专用，并对专项工作经费的收支情况，通过职工大会、办公会议等不同形式，进行定期和不定期公开，确保了专项工作经费收支公开、透明。</w:t>
      </w:r>
    </w:p>
    <w:p>
      <w:pPr>
        <w:spacing w:line="580" w:lineRule="exact"/>
        <w:ind w:firstLine="640" w:firstLineChars="200"/>
        <w:rPr>
          <w:rFonts w:hint="eastAsia" w:ascii="方正仿宋_GBK" w:eastAsia="方正仿宋_GBK"/>
          <w:sz w:val="32"/>
          <w:szCs w:val="32"/>
        </w:rPr>
      </w:pPr>
      <w:r>
        <w:rPr>
          <w:rFonts w:hint="eastAsia" w:ascii="方正楷体_GBK" w:eastAsia="方正楷体_GBK"/>
          <w:b/>
          <w:bCs/>
          <w:sz w:val="32"/>
          <w:szCs w:val="32"/>
        </w:rPr>
        <w:t>（三）项目组织实施情况。</w:t>
      </w:r>
      <w:r>
        <w:rPr>
          <w:rFonts w:hint="eastAsia" w:ascii="方正仿宋_GBK" w:eastAsia="方正仿宋_GBK"/>
          <w:b/>
          <w:bCs/>
          <w:sz w:val="32"/>
          <w:szCs w:val="32"/>
        </w:rPr>
        <w:t>一是大力推进巴中产业发展。</w:t>
      </w:r>
      <w:r>
        <w:rPr>
          <w:rFonts w:hint="eastAsia" w:ascii="方正仿宋_GBK" w:eastAsia="方正仿宋_GBK"/>
          <w:sz w:val="32"/>
          <w:szCs w:val="32"/>
        </w:rPr>
        <w:t>市国资委分别与省金控集团和省产业基金签订了战略合作协议，大力支持市属企业市场化融资。推动市国资经营公司向上海证券交易所申报发行10亿公司债券、北京金融资产交易所申报发行10亿债券融资计划。秦巴新城公司已取得4亿元PPN发行批文，目前正在推进15亿元企业债申报工作。按照《防范化解市属企业债务风险工作方案》，进一步解决好市属企业发展过程中存在的障碍和问题。支持国有资本和国有企业做强做优做大，使之成为重大基础设施、重大产业和重大社会事业项目的投资主体、融资载体、营运主体。</w:t>
      </w:r>
      <w:r>
        <w:rPr>
          <w:rFonts w:hint="eastAsia" w:ascii="方正仿宋_GBK" w:eastAsia="方正仿宋_GBK"/>
          <w:b/>
          <w:bCs/>
          <w:sz w:val="32"/>
          <w:szCs w:val="32"/>
        </w:rPr>
        <w:t>二是着力编制市国有资本“十四五”规划。</w:t>
      </w:r>
      <w:r>
        <w:rPr>
          <w:rFonts w:hint="eastAsia" w:ascii="方正仿宋_GBK" w:eastAsia="方正仿宋_GBK"/>
          <w:sz w:val="32"/>
          <w:szCs w:val="32"/>
        </w:rPr>
        <w:t>按照国务院国资委、省国资委关于“十四五”规划编制的工作安排部署，市国资委于2019年底正式启动国有资本“十四五”规划编制相关工作，先后几次组织培训、会议动员。由于春节过后受疫情爆发的影响，市国资委在6月份通过招标的方式，选定了咨询机构，主要由中介机构机构配合国资委完成对巴中市国有资本“十四五”规划和市本级国有资本“十四五”规划编制工作，现阶段该项工作正在全面摸底调查（各区县情况已经实地走访），力争在年底完成编制初稿。</w:t>
      </w:r>
    </w:p>
    <w:p>
      <w:pPr>
        <w:spacing w:line="580" w:lineRule="exact"/>
        <w:ind w:firstLine="624"/>
        <w:rPr>
          <w:rFonts w:hint="eastAsia" w:ascii="方正黑体_GBK" w:eastAsia="方正黑体_GBK"/>
          <w:sz w:val="32"/>
          <w:szCs w:val="32"/>
        </w:rPr>
      </w:pPr>
      <w:r>
        <w:rPr>
          <w:rFonts w:hint="eastAsia" w:ascii="方正黑体_GBK" w:eastAsia="方正黑体_GBK"/>
          <w:sz w:val="32"/>
          <w:szCs w:val="32"/>
        </w:rPr>
        <w:t>三、目标完成及效益情况</w:t>
      </w:r>
    </w:p>
    <w:p>
      <w:pPr>
        <w:spacing w:line="540" w:lineRule="exact"/>
        <w:ind w:firstLine="656"/>
        <w:rPr>
          <w:rFonts w:hint="eastAsia" w:ascii="方正仿宋_GBK" w:eastAsia="方正仿宋_GBK"/>
          <w:sz w:val="32"/>
          <w:szCs w:val="32"/>
        </w:rPr>
      </w:pPr>
      <w:r>
        <w:rPr>
          <w:rFonts w:hint="eastAsia" w:ascii="方正楷体_GBK" w:eastAsia="方正楷体_GBK"/>
          <w:b/>
          <w:bCs/>
          <w:sz w:val="32"/>
          <w:szCs w:val="32"/>
        </w:rPr>
        <w:t>（一）优化国有资本布局。</w:t>
      </w:r>
      <w:r>
        <w:rPr>
          <w:rFonts w:hint="eastAsia" w:ascii="方正仿宋_GBK" w:eastAsia="方正仿宋_GBK"/>
          <w:sz w:val="32"/>
          <w:szCs w:val="32"/>
        </w:rPr>
        <w:t>进一步深化国有企业改革工作，全面实施对市本级国有企业的重组整合。制订出台了《关于进一步深化市属国有企业改革的实施方案》，按照“分类整合、做大做强、市场导向、稳步推进”的原则，将经营性质相近、关联度高、业务重叠的市级企业进行优化组合和合理配置，通过划转、退出、置换等办法，进一步压缩企业户数，做大企业规模，优化国有资本布局，将市属统计监管24家国有企业减少为8家，新组建市国资运营集团、市城建投集团、市农投资集团、市公用事业集团，做大做强市文旅集团、市交投集团，初步形成“1家国有资本运营公司、6家国有资本投资公司、1家基金管理公司”的国有资本投资运营新格局。改革重组后的集团公司，将作为我市重大基础设施、重大产业和重大社会事业项目的投资主体、融资载体、运营实体，按照市场化原则承担全市资本运营、城市建设、农业投资、公用事业、文化旅游、交通建设等领域重大投资和重要建设任务，发挥国有企业在保障国民经济持续健康安全发展中的骨干中坚作用。</w:t>
      </w:r>
    </w:p>
    <w:p>
      <w:pPr>
        <w:spacing w:line="540" w:lineRule="exact"/>
        <w:ind w:firstLine="656"/>
        <w:rPr>
          <w:rFonts w:hint="eastAsia" w:ascii="方正仿宋_GBK" w:eastAsia="方正仿宋_GBK"/>
          <w:sz w:val="32"/>
          <w:szCs w:val="32"/>
        </w:rPr>
      </w:pPr>
      <w:r>
        <w:rPr>
          <w:rFonts w:hint="eastAsia" w:ascii="方正楷体_GBK" w:eastAsia="方正楷体_GBK"/>
          <w:b/>
          <w:bCs/>
          <w:sz w:val="32"/>
          <w:szCs w:val="32"/>
        </w:rPr>
        <w:t>（二）做大做强川陕基金。</w:t>
      </w:r>
      <w:r>
        <w:rPr>
          <w:rFonts w:hint="eastAsia" w:ascii="方正仿宋_GBK" w:eastAsia="方正仿宋_GBK"/>
          <w:sz w:val="32"/>
          <w:szCs w:val="32"/>
        </w:rPr>
        <w:t>转变财政支持产业发展方式，充分发挥财政资金的引导和放大作用，加大川陕革命老区振兴发展基金募投，完成巴中川陕革命老区振兴发展基金管理有限公司管理人登记备案工作和巴中振兴发展一号产业投资基金协会备案工作及四川省发改委备案工作；2019年实现基金资金投放12亿元，其中：股权投资基金实现对四川宝玛科技有限公司、四川金枝玉叶茶叶有限公司等2个项目投放资金2.4亿元；产业投资基金对巴中秦鼎实业有限公司、</w:t>
      </w:r>
      <w:r>
        <w:fldChar w:fldCharType="begin"/>
      </w:r>
      <w:r>
        <w:instrText xml:space="preserve"> HYPERLINK "https://www.tianyancha.com/company/2357864534?jsid=SEM-NEW360-PP-YR-080001" </w:instrText>
      </w:r>
      <w:r>
        <w:fldChar w:fldCharType="separate"/>
      </w:r>
      <w:r>
        <w:rPr>
          <w:rStyle w:val="11"/>
          <w:rFonts w:hint="eastAsia" w:ascii="方正仿宋_GBK" w:eastAsia="方正仿宋_GBK"/>
          <w:color w:val="auto"/>
          <w:sz w:val="32"/>
          <w:szCs w:val="32"/>
        </w:rPr>
        <w:t>四川德健南江黄羊食品有限责任公司</w:t>
      </w:r>
      <w:r>
        <w:rPr>
          <w:rStyle w:val="11"/>
          <w:rFonts w:hint="eastAsia" w:ascii="方正仿宋_GBK" w:eastAsia="方正仿宋_GBK"/>
          <w:color w:val="auto"/>
          <w:sz w:val="32"/>
          <w:szCs w:val="32"/>
        </w:rPr>
        <w:fldChar w:fldCharType="end"/>
      </w:r>
      <w:r>
        <w:rPr>
          <w:rFonts w:hint="eastAsia" w:ascii="方正仿宋_GBK" w:eastAsia="方正仿宋_GBK"/>
          <w:sz w:val="32"/>
          <w:szCs w:val="32"/>
        </w:rPr>
        <w:t>等5个项目投放资金9.6亿元，并与中国农业发展银行、中国工商银行、民生银行建立合作关系，相继设立风险补偿基金、民生发展基金，进一步加快我市优势产业和优质企业的培育成长。</w:t>
      </w:r>
    </w:p>
    <w:p>
      <w:pPr>
        <w:spacing w:line="540" w:lineRule="exact"/>
        <w:ind w:firstLine="656"/>
        <w:rPr>
          <w:rFonts w:hint="eastAsia" w:ascii="方正仿宋_GBK" w:eastAsia="方正仿宋_GBK"/>
          <w:sz w:val="32"/>
          <w:szCs w:val="32"/>
        </w:rPr>
      </w:pPr>
      <w:r>
        <w:rPr>
          <w:rFonts w:hint="eastAsia" w:ascii="方正楷体_GBK" w:eastAsia="方正楷体_GBK"/>
          <w:b/>
          <w:bCs/>
          <w:sz w:val="32"/>
          <w:szCs w:val="32"/>
        </w:rPr>
        <w:t>（三）深化投融资服务。</w:t>
      </w:r>
      <w:r>
        <w:rPr>
          <w:rFonts w:hint="eastAsia" w:ascii="方正仿宋_GBK" w:eastAsia="方正仿宋_GBK"/>
          <w:sz w:val="32"/>
          <w:szCs w:val="32"/>
        </w:rPr>
        <w:t>融资方面，进一步优化巴中市属国有企业融资结构，提高直接融资比例，2019年市属国有企业通过企业债、公司债、PPN、专项债等方式实现融资到位44.4亿元，其中市国资经营融资到账33亿元（公司债15亿元、中票8亿元、PPN10亿元），秦巴新城公司融资到账11.4亿元（企业债7.5亿元、PPN3.9亿元），为国有企业转型发展、债务风险防范化解、支持全市重大项目建设等提供了资金保障；投资方面，进一步规范企业经营管理，严控市属国有企业非主业投资、高风险业务、高负债经营，依据《企业投资监督管理暂行办法》，审批市属国有企业重大经营性投资项目额度12.39亿元，充分发挥市属国有企业作为我市重大基础设施、重大产业和重大社会事业项目的投资主体、融资载体、运营实体的作用，推动企业实体化转型发展。</w:t>
      </w:r>
    </w:p>
    <w:p>
      <w:pPr>
        <w:spacing w:line="540" w:lineRule="exact"/>
        <w:ind w:firstLine="656"/>
        <w:rPr>
          <w:rFonts w:hint="eastAsia" w:ascii="方正仿宋_GBK" w:eastAsia="方正仿宋_GBK"/>
          <w:sz w:val="32"/>
          <w:szCs w:val="32"/>
        </w:rPr>
      </w:pPr>
      <w:r>
        <w:rPr>
          <w:rFonts w:hint="eastAsia" w:ascii="方正楷体_GBK" w:eastAsia="方正楷体_GBK"/>
          <w:b/>
          <w:bCs/>
          <w:sz w:val="32"/>
          <w:szCs w:val="32"/>
        </w:rPr>
        <w:t>（四）着力企业债务风险防范。</w:t>
      </w:r>
      <w:r>
        <w:rPr>
          <w:rFonts w:hint="eastAsia" w:ascii="方正仿宋_GBK" w:eastAsia="方正仿宋_GBK"/>
          <w:sz w:val="32"/>
          <w:szCs w:val="32"/>
        </w:rPr>
        <w:t>结合市属国有企业实际情况，拟定了《市属国有企业债务风险防范化解方案》，并报请市政府研究同意。针对市属国有企业2019年待偿债务，一企一策制定风险防控措施，市属国有企业采取借新还旧、贷款展期、债务置换等多种方式共计偿还债务本息约75亿元，未发生债务违约现象。</w:t>
      </w:r>
    </w:p>
    <w:p>
      <w:pPr>
        <w:spacing w:line="580" w:lineRule="exact"/>
        <w:ind w:firstLine="624"/>
        <w:rPr>
          <w:rFonts w:hint="eastAsia" w:ascii="方正黑体_GBK" w:eastAsia="方正黑体_GBK"/>
          <w:sz w:val="32"/>
          <w:szCs w:val="32"/>
        </w:rPr>
      </w:pPr>
      <w:r>
        <w:rPr>
          <w:rFonts w:hint="eastAsia" w:ascii="方正黑体_GBK" w:eastAsia="方正黑体_GBK"/>
          <w:sz w:val="32"/>
          <w:szCs w:val="32"/>
        </w:rPr>
        <w:t>四、存在的问题及整改措施</w:t>
      </w:r>
    </w:p>
    <w:p>
      <w:pPr>
        <w:widowControl/>
        <w:shd w:val="clear" w:color="auto" w:fill="FFFFFF"/>
        <w:spacing w:line="580" w:lineRule="exact"/>
        <w:rPr>
          <w:rFonts w:hint="eastAsia" w:ascii="方正仿宋_GBK" w:eastAsia="方正仿宋_GBK"/>
          <w:color w:val="000000"/>
          <w:sz w:val="32"/>
          <w:szCs w:val="32"/>
        </w:rPr>
      </w:pPr>
      <w:r>
        <w:rPr>
          <w:rFonts w:hint="eastAsia" w:ascii="方正仿宋_GBK" w:eastAsia="方正仿宋_GBK"/>
          <w:kern w:val="0"/>
          <w:sz w:val="32"/>
          <w:szCs w:val="32"/>
        </w:rPr>
        <w:t xml:space="preserve">    </w:t>
      </w:r>
      <w:r>
        <w:rPr>
          <w:rFonts w:hint="eastAsia" w:ascii="方正仿宋_GBK" w:eastAsia="方正仿宋_GBK"/>
          <w:sz w:val="32"/>
          <w:szCs w:val="32"/>
        </w:rPr>
        <w:t>受金融监管政策全面收紧和宏观经济不确定性因素影响，金融机构风险偏好降低，企业融资成本上升，难度加大，对企业债券认购积极性不高，企业资金募集困难。在编制预算时各专项资金设定了相关的绩效目标。但从绩效目标管理的角度看，设置的目标均为定性的文字描述，缺乏量化的指标，在开展自评价时较难衡量目标的完成情况。今后我委各科室将加强对预算绩效目标管理的学习，强化以绩效目标为导向的管理理念，在申请预算时即明确细化、量化的目标，以清晰掌握年度工作目标和方向，在目标的约束下开展工作。进一步梳理现有专项资金，加强专项资金的整合力度，提升财务人员专业能力。</w:t>
      </w:r>
      <w:r>
        <w:rPr>
          <w:rFonts w:hint="eastAsia" w:ascii="方正仿宋_GBK" w:eastAsia="方正仿宋_GBK"/>
          <w:color w:val="000000"/>
          <w:sz w:val="32"/>
          <w:szCs w:val="32"/>
        </w:rPr>
        <w:t xml:space="preserve"> </w:t>
      </w:r>
    </w:p>
    <w:p>
      <w:pPr>
        <w:spacing w:line="580" w:lineRule="exact"/>
        <w:ind w:firstLine="630"/>
        <w:rPr>
          <w:rFonts w:hint="eastAsia" w:ascii="方正仿宋_GBK" w:eastAsia="方正仿宋_GBK"/>
          <w:color w:val="000000"/>
          <w:sz w:val="32"/>
          <w:szCs w:val="32"/>
        </w:rPr>
      </w:pPr>
      <w:r>
        <w:rPr>
          <w:rFonts w:hint="eastAsia" w:ascii="方正仿宋_GBK" w:eastAsia="方正仿宋_GBK"/>
          <w:color w:val="000000"/>
          <w:sz w:val="32"/>
          <w:szCs w:val="32"/>
        </w:rPr>
        <w:t xml:space="preserve"> </w:t>
      </w:r>
    </w:p>
    <w:p>
      <w:pPr>
        <w:spacing w:line="580" w:lineRule="exact"/>
        <w:ind w:firstLine="630"/>
        <w:rPr>
          <w:rFonts w:hint="eastAsia" w:ascii="方正仿宋_GBK" w:eastAsia="方正仿宋_GBK"/>
          <w:color w:val="000000"/>
        </w:rPr>
      </w:pPr>
      <w:r>
        <w:rPr>
          <w:rFonts w:hint="eastAsia" w:ascii="方正仿宋_GBK" w:eastAsia="方正仿宋_GBK"/>
          <w:color w:val="000000"/>
        </w:rPr>
        <w:t xml:space="preserve"> </w:t>
      </w:r>
    </w:p>
    <w:p>
      <w:pPr>
        <w:spacing w:line="580" w:lineRule="exact"/>
        <w:ind w:firstLine="630"/>
        <w:rPr>
          <w:rFonts w:hint="eastAsia" w:ascii="方正仿宋_GBK" w:eastAsia="方正仿宋_GBK"/>
          <w:color w:val="000000"/>
        </w:rPr>
      </w:pPr>
      <w:r>
        <w:rPr>
          <w:rFonts w:hint="eastAsia" w:ascii="方正仿宋_GBK" w:eastAsia="方正仿宋_GBK"/>
          <w:color w:val="000000"/>
        </w:rPr>
        <w:t xml:space="preserve">                </w:t>
      </w:r>
    </w:p>
    <w:p>
      <w:pPr>
        <w:spacing w:line="580" w:lineRule="exact"/>
        <w:ind w:firstLine="630"/>
        <w:rPr>
          <w:rFonts w:hint="eastAsia" w:ascii="方正仿宋_GBK" w:eastAsia="方正仿宋_GBK"/>
          <w:color w:val="000000"/>
        </w:rPr>
      </w:pPr>
      <w:r>
        <w:rPr>
          <w:rFonts w:hint="eastAsia" w:ascii="方正仿宋_GBK" w:eastAsia="方正仿宋_GBK"/>
          <w:color w:val="000000"/>
        </w:rPr>
        <w:t xml:space="preserve"> </w:t>
      </w:r>
    </w:p>
    <w:p>
      <w:pPr>
        <w:spacing w:line="580" w:lineRule="exact"/>
        <w:ind w:firstLine="630"/>
        <w:jc w:val="right"/>
        <w:rPr>
          <w:rFonts w:hint="eastAsia" w:ascii="方正仿宋_GBK" w:eastAsia="方正仿宋_GBK"/>
          <w:sz w:val="32"/>
          <w:szCs w:val="32"/>
        </w:rPr>
      </w:pPr>
      <w:r>
        <w:rPr>
          <w:rFonts w:hint="eastAsia" w:ascii="方正仿宋_GBK" w:eastAsia="方正仿宋_GBK"/>
          <w:sz w:val="32"/>
          <w:szCs w:val="32"/>
        </w:rPr>
        <w:t>巴中市国有资产监督管理委员会</w:t>
      </w:r>
    </w:p>
    <w:p>
      <w:pPr>
        <w:spacing w:line="580" w:lineRule="exact"/>
        <w:ind w:firstLine="630"/>
        <w:rPr>
          <w:rFonts w:hint="eastAsia" w:ascii="方正仿宋_GBK" w:eastAsia="方正仿宋_GBK"/>
          <w:sz w:val="32"/>
          <w:szCs w:val="32"/>
        </w:rPr>
      </w:pPr>
      <w:r>
        <w:rPr>
          <w:rFonts w:hint="eastAsia" w:ascii="方正仿宋_GBK" w:eastAsia="方正仿宋_GBK"/>
          <w:sz w:val="32"/>
          <w:szCs w:val="32"/>
        </w:rPr>
        <w:t xml:space="preserve">                               2020年8月20日</w:t>
      </w:r>
    </w:p>
    <w:p>
      <w:pPr>
        <w:pStyle w:val="2"/>
        <w:spacing w:before="93" w:line="580" w:lineRule="exact"/>
        <w:rPr>
          <w:rFonts w:hint="eastAsia" w:ascii="方正仿宋_GBK" w:eastAsia="方正仿宋_GBK"/>
          <w:color w:val="000000"/>
          <w:sz w:val="32"/>
          <w:szCs w:val="32"/>
        </w:rPr>
      </w:pPr>
      <w:r>
        <w:rPr>
          <w:rFonts w:hint="eastAsia" w:ascii="方正仿宋_GBK" w:eastAsia="方正仿宋_GBK"/>
          <w:color w:val="000000"/>
          <w:sz w:val="32"/>
          <w:szCs w:val="32"/>
        </w:rPr>
        <w:t xml:space="preserve"> </w:t>
      </w:r>
    </w:p>
    <w:p>
      <w:pPr>
        <w:spacing w:line="600" w:lineRule="exact"/>
        <w:jc w:val="center"/>
        <w:outlineLvl w:val="0"/>
        <w:rPr>
          <w:rStyle w:val="20"/>
          <w:rFonts w:hint="eastAsia" w:ascii="黑体" w:hAnsi="黑体" w:eastAsia="黑体"/>
          <w:b w:val="0"/>
          <w:bCs w:val="0"/>
        </w:rPr>
      </w:pPr>
      <w:r>
        <w:rPr>
          <w:rStyle w:val="20"/>
          <w:rFonts w:hint="eastAsia" w:ascii="黑体" w:hAnsi="黑体" w:eastAsia="黑体"/>
          <w:b w:val="0"/>
          <w:bCs w:val="0"/>
        </w:rPr>
        <w:t xml:space="preserve"> </w:t>
      </w:r>
    </w:p>
    <w:p>
      <w:pPr>
        <w:spacing w:line="600" w:lineRule="exact"/>
        <w:jc w:val="center"/>
        <w:outlineLvl w:val="0"/>
        <w:rPr>
          <w:rFonts w:hint="eastAsia"/>
          <w:color w:val="000000"/>
        </w:rPr>
      </w:pPr>
      <w:bookmarkStart w:id="71" w:name="_Toc15396618"/>
      <w:bookmarkEnd w:id="71"/>
      <w:r>
        <w:rPr>
          <w:rFonts w:hint="eastAsia" w:ascii="黑体" w:hAnsi="黑体" w:eastAsia="黑体"/>
          <w:color w:val="000000"/>
          <w:sz w:val="44"/>
          <w:szCs w:val="44"/>
        </w:rPr>
        <w:t xml:space="preserve"> </w:t>
      </w:r>
    </w:p>
    <w:p>
      <w:pPr>
        <w:spacing w:line="600" w:lineRule="exact"/>
        <w:jc w:val="center"/>
        <w:outlineLvl w:val="0"/>
        <w:rPr>
          <w:rFonts w:hint="eastAsia" w:ascii="黑体" w:hAnsi="黑体" w:eastAsia="黑体"/>
          <w:color w:val="000000"/>
          <w:sz w:val="44"/>
          <w:szCs w:val="44"/>
        </w:rPr>
      </w:pPr>
      <w:r>
        <w:rPr>
          <w:rFonts w:hint="eastAsia" w:ascii="黑体" w:hAnsi="黑体" w:eastAsia="黑体"/>
          <w:color w:val="000000"/>
          <w:sz w:val="44"/>
          <w:szCs w:val="44"/>
        </w:rPr>
        <w:t xml:space="preserve"> </w:t>
      </w:r>
    </w:p>
    <w:p>
      <w:pPr>
        <w:spacing w:line="600" w:lineRule="exact"/>
        <w:jc w:val="center"/>
        <w:outlineLvl w:val="0"/>
        <w:rPr>
          <w:rFonts w:hint="eastAsia" w:ascii="黑体" w:hAnsi="黑体" w:eastAsia="黑体"/>
          <w:color w:val="000000"/>
          <w:sz w:val="44"/>
          <w:szCs w:val="44"/>
        </w:rPr>
      </w:pPr>
      <w:r>
        <w:rPr>
          <w:rFonts w:hint="eastAsia" w:ascii="黑体" w:hAnsi="黑体" w:eastAsia="黑体"/>
          <w:color w:val="000000"/>
          <w:sz w:val="44"/>
          <w:szCs w:val="44"/>
        </w:rPr>
        <w:t xml:space="preserve"> </w:t>
      </w:r>
    </w:p>
    <w:p>
      <w:pPr>
        <w:spacing w:line="600" w:lineRule="exact"/>
        <w:jc w:val="center"/>
        <w:outlineLvl w:val="0"/>
        <w:rPr>
          <w:rFonts w:hint="eastAsia" w:ascii="黑体" w:hAnsi="黑体" w:eastAsia="黑体"/>
          <w:color w:val="000000"/>
          <w:sz w:val="44"/>
          <w:szCs w:val="44"/>
        </w:rPr>
      </w:pPr>
      <w:r>
        <w:rPr>
          <w:rFonts w:hint="eastAsia" w:ascii="黑体" w:hAnsi="黑体" w:eastAsia="黑体"/>
          <w:color w:val="000000"/>
          <w:sz w:val="44"/>
          <w:szCs w:val="44"/>
        </w:rPr>
        <w:t xml:space="preserve"> </w:t>
      </w:r>
    </w:p>
    <w:p>
      <w:pPr>
        <w:spacing w:line="600" w:lineRule="exact"/>
        <w:jc w:val="center"/>
        <w:outlineLvl w:val="0"/>
        <w:rPr>
          <w:rFonts w:hint="eastAsia" w:ascii="黑体" w:hAnsi="黑体" w:eastAsia="黑体"/>
          <w:color w:val="000000"/>
          <w:sz w:val="44"/>
          <w:szCs w:val="44"/>
        </w:rPr>
      </w:pPr>
      <w:r>
        <w:rPr>
          <w:rFonts w:hint="eastAsia" w:ascii="黑体" w:hAnsi="黑体" w:eastAsia="黑体"/>
          <w:color w:val="000000"/>
          <w:sz w:val="44"/>
          <w:szCs w:val="44"/>
        </w:rPr>
        <w:t xml:space="preserve"> </w:t>
      </w:r>
    </w:p>
    <w:p>
      <w:pPr>
        <w:spacing w:line="600" w:lineRule="exact"/>
        <w:jc w:val="center"/>
        <w:outlineLvl w:val="0"/>
        <w:rPr>
          <w:rFonts w:hint="eastAsia" w:ascii="黑体" w:hAnsi="黑体" w:eastAsia="黑体"/>
          <w:color w:val="000000"/>
          <w:sz w:val="44"/>
          <w:szCs w:val="44"/>
        </w:rPr>
      </w:pPr>
      <w:r>
        <w:rPr>
          <w:rFonts w:hint="eastAsia" w:ascii="黑体" w:hAnsi="黑体" w:eastAsia="黑体"/>
          <w:color w:val="000000"/>
          <w:sz w:val="44"/>
          <w:szCs w:val="44"/>
        </w:rPr>
        <w:t xml:space="preserve"> </w:t>
      </w:r>
    </w:p>
    <w:p>
      <w:pPr>
        <w:spacing w:line="600" w:lineRule="exact"/>
        <w:jc w:val="center"/>
        <w:outlineLvl w:val="0"/>
        <w:rPr>
          <w:rFonts w:hint="eastAsia" w:ascii="黑体" w:hAnsi="黑体" w:eastAsia="黑体"/>
          <w:color w:val="000000"/>
          <w:sz w:val="44"/>
          <w:szCs w:val="44"/>
        </w:rPr>
      </w:pPr>
      <w:r>
        <w:rPr>
          <w:rFonts w:hint="eastAsia" w:ascii="黑体" w:hAnsi="黑体" w:eastAsia="黑体"/>
          <w:color w:val="000000"/>
          <w:sz w:val="44"/>
          <w:szCs w:val="44"/>
        </w:rPr>
        <w:t xml:space="preserve"> </w:t>
      </w:r>
    </w:p>
    <w:p>
      <w:pPr>
        <w:spacing w:line="600" w:lineRule="exact"/>
        <w:jc w:val="center"/>
        <w:outlineLvl w:val="0"/>
        <w:rPr>
          <w:rFonts w:hint="eastAsia" w:ascii="黑体" w:hAnsi="黑体" w:eastAsia="黑体"/>
          <w:color w:val="000000"/>
          <w:sz w:val="44"/>
          <w:szCs w:val="44"/>
        </w:rPr>
      </w:pPr>
      <w:r>
        <w:rPr>
          <w:rFonts w:hint="eastAsia" w:ascii="黑体" w:hAnsi="黑体" w:eastAsia="黑体"/>
          <w:color w:val="000000"/>
          <w:sz w:val="44"/>
          <w:szCs w:val="44"/>
        </w:rPr>
        <w:t xml:space="preserve"> </w:t>
      </w:r>
    </w:p>
    <w:p>
      <w:pPr>
        <w:spacing w:line="600" w:lineRule="exact"/>
        <w:jc w:val="center"/>
        <w:outlineLvl w:val="0"/>
        <w:rPr>
          <w:rStyle w:val="20"/>
          <w:rFonts w:hint="eastAsia" w:ascii="黑体" w:hAnsi="黑体"/>
          <w:b w:val="0"/>
          <w:bCs w:val="0"/>
        </w:rPr>
      </w:pPr>
      <w:r>
        <w:rPr>
          <w:rFonts w:hint="eastAsia" w:ascii="黑体" w:hAnsi="黑体" w:eastAsia="黑体"/>
          <w:color w:val="000000"/>
          <w:sz w:val="44"/>
          <w:szCs w:val="44"/>
        </w:rPr>
        <w:t>第</w:t>
      </w:r>
      <w:r>
        <w:rPr>
          <w:rStyle w:val="20"/>
          <w:rFonts w:hint="eastAsia" w:ascii="黑体" w:hAnsi="黑体" w:eastAsia="黑体"/>
          <w:b w:val="0"/>
          <w:bCs w:val="0"/>
        </w:rPr>
        <w:t>五部分 附表</w:t>
      </w:r>
    </w:p>
    <w:p>
      <w:pPr>
        <w:spacing w:line="600" w:lineRule="exact"/>
        <w:jc w:val="center"/>
        <w:outlineLvl w:val="0"/>
        <w:rPr>
          <w:rFonts w:hint="eastAsia" w:ascii="仿宋" w:hAnsi="仿宋" w:eastAsia="仿宋"/>
          <w:b/>
          <w:bCs/>
          <w:color w:val="000000"/>
        </w:rPr>
      </w:pPr>
      <w:r>
        <w:rPr>
          <w:rFonts w:hint="eastAsia" w:ascii="仿宋" w:hAnsi="仿宋" w:eastAsia="仿宋"/>
          <w:b/>
          <w:bCs/>
          <w:color w:val="000000"/>
          <w:sz w:val="44"/>
          <w:szCs w:val="44"/>
        </w:rPr>
        <w:t xml:space="preserve"> </w:t>
      </w:r>
    </w:p>
    <w:p>
      <w:pPr>
        <w:pStyle w:val="4"/>
        <w:rPr>
          <w:rFonts w:hint="eastAsia" w:ascii="仿宋" w:hAnsi="仿宋" w:eastAsia="仿宋"/>
          <w:color w:val="000000"/>
        </w:rPr>
      </w:pPr>
      <w:bookmarkStart w:id="72" w:name="_Toc15396619"/>
      <w:bookmarkEnd w:id="72"/>
      <w:r>
        <w:rPr>
          <w:rFonts w:hint="eastAsia" w:ascii="仿宋" w:hAnsi="仿宋" w:eastAsia="仿宋"/>
          <w:b w:val="0"/>
          <w:bCs w:val="0"/>
          <w:color w:val="000000"/>
        </w:rPr>
        <w:t>一、收</w:t>
      </w:r>
      <w:r>
        <w:rPr>
          <w:rStyle w:val="17"/>
          <w:rFonts w:hint="eastAsia" w:ascii="仿宋" w:hAnsi="仿宋" w:eastAsia="仿宋"/>
          <w:b w:val="0"/>
          <w:bCs w:val="0"/>
        </w:rPr>
        <w:t>入支出决算总表</w:t>
      </w:r>
    </w:p>
    <w:p>
      <w:pPr>
        <w:pStyle w:val="4"/>
        <w:rPr>
          <w:rFonts w:hint="eastAsia" w:ascii="仿宋" w:hAnsi="仿宋" w:eastAsia="仿宋"/>
          <w:color w:val="000000"/>
        </w:rPr>
      </w:pPr>
      <w:bookmarkStart w:id="73" w:name="_Toc15396620"/>
      <w:bookmarkEnd w:id="73"/>
      <w:r>
        <w:rPr>
          <w:rFonts w:hint="eastAsia" w:ascii="仿宋" w:hAnsi="仿宋" w:eastAsia="仿宋"/>
          <w:b w:val="0"/>
          <w:bCs w:val="0"/>
          <w:color w:val="000000"/>
        </w:rPr>
        <w:t>二、收</w:t>
      </w:r>
      <w:r>
        <w:rPr>
          <w:rStyle w:val="17"/>
          <w:rFonts w:hint="eastAsia" w:ascii="仿宋" w:hAnsi="仿宋" w:eastAsia="仿宋"/>
          <w:b w:val="0"/>
          <w:bCs w:val="0"/>
        </w:rPr>
        <w:t>入决算表</w:t>
      </w:r>
    </w:p>
    <w:p>
      <w:pPr>
        <w:pStyle w:val="4"/>
        <w:rPr>
          <w:rFonts w:hint="eastAsia" w:ascii="仿宋" w:hAnsi="仿宋" w:eastAsia="仿宋"/>
          <w:color w:val="000000"/>
        </w:rPr>
      </w:pPr>
      <w:bookmarkStart w:id="74" w:name="_Toc15396621"/>
      <w:bookmarkEnd w:id="74"/>
      <w:r>
        <w:rPr>
          <w:rStyle w:val="17"/>
          <w:rFonts w:hint="eastAsia" w:ascii="仿宋" w:hAnsi="仿宋" w:eastAsia="仿宋"/>
          <w:b w:val="0"/>
          <w:bCs w:val="0"/>
        </w:rPr>
        <w:t>三、</w:t>
      </w:r>
      <w:r>
        <w:rPr>
          <w:rFonts w:hint="eastAsia" w:ascii="仿宋" w:hAnsi="仿宋" w:eastAsia="仿宋"/>
          <w:b w:val="0"/>
          <w:bCs w:val="0"/>
          <w:color w:val="000000"/>
        </w:rPr>
        <w:t>支</w:t>
      </w:r>
      <w:r>
        <w:rPr>
          <w:rStyle w:val="17"/>
          <w:rFonts w:hint="eastAsia" w:ascii="仿宋" w:hAnsi="仿宋" w:eastAsia="仿宋"/>
          <w:b w:val="0"/>
          <w:bCs w:val="0"/>
        </w:rPr>
        <w:t>出决算表</w:t>
      </w:r>
    </w:p>
    <w:p>
      <w:pPr>
        <w:pStyle w:val="4"/>
        <w:rPr>
          <w:rFonts w:hint="eastAsia" w:ascii="仿宋" w:hAnsi="仿宋" w:eastAsia="仿宋"/>
          <w:b w:val="0"/>
          <w:bCs w:val="0"/>
          <w:color w:val="000000"/>
        </w:rPr>
      </w:pPr>
      <w:bookmarkStart w:id="75" w:name="_Toc15396622"/>
      <w:bookmarkEnd w:id="75"/>
      <w:r>
        <w:rPr>
          <w:rStyle w:val="17"/>
          <w:rFonts w:hint="eastAsia" w:ascii="仿宋" w:hAnsi="仿宋" w:eastAsia="仿宋"/>
          <w:b w:val="0"/>
          <w:bCs w:val="0"/>
        </w:rPr>
        <w:t>四、</w:t>
      </w:r>
      <w:r>
        <w:rPr>
          <w:rFonts w:hint="eastAsia" w:ascii="仿宋" w:hAnsi="仿宋" w:eastAsia="仿宋"/>
          <w:b w:val="0"/>
          <w:bCs w:val="0"/>
          <w:color w:val="000000"/>
        </w:rPr>
        <w:t>财</w:t>
      </w:r>
      <w:r>
        <w:rPr>
          <w:rStyle w:val="17"/>
          <w:rFonts w:hint="eastAsia" w:ascii="仿宋" w:hAnsi="仿宋" w:eastAsia="仿宋"/>
          <w:b w:val="0"/>
          <w:bCs w:val="0"/>
        </w:rPr>
        <w:t>政拨款收入支出决算总表</w:t>
      </w:r>
    </w:p>
    <w:p>
      <w:pPr>
        <w:pStyle w:val="4"/>
        <w:rPr>
          <w:rStyle w:val="17"/>
          <w:rFonts w:hint="eastAsia" w:ascii="仿宋" w:hAnsi="仿宋" w:eastAsia="仿宋"/>
          <w:b w:val="0"/>
          <w:bCs w:val="0"/>
        </w:rPr>
      </w:pPr>
      <w:bookmarkStart w:id="76" w:name="_Toc15396623"/>
      <w:bookmarkEnd w:id="76"/>
      <w:r>
        <w:rPr>
          <w:rStyle w:val="17"/>
          <w:rFonts w:hint="eastAsia" w:ascii="仿宋" w:hAnsi="仿宋" w:eastAsia="仿宋"/>
          <w:b w:val="0"/>
          <w:bCs w:val="0"/>
        </w:rPr>
        <w:t>五、</w:t>
      </w:r>
      <w:r>
        <w:rPr>
          <w:rFonts w:hint="eastAsia" w:ascii="仿宋" w:hAnsi="仿宋" w:eastAsia="仿宋"/>
          <w:b w:val="0"/>
          <w:bCs w:val="0"/>
          <w:color w:val="000000"/>
        </w:rPr>
        <w:t>财</w:t>
      </w:r>
      <w:r>
        <w:rPr>
          <w:rStyle w:val="17"/>
          <w:rFonts w:hint="eastAsia" w:ascii="仿宋" w:hAnsi="仿宋" w:eastAsia="仿宋"/>
          <w:b w:val="0"/>
          <w:bCs w:val="0"/>
        </w:rPr>
        <w:t>政拨款支出决算明细表</w:t>
      </w:r>
      <w:bookmarkStart w:id="77" w:name="_Toc15396624"/>
      <w:bookmarkEnd w:id="77"/>
    </w:p>
    <w:p>
      <w:pPr>
        <w:pStyle w:val="4"/>
        <w:rPr>
          <w:rFonts w:hint="eastAsia"/>
          <w:color w:val="000000"/>
        </w:rPr>
      </w:pPr>
      <w:r>
        <w:rPr>
          <w:rStyle w:val="17"/>
          <w:rFonts w:hint="eastAsia" w:ascii="仿宋" w:hAnsi="仿宋" w:eastAsia="仿宋"/>
          <w:b w:val="0"/>
          <w:bCs w:val="0"/>
        </w:rPr>
        <w:t>六、</w:t>
      </w:r>
      <w:r>
        <w:rPr>
          <w:rFonts w:hint="eastAsia" w:ascii="仿宋" w:hAnsi="仿宋" w:eastAsia="仿宋"/>
          <w:b w:val="0"/>
          <w:bCs w:val="0"/>
          <w:color w:val="000000"/>
        </w:rPr>
        <w:t>一</w:t>
      </w:r>
      <w:r>
        <w:rPr>
          <w:rStyle w:val="17"/>
          <w:rFonts w:hint="eastAsia" w:ascii="仿宋" w:hAnsi="仿宋" w:eastAsia="仿宋"/>
          <w:b w:val="0"/>
          <w:bCs w:val="0"/>
        </w:rPr>
        <w:t>般公共预算财政拨款支出决算表</w:t>
      </w:r>
    </w:p>
    <w:p>
      <w:pPr>
        <w:pStyle w:val="4"/>
        <w:rPr>
          <w:rFonts w:hint="eastAsia" w:ascii="仿宋" w:hAnsi="仿宋" w:eastAsia="仿宋"/>
          <w:color w:val="000000"/>
        </w:rPr>
      </w:pPr>
      <w:bookmarkStart w:id="78" w:name="_Toc15396625"/>
      <w:bookmarkEnd w:id="78"/>
      <w:r>
        <w:rPr>
          <w:rStyle w:val="17"/>
          <w:rFonts w:hint="eastAsia" w:ascii="仿宋" w:hAnsi="仿宋" w:eastAsia="仿宋"/>
          <w:b w:val="0"/>
          <w:bCs w:val="0"/>
        </w:rPr>
        <w:t>七、</w:t>
      </w:r>
      <w:r>
        <w:rPr>
          <w:rFonts w:hint="eastAsia" w:ascii="仿宋" w:hAnsi="仿宋" w:eastAsia="仿宋"/>
          <w:b w:val="0"/>
          <w:bCs w:val="0"/>
          <w:color w:val="000000"/>
        </w:rPr>
        <w:t>一</w:t>
      </w:r>
      <w:r>
        <w:rPr>
          <w:rStyle w:val="17"/>
          <w:rFonts w:hint="eastAsia" w:ascii="仿宋" w:hAnsi="仿宋" w:eastAsia="仿宋"/>
          <w:b w:val="0"/>
          <w:bCs w:val="0"/>
        </w:rPr>
        <w:t>般公共预算财政拨款支出决算明细表</w:t>
      </w:r>
    </w:p>
    <w:p>
      <w:pPr>
        <w:pStyle w:val="4"/>
        <w:rPr>
          <w:rFonts w:hint="eastAsia" w:ascii="仿宋" w:hAnsi="仿宋" w:eastAsia="仿宋"/>
          <w:color w:val="000000"/>
        </w:rPr>
      </w:pPr>
      <w:bookmarkStart w:id="79" w:name="_Toc15396626"/>
      <w:bookmarkEnd w:id="79"/>
      <w:r>
        <w:rPr>
          <w:rStyle w:val="17"/>
          <w:rFonts w:hint="eastAsia" w:ascii="仿宋" w:hAnsi="仿宋" w:eastAsia="仿宋"/>
          <w:b w:val="0"/>
          <w:bCs w:val="0"/>
        </w:rPr>
        <w:t>八、</w:t>
      </w:r>
      <w:r>
        <w:rPr>
          <w:rFonts w:hint="eastAsia" w:ascii="仿宋" w:hAnsi="仿宋" w:eastAsia="仿宋"/>
          <w:b w:val="0"/>
          <w:bCs w:val="0"/>
          <w:color w:val="000000"/>
        </w:rPr>
        <w:t>一</w:t>
      </w:r>
      <w:r>
        <w:rPr>
          <w:rStyle w:val="17"/>
          <w:rFonts w:hint="eastAsia" w:ascii="仿宋" w:hAnsi="仿宋" w:eastAsia="仿宋"/>
          <w:b w:val="0"/>
          <w:bCs w:val="0"/>
        </w:rPr>
        <w:t>般公共预算财政拨款基本支出决算表</w:t>
      </w:r>
    </w:p>
    <w:p>
      <w:pPr>
        <w:pStyle w:val="4"/>
        <w:rPr>
          <w:rFonts w:hint="eastAsia" w:ascii="仿宋" w:hAnsi="仿宋" w:eastAsia="仿宋"/>
          <w:color w:val="000000"/>
        </w:rPr>
      </w:pPr>
      <w:bookmarkStart w:id="80" w:name="_Toc15396627"/>
      <w:bookmarkEnd w:id="80"/>
      <w:r>
        <w:rPr>
          <w:rStyle w:val="17"/>
          <w:rFonts w:hint="eastAsia" w:ascii="仿宋" w:hAnsi="仿宋" w:eastAsia="仿宋"/>
          <w:b w:val="0"/>
          <w:bCs w:val="0"/>
        </w:rPr>
        <w:t>九、</w:t>
      </w:r>
      <w:r>
        <w:rPr>
          <w:rFonts w:hint="eastAsia" w:ascii="仿宋" w:hAnsi="仿宋" w:eastAsia="仿宋"/>
          <w:b w:val="0"/>
          <w:bCs w:val="0"/>
          <w:color w:val="000000"/>
        </w:rPr>
        <w:t>一</w:t>
      </w:r>
      <w:r>
        <w:rPr>
          <w:rStyle w:val="17"/>
          <w:rFonts w:hint="eastAsia" w:ascii="仿宋" w:hAnsi="仿宋" w:eastAsia="仿宋"/>
          <w:b w:val="0"/>
          <w:bCs w:val="0"/>
        </w:rPr>
        <w:t>般公共预算财政拨款项目支出决算表</w:t>
      </w:r>
    </w:p>
    <w:p>
      <w:pPr>
        <w:pStyle w:val="4"/>
        <w:rPr>
          <w:rFonts w:hint="eastAsia" w:ascii="仿宋" w:hAnsi="仿宋" w:eastAsia="仿宋"/>
          <w:color w:val="000000"/>
        </w:rPr>
      </w:pPr>
      <w:bookmarkStart w:id="81" w:name="_Toc15396628"/>
      <w:bookmarkEnd w:id="81"/>
      <w:r>
        <w:rPr>
          <w:rStyle w:val="17"/>
          <w:rFonts w:hint="eastAsia" w:ascii="仿宋" w:hAnsi="仿宋" w:eastAsia="仿宋"/>
          <w:b w:val="0"/>
          <w:bCs w:val="0"/>
        </w:rPr>
        <w:t>十、</w:t>
      </w:r>
      <w:r>
        <w:rPr>
          <w:rFonts w:hint="eastAsia" w:ascii="仿宋" w:hAnsi="仿宋" w:eastAsia="仿宋"/>
          <w:b w:val="0"/>
          <w:bCs w:val="0"/>
          <w:color w:val="000000"/>
        </w:rPr>
        <w:t>一</w:t>
      </w:r>
      <w:r>
        <w:rPr>
          <w:rStyle w:val="17"/>
          <w:rFonts w:hint="eastAsia" w:ascii="仿宋" w:hAnsi="仿宋" w:eastAsia="仿宋"/>
          <w:b w:val="0"/>
          <w:bCs w:val="0"/>
        </w:rPr>
        <w:t>般公共预算财政拨款“三公”经费支出决算表</w:t>
      </w:r>
    </w:p>
    <w:p>
      <w:pPr>
        <w:pStyle w:val="4"/>
        <w:rPr>
          <w:rFonts w:hint="eastAsia" w:ascii="仿宋" w:hAnsi="仿宋" w:eastAsia="仿宋"/>
          <w:color w:val="000000"/>
        </w:rPr>
      </w:pPr>
      <w:bookmarkStart w:id="82" w:name="_Toc15396629"/>
      <w:bookmarkEnd w:id="82"/>
      <w:r>
        <w:rPr>
          <w:rStyle w:val="17"/>
          <w:rFonts w:hint="eastAsia" w:ascii="仿宋" w:hAnsi="仿宋" w:eastAsia="仿宋"/>
          <w:b w:val="0"/>
          <w:bCs w:val="0"/>
        </w:rPr>
        <w:t>十一、</w:t>
      </w:r>
      <w:r>
        <w:rPr>
          <w:rFonts w:hint="eastAsia" w:ascii="仿宋" w:hAnsi="仿宋" w:eastAsia="仿宋"/>
          <w:b w:val="0"/>
          <w:bCs w:val="0"/>
          <w:color w:val="000000"/>
        </w:rPr>
        <w:t>政</w:t>
      </w:r>
      <w:r>
        <w:rPr>
          <w:rStyle w:val="17"/>
          <w:rFonts w:hint="eastAsia" w:ascii="仿宋" w:hAnsi="仿宋" w:eastAsia="仿宋"/>
          <w:b w:val="0"/>
          <w:bCs w:val="0"/>
        </w:rPr>
        <w:t>府性基金预算财政拨款收入支出决算表</w:t>
      </w:r>
    </w:p>
    <w:p>
      <w:pPr>
        <w:pStyle w:val="4"/>
        <w:rPr>
          <w:rFonts w:hint="eastAsia" w:ascii="仿宋" w:hAnsi="仿宋" w:eastAsia="仿宋"/>
          <w:color w:val="000000"/>
        </w:rPr>
      </w:pPr>
      <w:bookmarkStart w:id="83" w:name="_Toc15396630"/>
      <w:bookmarkEnd w:id="83"/>
      <w:r>
        <w:rPr>
          <w:rStyle w:val="17"/>
          <w:rFonts w:hint="eastAsia" w:ascii="仿宋" w:hAnsi="仿宋" w:eastAsia="仿宋"/>
          <w:b w:val="0"/>
          <w:bCs w:val="0"/>
        </w:rPr>
        <w:t>十二、</w:t>
      </w:r>
      <w:r>
        <w:rPr>
          <w:rFonts w:hint="eastAsia" w:ascii="仿宋" w:hAnsi="仿宋" w:eastAsia="仿宋"/>
          <w:b w:val="0"/>
          <w:bCs w:val="0"/>
          <w:color w:val="000000"/>
        </w:rPr>
        <w:t>政</w:t>
      </w:r>
      <w:r>
        <w:rPr>
          <w:rStyle w:val="17"/>
          <w:rFonts w:hint="eastAsia" w:ascii="仿宋" w:hAnsi="仿宋" w:eastAsia="仿宋"/>
          <w:b w:val="0"/>
          <w:bCs w:val="0"/>
        </w:rPr>
        <w:t>府性基金预算财政拨款“三公”经费支出决算表</w:t>
      </w:r>
    </w:p>
    <w:p>
      <w:pPr>
        <w:pStyle w:val="4"/>
        <w:rPr>
          <w:rFonts w:hint="eastAsia" w:ascii="仿宋" w:hAnsi="仿宋" w:eastAsia="仿宋"/>
          <w:color w:val="000000"/>
        </w:rPr>
      </w:pPr>
      <w:bookmarkStart w:id="84" w:name="_Toc15396631"/>
      <w:bookmarkEnd w:id="84"/>
      <w:r>
        <w:rPr>
          <w:rStyle w:val="17"/>
          <w:rFonts w:hint="eastAsia" w:ascii="仿宋" w:hAnsi="仿宋" w:eastAsia="仿宋"/>
          <w:b w:val="0"/>
          <w:bCs w:val="0"/>
        </w:rPr>
        <w:t>十三、</w:t>
      </w:r>
      <w:r>
        <w:rPr>
          <w:rFonts w:hint="eastAsia" w:ascii="仿宋" w:hAnsi="仿宋" w:eastAsia="仿宋"/>
          <w:b w:val="0"/>
          <w:bCs w:val="0"/>
          <w:color w:val="000000"/>
        </w:rPr>
        <w:t>国</w:t>
      </w:r>
      <w:r>
        <w:rPr>
          <w:rStyle w:val="17"/>
          <w:rFonts w:hint="eastAsia" w:ascii="仿宋" w:hAnsi="仿宋" w:eastAsia="仿宋"/>
          <w:b w:val="0"/>
          <w:bCs w:val="0"/>
        </w:rPr>
        <w:t>有资本经营预算支出决算表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176522"/>
    <w:multiLevelType w:val="multilevel"/>
    <w:tmpl w:val="2A176522"/>
    <w:lvl w:ilvl="0" w:tentative="0">
      <w:start w:val="1"/>
      <w:numFmt w:val="japaneseCounting"/>
      <w:lvlText w:val="%1、"/>
      <w:lvlJc w:val="left"/>
      <w:pPr>
        <w:ind w:left="1360" w:hanging="720"/>
      </w:pPr>
      <w:rPr>
        <w:rFonts w:hint="default" w:ascii="Times New Roman" w:hAnsi="Times New Roman" w:cs="Times New Roman"/>
        <w:b w:val="0"/>
        <w:bCs w:val="0"/>
      </w:rPr>
    </w:lvl>
    <w:lvl w:ilvl="1" w:tentative="0">
      <w:start w:val="1"/>
      <w:numFmt w:val="lowerLetter"/>
      <w:lvlText w:val="%2)"/>
      <w:lvlJc w:val="left"/>
      <w:pPr>
        <w:ind w:left="1480" w:hanging="420"/>
      </w:pPr>
      <w:rPr>
        <w:rFonts w:hint="default" w:ascii="Times New Roman" w:hAnsi="Times New Roman" w:cs="Times New Roman"/>
      </w:rPr>
    </w:lvl>
    <w:lvl w:ilvl="2" w:tentative="0">
      <w:start w:val="1"/>
      <w:numFmt w:val="lowerRoman"/>
      <w:lvlText w:val="%3."/>
      <w:lvlJc w:val="right"/>
      <w:pPr>
        <w:ind w:left="1900" w:hanging="420"/>
      </w:pPr>
      <w:rPr>
        <w:rFonts w:hint="default" w:ascii="Times New Roman" w:hAnsi="Times New Roman" w:cs="Times New Roman"/>
      </w:rPr>
    </w:lvl>
    <w:lvl w:ilvl="3" w:tentative="0">
      <w:start w:val="1"/>
      <w:numFmt w:val="decimal"/>
      <w:lvlText w:val="%4."/>
      <w:lvlJc w:val="left"/>
      <w:pPr>
        <w:ind w:left="2320" w:hanging="420"/>
      </w:pPr>
      <w:rPr>
        <w:rFonts w:hint="default" w:ascii="Times New Roman" w:hAnsi="Times New Roman" w:cs="Times New Roman"/>
      </w:rPr>
    </w:lvl>
    <w:lvl w:ilvl="4" w:tentative="0">
      <w:start w:val="1"/>
      <w:numFmt w:val="lowerLetter"/>
      <w:lvlText w:val="%5)"/>
      <w:lvlJc w:val="left"/>
      <w:pPr>
        <w:ind w:left="2740" w:hanging="420"/>
      </w:pPr>
      <w:rPr>
        <w:rFonts w:hint="default" w:ascii="Times New Roman" w:hAnsi="Times New Roman" w:cs="Times New Roman"/>
      </w:rPr>
    </w:lvl>
    <w:lvl w:ilvl="5" w:tentative="0">
      <w:start w:val="1"/>
      <w:numFmt w:val="lowerRoman"/>
      <w:lvlText w:val="%6."/>
      <w:lvlJc w:val="right"/>
      <w:pPr>
        <w:ind w:left="3160" w:hanging="420"/>
      </w:pPr>
      <w:rPr>
        <w:rFonts w:hint="default" w:ascii="Times New Roman" w:hAnsi="Times New Roman" w:cs="Times New Roman"/>
      </w:rPr>
    </w:lvl>
    <w:lvl w:ilvl="6" w:tentative="0">
      <w:start w:val="1"/>
      <w:numFmt w:val="decimal"/>
      <w:lvlText w:val="%7."/>
      <w:lvlJc w:val="left"/>
      <w:pPr>
        <w:ind w:left="3580" w:hanging="420"/>
      </w:pPr>
      <w:rPr>
        <w:rFonts w:hint="default" w:ascii="Times New Roman" w:hAnsi="Times New Roman" w:cs="Times New Roman"/>
      </w:rPr>
    </w:lvl>
    <w:lvl w:ilvl="7" w:tentative="0">
      <w:start w:val="1"/>
      <w:numFmt w:val="lowerLetter"/>
      <w:lvlText w:val="%8)"/>
      <w:lvlJc w:val="left"/>
      <w:pPr>
        <w:ind w:left="4000" w:hanging="420"/>
      </w:pPr>
      <w:rPr>
        <w:rFonts w:hint="default" w:ascii="Times New Roman" w:hAnsi="Times New Roman" w:cs="Times New Roman"/>
      </w:rPr>
    </w:lvl>
    <w:lvl w:ilvl="8" w:tentative="0">
      <w:start w:val="1"/>
      <w:numFmt w:val="lowerRoman"/>
      <w:lvlText w:val="%9."/>
      <w:lvlJc w:val="right"/>
      <w:pPr>
        <w:ind w:left="4420" w:hanging="420"/>
      </w:pPr>
      <w:rPr>
        <w:rFonts w:hint="default" w:ascii="Times New Roman" w:hAnsi="Times New Roman" w:cs="Times New Roman"/>
      </w:rPr>
    </w:lvl>
  </w:abstractNum>
  <w:abstractNum w:abstractNumId="1">
    <w:nsid w:val="2EC04429"/>
    <w:multiLevelType w:val="multilevel"/>
    <w:tmpl w:val="2EC04429"/>
    <w:lvl w:ilvl="0" w:tentative="0">
      <w:start w:val="3"/>
      <w:numFmt w:val="chineseCounting"/>
      <w:suff w:val="space"/>
      <w:lvlText w:val="第%1部分"/>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320F29F3"/>
    <w:multiLevelType w:val="multilevel"/>
    <w:tmpl w:val="320F29F3"/>
    <w:lvl w:ilvl="0" w:tentative="0">
      <w:start w:val="9"/>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63AC7709"/>
    <w:multiLevelType w:val="multilevel"/>
    <w:tmpl w:val="63AC7709"/>
    <w:lvl w:ilvl="0" w:tentative="0">
      <w:start w:val="1"/>
      <w:numFmt w:val="decimal"/>
      <w:lvlText w:val="%1."/>
      <w:lvlJc w:val="left"/>
      <w:pPr>
        <w:ind w:left="1152" w:hanging="480"/>
      </w:pPr>
      <w:rPr>
        <w:rFonts w:hint="default" w:ascii="Times New Roman" w:hAnsi="Times New Roman" w:cs="Times New Roman"/>
      </w:rPr>
    </w:lvl>
    <w:lvl w:ilvl="1" w:tentative="0">
      <w:start w:val="1"/>
      <w:numFmt w:val="lowerLetter"/>
      <w:lvlText w:val="%2)"/>
      <w:lvlJc w:val="left"/>
      <w:pPr>
        <w:ind w:left="1512" w:hanging="420"/>
      </w:pPr>
      <w:rPr>
        <w:rFonts w:hint="default" w:ascii="Times New Roman" w:hAnsi="Times New Roman" w:cs="Times New Roman"/>
      </w:rPr>
    </w:lvl>
    <w:lvl w:ilvl="2" w:tentative="0">
      <w:start w:val="1"/>
      <w:numFmt w:val="lowerRoman"/>
      <w:lvlText w:val="%3."/>
      <w:lvlJc w:val="right"/>
      <w:pPr>
        <w:ind w:left="1932" w:hanging="420"/>
      </w:pPr>
      <w:rPr>
        <w:rFonts w:hint="default" w:ascii="Times New Roman" w:hAnsi="Times New Roman" w:cs="Times New Roman"/>
      </w:rPr>
    </w:lvl>
    <w:lvl w:ilvl="3" w:tentative="0">
      <w:start w:val="1"/>
      <w:numFmt w:val="decimal"/>
      <w:lvlText w:val="%4."/>
      <w:lvlJc w:val="left"/>
      <w:pPr>
        <w:ind w:left="2352" w:hanging="420"/>
      </w:pPr>
      <w:rPr>
        <w:rFonts w:hint="default" w:ascii="Times New Roman" w:hAnsi="Times New Roman" w:cs="Times New Roman"/>
      </w:rPr>
    </w:lvl>
    <w:lvl w:ilvl="4" w:tentative="0">
      <w:start w:val="1"/>
      <w:numFmt w:val="lowerLetter"/>
      <w:lvlText w:val="%5)"/>
      <w:lvlJc w:val="left"/>
      <w:pPr>
        <w:ind w:left="2772" w:hanging="420"/>
      </w:pPr>
      <w:rPr>
        <w:rFonts w:hint="default" w:ascii="Times New Roman" w:hAnsi="Times New Roman" w:cs="Times New Roman"/>
      </w:rPr>
    </w:lvl>
    <w:lvl w:ilvl="5" w:tentative="0">
      <w:start w:val="1"/>
      <w:numFmt w:val="lowerRoman"/>
      <w:lvlText w:val="%6."/>
      <w:lvlJc w:val="right"/>
      <w:pPr>
        <w:ind w:left="3192" w:hanging="420"/>
      </w:pPr>
      <w:rPr>
        <w:rFonts w:hint="default" w:ascii="Times New Roman" w:hAnsi="Times New Roman" w:cs="Times New Roman"/>
      </w:rPr>
    </w:lvl>
    <w:lvl w:ilvl="6" w:tentative="0">
      <w:start w:val="1"/>
      <w:numFmt w:val="decimal"/>
      <w:lvlText w:val="%7."/>
      <w:lvlJc w:val="left"/>
      <w:pPr>
        <w:ind w:left="3612" w:hanging="420"/>
      </w:pPr>
      <w:rPr>
        <w:rFonts w:hint="default" w:ascii="Times New Roman" w:hAnsi="Times New Roman" w:cs="Times New Roman"/>
      </w:rPr>
    </w:lvl>
    <w:lvl w:ilvl="7" w:tentative="0">
      <w:start w:val="1"/>
      <w:numFmt w:val="lowerLetter"/>
      <w:lvlText w:val="%8)"/>
      <w:lvlJc w:val="left"/>
      <w:pPr>
        <w:ind w:left="4032" w:hanging="420"/>
      </w:pPr>
      <w:rPr>
        <w:rFonts w:hint="default" w:ascii="Times New Roman" w:hAnsi="Times New Roman" w:cs="Times New Roman"/>
      </w:rPr>
    </w:lvl>
    <w:lvl w:ilvl="8" w:tentative="0">
      <w:start w:val="1"/>
      <w:numFmt w:val="lowerRoman"/>
      <w:lvlText w:val="%9."/>
      <w:lvlJc w:val="right"/>
      <w:pPr>
        <w:ind w:left="4452" w:hanging="420"/>
      </w:pPr>
      <w:rPr>
        <w:rFonts w:hint="default" w:ascii="Times New Roman" w:hAnsi="Times New Roman"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20208"/>
    <w:rsid w:val="00420208"/>
    <w:rsid w:val="00505882"/>
    <w:rsid w:val="00633159"/>
    <w:rsid w:val="00CA269F"/>
    <w:rsid w:val="39BE6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12"/>
    <w:qFormat/>
    <w:uiPriority w:val="99"/>
    <w:pPr>
      <w:keepNext/>
      <w:keepLines/>
      <w:spacing w:before="340" w:after="330" w:line="576" w:lineRule="auto"/>
      <w:outlineLvl w:val="0"/>
    </w:pPr>
    <w:rPr>
      <w:b/>
      <w:bCs/>
      <w:kern w:val="44"/>
      <w:sz w:val="44"/>
      <w:szCs w:val="44"/>
    </w:rPr>
  </w:style>
  <w:style w:type="paragraph" w:styleId="4">
    <w:name w:val="heading 2"/>
    <w:basedOn w:val="1"/>
    <w:next w:val="1"/>
    <w:link w:val="13"/>
    <w:qFormat/>
    <w:uiPriority w:val="99"/>
    <w:pPr>
      <w:keepNext/>
      <w:keepLines/>
      <w:spacing w:before="260" w:after="260" w:line="415" w:lineRule="auto"/>
      <w:outlineLvl w:val="1"/>
    </w:pPr>
    <w:rPr>
      <w:rFonts w:ascii="Cambria" w:hAnsi="Cambria"/>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unhideWhenUsed/>
    <w:qFormat/>
    <w:uiPriority w:val="99"/>
    <w:pPr>
      <w:spacing w:beforeLines="30" w:after="100" w:afterAutospacing="1"/>
    </w:pPr>
    <w:rPr>
      <w:rFonts w:ascii="仿宋_GB2312" w:eastAsia="仿宋_GB2312"/>
      <w:kern w:val="0"/>
      <w:sz w:val="30"/>
      <w:szCs w:val="30"/>
    </w:rPr>
  </w:style>
  <w:style w:type="paragraph" w:styleId="5">
    <w:name w:val="Balloon Text"/>
    <w:basedOn w:val="1"/>
    <w:link w:val="21"/>
    <w:semiHidden/>
    <w:unhideWhenUsed/>
    <w:uiPriority w:val="99"/>
    <w:rPr>
      <w:sz w:val="18"/>
      <w:szCs w:val="18"/>
    </w:rPr>
  </w:style>
  <w:style w:type="paragraph" w:styleId="6">
    <w:name w:val="toc 1"/>
    <w:basedOn w:val="1"/>
    <w:next w:val="1"/>
    <w:semiHidden/>
    <w:unhideWhenUsed/>
    <w:uiPriority w:val="99"/>
    <w:pPr>
      <w:spacing w:before="93" w:after="100" w:afterAutospacing="1"/>
      <w:jc w:val="center"/>
    </w:pPr>
    <w:rPr>
      <w:rFonts w:ascii="仿宋" w:hAnsi="仿宋" w:eastAsia="仿宋"/>
      <w:sz w:val="28"/>
      <w:szCs w:val="28"/>
    </w:rPr>
  </w:style>
  <w:style w:type="paragraph" w:styleId="7">
    <w:name w:val="toc 2"/>
    <w:basedOn w:val="1"/>
    <w:next w:val="1"/>
    <w:semiHidden/>
    <w:unhideWhenUsed/>
    <w:uiPriority w:val="99"/>
    <w:pPr>
      <w:spacing w:before="100" w:beforeAutospacing="1" w:after="100" w:afterAutospacing="1"/>
      <w:ind w:left="420" w:leftChars="200"/>
    </w:pPr>
  </w:style>
  <w:style w:type="paragraph" w:styleId="8">
    <w:name w:val="Normal (Web)"/>
    <w:basedOn w:val="1"/>
    <w:semiHidden/>
    <w:unhideWhenUsed/>
    <w:uiPriority w:val="99"/>
    <w:pPr>
      <w:spacing w:before="100" w:beforeAutospacing="1" w:after="100" w:afterAutospacing="1"/>
      <w:jc w:val="left"/>
    </w:pPr>
    <w:rPr>
      <w:kern w:val="0"/>
      <w:sz w:val="24"/>
      <w:szCs w:val="24"/>
    </w:rPr>
  </w:style>
  <w:style w:type="character" w:styleId="11">
    <w:name w:val="Hyperlink"/>
    <w:basedOn w:val="10"/>
    <w:unhideWhenUsed/>
    <w:uiPriority w:val="99"/>
    <w:rPr>
      <w:color w:val="0000FF"/>
      <w:u w:val="single"/>
    </w:rPr>
  </w:style>
  <w:style w:type="character" w:customStyle="1" w:styleId="12">
    <w:name w:val="标题 1 Char"/>
    <w:basedOn w:val="10"/>
    <w:link w:val="3"/>
    <w:qFormat/>
    <w:uiPriority w:val="99"/>
    <w:rPr>
      <w:rFonts w:ascii="Times New Roman" w:hAnsi="Times New Roman" w:eastAsia="宋体" w:cs="Times New Roman"/>
      <w:b/>
      <w:bCs/>
      <w:kern w:val="44"/>
      <w:sz w:val="44"/>
      <w:szCs w:val="44"/>
    </w:rPr>
  </w:style>
  <w:style w:type="character" w:customStyle="1" w:styleId="13">
    <w:name w:val="标题 2 Char"/>
    <w:basedOn w:val="10"/>
    <w:link w:val="4"/>
    <w:uiPriority w:val="99"/>
    <w:rPr>
      <w:rFonts w:ascii="Cambria" w:hAnsi="Cambria" w:eastAsia="宋体" w:cs="Times New Roman"/>
      <w:b/>
      <w:bCs/>
      <w:sz w:val="32"/>
      <w:szCs w:val="32"/>
    </w:rPr>
  </w:style>
  <w:style w:type="character" w:customStyle="1" w:styleId="14">
    <w:name w:val="正文文本 Char"/>
    <w:basedOn w:val="10"/>
    <w:link w:val="2"/>
    <w:uiPriority w:val="99"/>
    <w:rPr>
      <w:rFonts w:ascii="仿宋_GB2312" w:hAnsi="Times New Roman" w:eastAsia="仿宋_GB2312" w:cs="Times New Roman"/>
      <w:kern w:val="0"/>
      <w:sz w:val="30"/>
      <w:szCs w:val="30"/>
    </w:rPr>
  </w:style>
  <w:style w:type="paragraph" w:customStyle="1" w:styleId="15">
    <w:name w:val="List Paragraph"/>
    <w:basedOn w:val="1"/>
    <w:uiPriority w:val="0"/>
    <w:pPr>
      <w:ind w:firstLine="420" w:firstLineChars="200"/>
    </w:pPr>
  </w:style>
  <w:style w:type="paragraph" w:customStyle="1" w:styleId="16">
    <w:name w:val="Default"/>
    <w:basedOn w:val="1"/>
    <w:uiPriority w:val="0"/>
    <w:pPr>
      <w:autoSpaceDE w:val="0"/>
      <w:autoSpaceDN w:val="0"/>
      <w:adjustRightInd w:val="0"/>
      <w:jc w:val="left"/>
    </w:pPr>
    <w:rPr>
      <w:rFonts w:ascii="仿宋" w:hAnsi="Calibri" w:eastAsia="仿宋" w:cs="宋体"/>
      <w:color w:val="000000"/>
      <w:kern w:val="0"/>
      <w:sz w:val="24"/>
      <w:szCs w:val="24"/>
    </w:rPr>
  </w:style>
  <w:style w:type="character" w:customStyle="1" w:styleId="17">
    <w:name w:val="15"/>
    <w:basedOn w:val="10"/>
    <w:qFormat/>
    <w:uiPriority w:val="0"/>
    <w:rPr>
      <w:rFonts w:hint="default" w:ascii="Cambria" w:hAnsi="Cambria" w:eastAsia="宋体" w:cs="Times New Roman"/>
      <w:b/>
      <w:bCs/>
      <w:kern w:val="2"/>
      <w:sz w:val="32"/>
      <w:szCs w:val="32"/>
    </w:rPr>
  </w:style>
  <w:style w:type="character" w:customStyle="1" w:styleId="18">
    <w:name w:val="16"/>
    <w:basedOn w:val="10"/>
    <w:uiPriority w:val="0"/>
    <w:rPr>
      <w:rFonts w:hint="default" w:ascii="Times New Roman" w:hAnsi="Times New Roman" w:cs="Times New Roman"/>
      <w:color w:val="0000FF"/>
      <w:u w:val="single"/>
    </w:rPr>
  </w:style>
  <w:style w:type="character" w:customStyle="1" w:styleId="19">
    <w:name w:val="17"/>
    <w:basedOn w:val="10"/>
    <w:uiPriority w:val="0"/>
    <w:rPr>
      <w:rFonts w:hint="default" w:ascii="Times New Roman" w:hAnsi="Times New Roman" w:cs="Times New Roman"/>
      <w:b/>
      <w:bCs/>
    </w:rPr>
  </w:style>
  <w:style w:type="character" w:customStyle="1" w:styleId="20">
    <w:name w:val="18"/>
    <w:basedOn w:val="10"/>
    <w:uiPriority w:val="0"/>
    <w:rPr>
      <w:rFonts w:hint="default" w:ascii="Times New Roman" w:hAnsi="Times New Roman" w:cs="Times New Roman"/>
      <w:b/>
      <w:bCs/>
      <w:kern w:val="44"/>
      <w:sz w:val="44"/>
      <w:szCs w:val="44"/>
    </w:rPr>
  </w:style>
  <w:style w:type="character" w:customStyle="1" w:styleId="21">
    <w:name w:val="批注框文本 Char"/>
    <w:basedOn w:val="10"/>
    <w:link w:val="5"/>
    <w:semiHidden/>
    <w:uiPriority w:val="99"/>
    <w:rPr>
      <w:rFonts w:ascii="Times New Roman" w:hAnsi="Times New Roman" w:eastAsia="宋体" w:cs="Times New Roman"/>
      <w:sz w:val="18"/>
      <w:szCs w:val="18"/>
    </w:rPr>
  </w:style>
  <w:style w:type="character" w:styleId="22">
    <w:name w:val="Placeholder Text"/>
    <w:basedOn w:val="10"/>
    <w:semiHidden/>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38</Pages>
  <Words>2325</Words>
  <Characters>13256</Characters>
  <Lines>110</Lines>
  <Paragraphs>31</Paragraphs>
  <TotalTime>6</TotalTime>
  <ScaleCrop>false</ScaleCrop>
  <LinksUpToDate>false</LinksUpToDate>
  <CharactersWithSpaces>15550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2020-10-13T07:19:00Z</dcterms:created>
  <dc:creator>Administrator</dc:creator>
  <cp:lastModifiedBy>l</cp:lastModifiedBy>
  <dcterms:modified xsi:type="dcterms:W3CDTF">2023-07-14T03:29:43Z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2A4C698CF89B4AE7913DD8FC0794CF65</vt:lpwstr>
  </property>
</Properties>
</file>