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79" w:rsidRDefault="00166979">
      <w:pPr>
        <w:widowControl/>
        <w:spacing w:line="360" w:lineRule="auto"/>
        <w:jc w:val="center"/>
        <w:rPr>
          <w:rFonts w:ascii="宋体" w:eastAsia="宋体" w:hAnsi="宋体" w:cs="宋体" w:hint="eastAsia"/>
          <w:b/>
          <w:bCs/>
          <w:color w:val="333333"/>
          <w:kern w:val="0"/>
          <w:sz w:val="52"/>
          <w:szCs w:val="52"/>
        </w:rPr>
      </w:pPr>
    </w:p>
    <w:p w:rsidR="00166979" w:rsidRDefault="00CD565E">
      <w:pPr>
        <w:widowControl/>
        <w:spacing w:line="360" w:lineRule="auto"/>
        <w:jc w:val="center"/>
        <w:rPr>
          <w:rFonts w:ascii="宋体" w:eastAsia="宋体" w:hAnsi="宋体" w:cs="宋体"/>
          <w:b/>
          <w:bCs/>
          <w:color w:val="333333"/>
          <w:kern w:val="0"/>
          <w:sz w:val="32"/>
          <w:szCs w:val="32"/>
        </w:rPr>
      </w:pPr>
      <w:r>
        <w:rPr>
          <w:rFonts w:ascii="宋体" w:eastAsia="宋体" w:hAnsi="宋体" w:cs="宋体" w:hint="eastAsia"/>
          <w:b/>
          <w:bCs/>
          <w:color w:val="333333"/>
          <w:kern w:val="0"/>
          <w:sz w:val="52"/>
          <w:szCs w:val="52"/>
        </w:rPr>
        <w:t>绩效评价报告</w:t>
      </w:r>
    </w:p>
    <w:p w:rsidR="00166979" w:rsidRDefault="00166979">
      <w:pPr>
        <w:widowControl/>
        <w:spacing w:line="360" w:lineRule="auto"/>
        <w:ind w:firstLineChars="200" w:firstLine="640"/>
        <w:jc w:val="left"/>
        <w:rPr>
          <w:rFonts w:ascii="宋体" w:eastAsia="宋体" w:hAnsi="宋体" w:cs="宋体"/>
          <w:color w:val="333333"/>
          <w:kern w:val="0"/>
          <w:sz w:val="32"/>
          <w:szCs w:val="32"/>
        </w:rPr>
      </w:pPr>
    </w:p>
    <w:p w:rsidR="00166979" w:rsidRDefault="00CD565E" w:rsidP="00411BDD">
      <w:pPr>
        <w:widowControl/>
        <w:spacing w:line="600" w:lineRule="auto"/>
        <w:ind w:leftChars="-200" w:left="1" w:hangingChars="131" w:hanging="421"/>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财政机关名称：巴中市财政局</w:t>
      </w:r>
    </w:p>
    <w:p w:rsidR="00166979" w:rsidRDefault="00CD565E">
      <w:pPr>
        <w:widowControl/>
        <w:spacing w:line="600" w:lineRule="auto"/>
        <w:ind w:leftChars="-200" w:left="746" w:hangingChars="363" w:hanging="1166"/>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被检查（评价）单位名称：巴中市经济和信息化局</w:t>
      </w:r>
    </w:p>
    <w:p w:rsidR="00166979" w:rsidRDefault="00CD565E">
      <w:pPr>
        <w:widowControl/>
        <w:spacing w:line="600" w:lineRule="auto"/>
        <w:ind w:leftChars="-200" w:left="1977" w:hangingChars="746" w:hanging="2397"/>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检查（评价）政策：应对疫情支持中小企业渡过难关工业稳增长奖励资金政策</w:t>
      </w:r>
    </w:p>
    <w:p w:rsidR="00166979" w:rsidRDefault="00CD565E">
      <w:pPr>
        <w:spacing w:line="600" w:lineRule="auto"/>
        <w:ind w:leftChars="-200" w:left="3377" w:hangingChars="1182" w:hanging="3797"/>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 xml:space="preserve">   受托检查（评价）中介机构：四川中磊会计师事务所有限责任公司</w:t>
      </w:r>
    </w:p>
    <w:p w:rsidR="00166979" w:rsidRDefault="00166979">
      <w:pPr>
        <w:spacing w:line="600" w:lineRule="auto"/>
        <w:ind w:left="3363" w:hangingChars="1051" w:hanging="3363"/>
        <w:jc w:val="left"/>
        <w:rPr>
          <w:rFonts w:ascii="宋体" w:eastAsia="宋体" w:hAnsi="宋体" w:cs="宋体"/>
          <w:color w:val="333333"/>
          <w:kern w:val="0"/>
          <w:sz w:val="32"/>
          <w:szCs w:val="32"/>
        </w:rPr>
      </w:pPr>
    </w:p>
    <w:p w:rsidR="00166979" w:rsidRPr="00411BDD" w:rsidRDefault="00166979">
      <w:pPr>
        <w:spacing w:line="600" w:lineRule="auto"/>
        <w:ind w:leftChars="304" w:left="5118" w:hangingChars="1400" w:hanging="4480"/>
        <w:jc w:val="left"/>
        <w:rPr>
          <w:rFonts w:ascii="宋体" w:eastAsia="宋体" w:hAnsi="宋体" w:cs="宋体"/>
          <w:color w:val="333333"/>
          <w:kern w:val="0"/>
          <w:sz w:val="32"/>
          <w:szCs w:val="32"/>
        </w:rPr>
      </w:pPr>
    </w:p>
    <w:p w:rsidR="00166979" w:rsidRDefault="00CD565E" w:rsidP="00411BDD">
      <w:pPr>
        <w:spacing w:line="600" w:lineRule="auto"/>
        <w:ind w:leftChars="-200" w:left="1" w:rightChars="-244" w:right="-512" w:hangingChars="131" w:hanging="421"/>
        <w:jc w:val="left"/>
        <w:rPr>
          <w:rFonts w:ascii="宋体" w:eastAsia="宋体" w:hAnsi="宋体" w:cs="宋体"/>
          <w:b/>
          <w:bCs/>
          <w:color w:val="333333"/>
          <w:kern w:val="0"/>
          <w:sz w:val="32"/>
          <w:szCs w:val="32"/>
        </w:rPr>
      </w:pPr>
      <w:r>
        <w:rPr>
          <w:rFonts w:ascii="宋体" w:eastAsia="宋体" w:hAnsi="宋体" w:cs="宋体" w:hint="eastAsia"/>
          <w:b/>
          <w:bCs/>
          <w:color w:val="333333"/>
          <w:kern w:val="0"/>
          <w:sz w:val="32"/>
          <w:szCs w:val="32"/>
        </w:rPr>
        <w:t>公司地址：成都市青羊区日月大道</w:t>
      </w:r>
      <w:r>
        <w:rPr>
          <w:rFonts w:ascii="Times New Roman" w:eastAsia="宋体" w:hAnsi="Times New Roman" w:cs="Times New Roman"/>
          <w:b/>
          <w:bCs/>
          <w:color w:val="333333"/>
          <w:kern w:val="0"/>
          <w:sz w:val="32"/>
          <w:szCs w:val="32"/>
        </w:rPr>
        <w:t>1501</w:t>
      </w:r>
      <w:r>
        <w:rPr>
          <w:rFonts w:ascii="宋体" w:eastAsia="宋体" w:hAnsi="宋体" w:cs="宋体" w:hint="eastAsia"/>
          <w:b/>
          <w:bCs/>
          <w:color w:val="333333"/>
          <w:kern w:val="0"/>
          <w:sz w:val="32"/>
          <w:szCs w:val="32"/>
        </w:rPr>
        <w:t>号万和中心</w:t>
      </w:r>
      <w:r>
        <w:rPr>
          <w:rFonts w:ascii="Times New Roman" w:eastAsia="宋体" w:hAnsi="Times New Roman" w:cs="Times New Roman"/>
          <w:b/>
          <w:bCs/>
          <w:color w:val="333333"/>
          <w:kern w:val="0"/>
          <w:sz w:val="32"/>
          <w:szCs w:val="32"/>
        </w:rPr>
        <w:t>1</w:t>
      </w:r>
      <w:r>
        <w:rPr>
          <w:rFonts w:ascii="宋体" w:eastAsia="宋体" w:hAnsi="宋体" w:cs="宋体" w:hint="eastAsia"/>
          <w:b/>
          <w:bCs/>
          <w:color w:val="333333"/>
          <w:kern w:val="0"/>
          <w:sz w:val="32"/>
          <w:szCs w:val="32"/>
        </w:rPr>
        <w:t>栋</w:t>
      </w:r>
      <w:r>
        <w:rPr>
          <w:rFonts w:ascii="Times New Roman" w:eastAsia="宋体" w:hAnsi="Times New Roman" w:cs="Times New Roman"/>
          <w:b/>
          <w:bCs/>
          <w:color w:val="333333"/>
          <w:kern w:val="0"/>
          <w:sz w:val="32"/>
          <w:szCs w:val="32"/>
        </w:rPr>
        <w:t>905</w:t>
      </w:r>
      <w:r>
        <w:rPr>
          <w:rFonts w:ascii="宋体" w:eastAsia="宋体" w:hAnsi="宋体" w:cs="宋体" w:hint="eastAsia"/>
          <w:b/>
          <w:bCs/>
          <w:color w:val="333333"/>
          <w:kern w:val="0"/>
          <w:sz w:val="32"/>
          <w:szCs w:val="32"/>
        </w:rPr>
        <w:t>室</w:t>
      </w:r>
    </w:p>
    <w:p w:rsidR="00166979" w:rsidRDefault="00CD565E">
      <w:pPr>
        <w:spacing w:line="600" w:lineRule="auto"/>
        <w:ind w:leftChars="-200" w:left="1" w:hangingChars="131" w:hanging="421"/>
        <w:jc w:val="left"/>
        <w:rPr>
          <w:rFonts w:ascii="Times New Roman" w:eastAsia="宋体" w:hAnsi="Times New Roman" w:cs="Times New Roman"/>
          <w:b/>
          <w:bCs/>
          <w:color w:val="333333"/>
          <w:kern w:val="0"/>
          <w:sz w:val="32"/>
          <w:szCs w:val="32"/>
        </w:rPr>
      </w:pPr>
      <w:r>
        <w:rPr>
          <w:rFonts w:ascii="宋体" w:eastAsia="宋体" w:hAnsi="宋体" w:cs="宋体" w:hint="eastAsia"/>
          <w:b/>
          <w:bCs/>
          <w:color w:val="333333"/>
          <w:kern w:val="0"/>
          <w:sz w:val="32"/>
          <w:szCs w:val="32"/>
        </w:rPr>
        <w:t xml:space="preserve">   电话：</w:t>
      </w:r>
      <w:r>
        <w:rPr>
          <w:rFonts w:ascii="Times New Roman" w:eastAsia="宋体" w:hAnsi="Times New Roman" w:cs="Times New Roman"/>
          <w:b/>
          <w:bCs/>
          <w:color w:val="333333"/>
          <w:kern w:val="0"/>
          <w:sz w:val="32"/>
          <w:szCs w:val="32"/>
        </w:rPr>
        <w:t>（</w:t>
      </w:r>
      <w:r>
        <w:rPr>
          <w:rFonts w:ascii="Times New Roman" w:eastAsia="宋体" w:hAnsi="Times New Roman" w:cs="Times New Roman"/>
          <w:b/>
          <w:bCs/>
          <w:color w:val="333333"/>
          <w:kern w:val="0"/>
          <w:sz w:val="32"/>
          <w:szCs w:val="32"/>
        </w:rPr>
        <w:t>028</w:t>
      </w:r>
      <w:r>
        <w:rPr>
          <w:rFonts w:ascii="Times New Roman" w:eastAsia="宋体" w:hAnsi="Times New Roman" w:cs="Times New Roman"/>
          <w:b/>
          <w:bCs/>
          <w:color w:val="333333"/>
          <w:kern w:val="0"/>
          <w:sz w:val="32"/>
          <w:szCs w:val="32"/>
        </w:rPr>
        <w:t>）</w:t>
      </w:r>
      <w:r>
        <w:rPr>
          <w:rFonts w:ascii="Times New Roman" w:eastAsia="宋体" w:hAnsi="Times New Roman" w:cs="Times New Roman"/>
          <w:b/>
          <w:bCs/>
          <w:color w:val="333333"/>
          <w:kern w:val="0"/>
          <w:sz w:val="32"/>
          <w:szCs w:val="32"/>
        </w:rPr>
        <w:t>84538662</w:t>
      </w:r>
    </w:p>
    <w:p w:rsidR="00166979" w:rsidRDefault="00CD565E">
      <w:pPr>
        <w:pStyle w:val="a0"/>
        <w:rPr>
          <w:rFonts w:ascii="Times New Roman" w:hAnsi="Times New Roman" w:cs="Times New Roman"/>
        </w:rPr>
      </w:pPr>
      <w:r>
        <w:rPr>
          <w:rFonts w:ascii="宋体" w:eastAsia="宋体" w:hAnsi="宋体" w:cs="宋体" w:hint="eastAsia"/>
          <w:b/>
          <w:bCs/>
          <w:color w:val="333333"/>
          <w:sz w:val="32"/>
          <w:szCs w:val="32"/>
        </w:rPr>
        <w:t>邮政编码：</w:t>
      </w:r>
      <w:r>
        <w:rPr>
          <w:rFonts w:ascii="Times New Roman" w:eastAsia="宋体" w:hAnsi="Times New Roman" w:cs="Times New Roman"/>
          <w:b/>
          <w:bCs/>
          <w:color w:val="333333"/>
          <w:sz w:val="32"/>
          <w:szCs w:val="32"/>
        </w:rPr>
        <w:t>610000</w:t>
      </w:r>
    </w:p>
    <w:p w:rsidR="00166979" w:rsidRDefault="00166979" w:rsidP="00411BDD">
      <w:pPr>
        <w:spacing w:line="600" w:lineRule="auto"/>
        <w:ind w:leftChars="-200" w:left="-1" w:hangingChars="131" w:hanging="419"/>
        <w:jc w:val="left"/>
        <w:rPr>
          <w:rFonts w:ascii="宋体" w:eastAsia="宋体" w:hAnsi="宋体" w:cs="宋体"/>
          <w:color w:val="333333"/>
          <w:kern w:val="0"/>
          <w:sz w:val="32"/>
          <w:szCs w:val="32"/>
        </w:rPr>
        <w:sectPr w:rsidR="0016697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1"/>
          <w:cols w:space="425"/>
          <w:titlePg/>
          <w:docGrid w:type="lines" w:linePitch="312"/>
        </w:sectPr>
      </w:pPr>
    </w:p>
    <w:p w:rsidR="00166979" w:rsidRDefault="00CD565E">
      <w:pPr>
        <w:adjustRightInd w:val="0"/>
        <w:snapToGrid w:val="0"/>
        <w:spacing w:line="600" w:lineRule="exact"/>
        <w:ind w:firstLineChars="200" w:firstLine="640"/>
        <w:outlineLvl w:val="1"/>
        <w:rPr>
          <w:rFonts w:ascii="仿宋_GB2312" w:eastAsia="仿宋_GB2312" w:hAnsi="仿宋_GB2312" w:cs="仿宋_GB2312"/>
          <w:sz w:val="32"/>
          <w:szCs w:val="32"/>
        </w:rPr>
      </w:pPr>
      <w:bookmarkStart w:id="0" w:name="_Toc6487"/>
      <w:r>
        <w:rPr>
          <w:rFonts w:ascii="仿宋_GB2312" w:eastAsia="仿宋_GB2312" w:hAnsi="仿宋_GB2312" w:cs="仿宋_GB2312" w:hint="eastAsia"/>
          <w:sz w:val="32"/>
          <w:szCs w:val="32"/>
        </w:rPr>
        <w:lastRenderedPageBreak/>
        <w:t>摘要：</w:t>
      </w:r>
      <w:bookmarkEnd w:id="0"/>
    </w:p>
    <w:p w:rsidR="00166979" w:rsidRDefault="00CD565E">
      <w:pPr>
        <w:adjustRightInd w:val="0"/>
        <w:snapToGrid w:val="0"/>
        <w:spacing w:line="600" w:lineRule="exact"/>
        <w:ind w:firstLineChars="200" w:firstLine="640"/>
        <w:outlineLvl w:val="1"/>
        <w:rPr>
          <w:rFonts w:ascii="仿宋_GB2312" w:eastAsia="仿宋_GB2312" w:hAnsi="仿宋_GB2312" w:cs="仿宋_GB2312"/>
          <w:sz w:val="32"/>
          <w:szCs w:val="32"/>
        </w:rPr>
      </w:pPr>
      <w:bookmarkStart w:id="1" w:name="_Toc5400"/>
      <w:r>
        <w:rPr>
          <w:rFonts w:ascii="仿宋_GB2312" w:eastAsia="仿宋_GB2312" w:hAnsi="仿宋_GB2312" w:cs="仿宋_GB2312" w:hint="eastAsia"/>
          <w:sz w:val="32"/>
          <w:szCs w:val="32"/>
        </w:rPr>
        <w:t>查阅巴中市经济和信息化局该政策相关的资料，应对疫情支持中小企业渡过难关工业稳增长奖励资金财政政策主要是对巴中市2020年一季度产值或投资总量、增速均局前50位的企业或项目给予10-30万元资金支持。</w:t>
      </w:r>
      <w:bookmarkEnd w:id="1"/>
    </w:p>
    <w:p w:rsidR="00166979" w:rsidRDefault="00CD565E">
      <w:r>
        <w:br w:type="page"/>
      </w:r>
    </w:p>
    <w:p w:rsidR="00166979" w:rsidRDefault="00166979">
      <w:pPr>
        <w:pStyle w:val="a0"/>
      </w:pPr>
    </w:p>
    <w:sdt>
      <w:sdtPr>
        <w:rPr>
          <w:rFonts w:ascii="宋体" w:eastAsia="宋体" w:hAnsi="宋体"/>
          <w:kern w:val="0"/>
          <w:sz w:val="44"/>
          <w:szCs w:val="44"/>
        </w:rPr>
        <w:id w:val="147480132"/>
        <w:docPartObj>
          <w:docPartGallery w:val="Table of Contents"/>
          <w:docPartUnique/>
        </w:docPartObj>
      </w:sdtPr>
      <w:sdtEndPr>
        <w:rPr>
          <w:rFonts w:ascii="Calibri" w:eastAsiaTheme="minorEastAsia" w:hAnsi="Calibri" w:hint="eastAsia"/>
          <w:sz w:val="20"/>
          <w:szCs w:val="20"/>
        </w:rPr>
      </w:sdtEndPr>
      <w:sdtContent>
        <w:p w:rsidR="00166979" w:rsidRDefault="00CD565E">
          <w:pPr>
            <w:jc w:val="center"/>
          </w:pPr>
          <w:r>
            <w:rPr>
              <w:rFonts w:ascii="宋体" w:eastAsia="宋体" w:hAnsi="宋体"/>
              <w:b/>
              <w:bCs/>
              <w:sz w:val="44"/>
              <w:szCs w:val="44"/>
            </w:rPr>
            <w:t>目录</w:t>
          </w:r>
          <w:r w:rsidR="00CC5D4D" w:rsidRPr="00CC5D4D">
            <w:rPr>
              <w:rFonts w:hint="eastAsia"/>
            </w:rPr>
            <w:fldChar w:fldCharType="begin"/>
          </w:r>
          <w:r>
            <w:rPr>
              <w:rFonts w:hint="eastAsia"/>
            </w:rPr>
            <w:instrText xml:space="preserve">TOC \o "1-2" \h \u </w:instrText>
          </w:r>
          <w:r w:rsidR="00CC5D4D" w:rsidRPr="00CC5D4D">
            <w:rPr>
              <w:rFonts w:hint="eastAsia"/>
            </w:rPr>
            <w:fldChar w:fldCharType="separate"/>
          </w:r>
        </w:p>
        <w:p w:rsidR="00166979" w:rsidRDefault="00CC5D4D">
          <w:pPr>
            <w:pStyle w:val="WPSOffice1"/>
            <w:tabs>
              <w:tab w:val="right" w:leader="dot" w:pos="8306"/>
            </w:tabs>
            <w:spacing w:line="400" w:lineRule="exact"/>
            <w:rPr>
              <w:rFonts w:ascii="宋体" w:eastAsia="宋体" w:hAnsi="宋体" w:cs="宋体"/>
              <w:sz w:val="28"/>
              <w:szCs w:val="28"/>
            </w:rPr>
          </w:pPr>
          <w:hyperlink w:anchor="_Toc5057" w:history="1">
            <w:r w:rsidR="00CD565E">
              <w:rPr>
                <w:rFonts w:ascii="宋体" w:eastAsia="宋体" w:hAnsi="宋体" w:cs="宋体" w:hint="eastAsia"/>
                <w:sz w:val="28"/>
                <w:szCs w:val="28"/>
              </w:rPr>
              <w:t>一、基本情况</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_Toc5057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- 1 -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22025" w:history="1">
            <w:r w:rsidR="00CD565E">
              <w:rPr>
                <w:rFonts w:ascii="宋体" w:eastAsia="宋体" w:hAnsi="宋体" w:cs="宋体" w:hint="eastAsia"/>
                <w:sz w:val="28"/>
                <w:szCs w:val="28"/>
                <w:lang w:val="zh-CN"/>
              </w:rPr>
              <w:t>（一）单位基本情况</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_Toc22025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- 1 -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10185" w:history="1">
            <w:r w:rsidR="00CD565E">
              <w:rPr>
                <w:rFonts w:ascii="宋体" w:eastAsia="宋体" w:hAnsi="宋体" w:cs="宋体" w:hint="eastAsia"/>
                <w:sz w:val="28"/>
                <w:szCs w:val="28"/>
                <w:lang w:val="zh-CN"/>
              </w:rPr>
              <w:t>（二）项目基本情况</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_Toc10185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166979" w:rsidRDefault="00CC5D4D">
          <w:pPr>
            <w:pStyle w:val="WPSOffice1"/>
            <w:tabs>
              <w:tab w:val="right" w:leader="dot" w:pos="8306"/>
            </w:tabs>
            <w:spacing w:line="400" w:lineRule="exact"/>
            <w:rPr>
              <w:rFonts w:ascii="宋体" w:eastAsia="宋体" w:hAnsi="宋体" w:cs="宋体"/>
              <w:sz w:val="28"/>
              <w:szCs w:val="28"/>
            </w:rPr>
          </w:pPr>
          <w:hyperlink w:anchor="_Toc12648" w:history="1">
            <w:r w:rsidR="00CD565E">
              <w:rPr>
                <w:rFonts w:ascii="宋体" w:eastAsia="宋体" w:hAnsi="宋体" w:cs="宋体" w:hint="eastAsia"/>
                <w:sz w:val="28"/>
                <w:szCs w:val="28"/>
              </w:rPr>
              <w:t>二、评价工作开展及项目情况</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_Toc12648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14137" w:history="1">
            <w:r w:rsidR="00CD565E">
              <w:rPr>
                <w:rFonts w:ascii="宋体" w:eastAsia="宋体" w:hAnsi="宋体" w:cs="宋体" w:hint="eastAsia"/>
                <w:sz w:val="28"/>
                <w:szCs w:val="28"/>
                <w:lang w:val="zh-CN"/>
              </w:rPr>
              <w:t>（一）</w:t>
            </w:r>
            <w:r w:rsidR="00CD565E">
              <w:rPr>
                <w:rFonts w:ascii="宋体" w:eastAsia="宋体" w:hAnsi="宋体" w:cs="宋体" w:hint="eastAsia"/>
                <w:sz w:val="28"/>
                <w:szCs w:val="28"/>
              </w:rPr>
              <w:t>项目收支情况</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_Toc14137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- 2 -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9428" w:history="1">
            <w:r w:rsidR="00CD565E">
              <w:rPr>
                <w:rFonts w:ascii="宋体" w:eastAsia="宋体" w:hAnsi="宋体" w:cs="宋体" w:hint="eastAsia"/>
                <w:sz w:val="28"/>
                <w:szCs w:val="28"/>
              </w:rPr>
              <w:t>（二）绩效评价的组织实施情况</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_Toc9428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- 3 -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2448" w:history="1">
            <w:r w:rsidR="00CD565E">
              <w:rPr>
                <w:rFonts w:ascii="宋体" w:eastAsia="宋体" w:hAnsi="宋体" w:cs="宋体" w:hint="eastAsia"/>
                <w:sz w:val="28"/>
                <w:szCs w:val="28"/>
              </w:rPr>
              <w:t>（三）绩效评价依据</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_Toc2448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- 3 -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7552" w:history="1">
            <w:r w:rsidR="00CD565E">
              <w:rPr>
                <w:rFonts w:ascii="宋体" w:eastAsia="宋体" w:hAnsi="宋体" w:cs="宋体" w:hint="eastAsia"/>
                <w:sz w:val="28"/>
                <w:szCs w:val="28"/>
              </w:rPr>
              <w:t>（四）绩效评价方法</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_Toc7552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- 3 -</w:t>
            </w:r>
            <w:r>
              <w:rPr>
                <w:rFonts w:ascii="宋体" w:eastAsia="宋体" w:hAnsi="宋体" w:cs="宋体" w:hint="eastAsia"/>
                <w:sz w:val="28"/>
                <w:szCs w:val="28"/>
              </w:rPr>
              <w:fldChar w:fldCharType="end"/>
            </w:r>
          </w:hyperlink>
        </w:p>
        <w:p w:rsidR="00166979" w:rsidRDefault="00CC5D4D">
          <w:pPr>
            <w:pStyle w:val="WPSOffice1"/>
            <w:tabs>
              <w:tab w:val="right" w:leader="dot" w:pos="8306"/>
            </w:tabs>
            <w:spacing w:line="400" w:lineRule="exact"/>
            <w:rPr>
              <w:rFonts w:ascii="宋体" w:eastAsia="宋体" w:hAnsi="宋体" w:cs="宋体"/>
              <w:sz w:val="28"/>
              <w:szCs w:val="28"/>
            </w:rPr>
          </w:pPr>
          <w:hyperlink w:anchor="_Toc13611" w:history="1">
            <w:r w:rsidR="00CD565E">
              <w:rPr>
                <w:rFonts w:ascii="宋体" w:eastAsia="宋体" w:hAnsi="宋体" w:cs="宋体" w:hint="eastAsia"/>
                <w:sz w:val="28"/>
                <w:szCs w:val="28"/>
              </w:rPr>
              <w:t>三、评价结论及绩效分析</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_Toc13611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- 3 -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24398" w:history="1">
            <w:r w:rsidR="00CD565E">
              <w:rPr>
                <w:rFonts w:ascii="宋体" w:eastAsia="宋体" w:hAnsi="宋体" w:cs="宋体" w:hint="eastAsia"/>
                <w:sz w:val="28"/>
                <w:szCs w:val="28"/>
              </w:rPr>
              <w:t>（一）评价结论</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_Toc24398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- 3 -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12451" w:history="1">
            <w:r w:rsidR="00CD565E">
              <w:rPr>
                <w:rFonts w:ascii="宋体" w:eastAsia="宋体" w:hAnsi="宋体" w:cs="宋体" w:hint="eastAsia"/>
                <w:sz w:val="28"/>
                <w:szCs w:val="28"/>
              </w:rPr>
              <w:t>（二）绩效分析</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_Toc12451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15566" w:history="1">
            <w:r w:rsidR="00CD565E">
              <w:rPr>
                <w:rFonts w:ascii="宋体" w:eastAsia="宋体" w:hAnsi="宋体" w:cs="宋体" w:hint="eastAsia"/>
                <w:sz w:val="28"/>
                <w:szCs w:val="28"/>
              </w:rPr>
              <w:t>1、政策设计</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_Toc15566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1352" w:history="1">
            <w:r w:rsidR="00CD565E">
              <w:rPr>
                <w:rFonts w:ascii="宋体" w:eastAsia="宋体" w:hAnsi="宋体" w:cs="宋体" w:hint="eastAsia"/>
                <w:sz w:val="28"/>
                <w:szCs w:val="28"/>
              </w:rPr>
              <w:t>（1）科学性</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_Toc1352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- 4 -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23422" w:history="1">
            <w:r w:rsidR="00CD565E">
              <w:rPr>
                <w:rFonts w:ascii="宋体" w:eastAsia="宋体" w:hAnsi="宋体" w:cs="宋体" w:hint="eastAsia"/>
                <w:sz w:val="28"/>
                <w:szCs w:val="28"/>
              </w:rPr>
              <w:t>（2）相关性</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_Toc23422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- 5 -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16146" w:history="1">
            <w:r w:rsidR="00CD565E">
              <w:rPr>
                <w:rFonts w:ascii="宋体" w:eastAsia="宋体" w:hAnsi="宋体" w:cs="宋体" w:hint="eastAsia"/>
                <w:sz w:val="28"/>
                <w:szCs w:val="28"/>
              </w:rPr>
              <w:t>（3）合理性</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_Toc16146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- 5 -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2842" w:history="1">
            <w:r w:rsidR="00CD565E">
              <w:rPr>
                <w:rFonts w:ascii="宋体" w:eastAsia="宋体" w:hAnsi="宋体" w:cs="宋体" w:hint="eastAsia"/>
                <w:sz w:val="28"/>
                <w:szCs w:val="28"/>
              </w:rPr>
              <w:t>（4）公平性</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_Toc2842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4834" w:history="1">
            <w:r w:rsidR="00CD565E">
              <w:rPr>
                <w:rFonts w:ascii="宋体" w:eastAsia="宋体" w:hAnsi="宋体" w:cs="宋体" w:hint="eastAsia"/>
                <w:sz w:val="28"/>
                <w:szCs w:val="28"/>
              </w:rPr>
              <w:t>2、政策执行</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_Toc4834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9823" w:history="1">
            <w:r w:rsidR="00CD565E">
              <w:rPr>
                <w:rFonts w:ascii="宋体" w:eastAsia="宋体" w:hAnsi="宋体" w:cs="宋体" w:hint="eastAsia"/>
                <w:sz w:val="28"/>
                <w:szCs w:val="28"/>
              </w:rPr>
              <w:t>（1）制度建设</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_Toc9823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- 6 -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21809" w:history="1">
            <w:r w:rsidR="00CD565E">
              <w:rPr>
                <w:rFonts w:ascii="宋体" w:eastAsia="宋体" w:hAnsi="宋体" w:cs="宋体" w:hint="eastAsia"/>
                <w:sz w:val="28"/>
                <w:szCs w:val="28"/>
              </w:rPr>
              <w:t>（2）政策执行</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_Toc21809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26526" w:history="1">
            <w:r w:rsidR="00CD565E">
              <w:rPr>
                <w:rFonts w:ascii="宋体" w:eastAsia="宋体" w:hAnsi="宋体" w:cs="宋体" w:hint="eastAsia"/>
                <w:sz w:val="28"/>
                <w:szCs w:val="28"/>
              </w:rPr>
              <w:t>（3）政策效率</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_Toc26526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- 7 -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23063" w:history="1">
            <w:r w:rsidR="00CD565E">
              <w:rPr>
                <w:rFonts w:ascii="宋体" w:eastAsia="宋体" w:hAnsi="宋体" w:cs="宋体" w:hint="eastAsia"/>
                <w:sz w:val="28"/>
                <w:szCs w:val="28"/>
              </w:rPr>
              <w:t>3、政策绩效</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_Toc23063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5669" w:history="1">
            <w:r w:rsidR="00CD565E">
              <w:rPr>
                <w:rFonts w:ascii="宋体" w:eastAsia="宋体" w:hAnsi="宋体" w:cs="宋体" w:hint="eastAsia"/>
                <w:sz w:val="28"/>
                <w:szCs w:val="28"/>
              </w:rPr>
              <w:t>（1）社会效益</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_Toc5669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27991" w:history="1">
            <w:r w:rsidR="00CD565E">
              <w:rPr>
                <w:rFonts w:ascii="宋体" w:eastAsia="宋体" w:hAnsi="宋体" w:cs="宋体" w:hint="eastAsia"/>
                <w:sz w:val="28"/>
                <w:szCs w:val="28"/>
              </w:rPr>
              <w:t>（2）经济效益</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_Toc27991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17676" w:history="1">
            <w:r w:rsidR="00CD565E">
              <w:rPr>
                <w:rFonts w:ascii="宋体" w:eastAsia="宋体" w:hAnsi="宋体" w:cs="宋体" w:hint="eastAsia"/>
                <w:sz w:val="28"/>
                <w:szCs w:val="28"/>
              </w:rPr>
              <w:t>（3）生态效益</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_Toc17676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32573" w:history="1">
            <w:r w:rsidR="00CD565E">
              <w:rPr>
                <w:rFonts w:ascii="宋体" w:eastAsia="宋体" w:hAnsi="宋体" w:cs="宋体" w:hint="eastAsia"/>
                <w:sz w:val="28"/>
                <w:szCs w:val="28"/>
              </w:rPr>
              <w:t>（4）可持续影响</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_Toc32573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- 8 -</w:t>
            </w:r>
            <w:r>
              <w:rPr>
                <w:rFonts w:ascii="宋体" w:eastAsia="宋体" w:hAnsi="宋体" w:cs="宋体" w:hint="eastAsia"/>
                <w:sz w:val="28"/>
                <w:szCs w:val="28"/>
              </w:rPr>
              <w:fldChar w:fldCharType="end"/>
            </w:r>
          </w:hyperlink>
        </w:p>
        <w:p w:rsidR="00166979" w:rsidRDefault="00CC5D4D" w:rsidP="00411BDD">
          <w:pPr>
            <w:pStyle w:val="WPSOffice2"/>
            <w:tabs>
              <w:tab w:val="right" w:leader="dot" w:pos="8306"/>
            </w:tabs>
            <w:spacing w:line="400" w:lineRule="exact"/>
            <w:ind w:left="420"/>
            <w:rPr>
              <w:rFonts w:ascii="宋体" w:eastAsia="宋体" w:hAnsi="宋体" w:cs="宋体"/>
              <w:sz w:val="28"/>
              <w:szCs w:val="28"/>
            </w:rPr>
          </w:pPr>
          <w:hyperlink w:anchor="_Toc1157" w:history="1">
            <w:r w:rsidR="00CD565E">
              <w:rPr>
                <w:rFonts w:ascii="宋体" w:eastAsia="宋体" w:hAnsi="宋体" w:cs="宋体" w:hint="eastAsia"/>
                <w:sz w:val="28"/>
                <w:szCs w:val="28"/>
              </w:rPr>
              <w:t>（5）社会满意度</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_Toc1157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- 9 -</w:t>
            </w:r>
            <w:r>
              <w:rPr>
                <w:rFonts w:ascii="宋体" w:eastAsia="宋体" w:hAnsi="宋体" w:cs="宋体" w:hint="eastAsia"/>
                <w:sz w:val="28"/>
                <w:szCs w:val="28"/>
              </w:rPr>
              <w:fldChar w:fldCharType="end"/>
            </w:r>
          </w:hyperlink>
        </w:p>
        <w:p w:rsidR="00166979" w:rsidRDefault="00CC5D4D">
          <w:pPr>
            <w:pStyle w:val="WPSOffice1"/>
            <w:tabs>
              <w:tab w:val="right" w:leader="dot" w:pos="8306"/>
            </w:tabs>
            <w:spacing w:line="400" w:lineRule="exact"/>
            <w:rPr>
              <w:rFonts w:ascii="宋体" w:eastAsia="宋体" w:hAnsi="宋体" w:cs="宋体"/>
              <w:sz w:val="28"/>
              <w:szCs w:val="28"/>
            </w:rPr>
          </w:pPr>
          <w:hyperlink w:anchor="_Toc25282" w:history="1">
            <w:r w:rsidR="00CD565E">
              <w:rPr>
                <w:rFonts w:ascii="宋体" w:eastAsia="宋体" w:hAnsi="宋体" w:cs="宋体" w:hint="eastAsia"/>
                <w:sz w:val="28"/>
                <w:szCs w:val="28"/>
              </w:rPr>
              <w:t>四、主要绩效</w:t>
            </w:r>
            <w:r w:rsidR="00CD565E">
              <w:rPr>
                <w:rFonts w:ascii="宋体" w:eastAsia="宋体" w:hAnsi="宋体" w:cs="宋体" w:hint="eastAsia"/>
                <w:sz w:val="28"/>
                <w:szCs w:val="28"/>
              </w:rPr>
              <w:tab/>
            </w:r>
            <w:r>
              <w:rPr>
                <w:rFonts w:ascii="宋体" w:eastAsia="宋体" w:hAnsi="宋体" w:cs="宋体" w:hint="eastAsia"/>
                <w:sz w:val="28"/>
                <w:szCs w:val="28"/>
              </w:rPr>
              <w:fldChar w:fldCharType="begin"/>
            </w:r>
            <w:r w:rsidR="00CD565E">
              <w:rPr>
                <w:rFonts w:ascii="宋体" w:eastAsia="宋体" w:hAnsi="宋体" w:cs="宋体" w:hint="eastAsia"/>
                <w:sz w:val="28"/>
                <w:szCs w:val="28"/>
              </w:rPr>
              <w:instrText xml:space="preserve"> PAGEREF _Toc25282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CD565E">
              <w:rPr>
                <w:rFonts w:ascii="宋体" w:eastAsia="宋体" w:hAnsi="宋体" w:cs="宋体" w:hint="eastAsia"/>
                <w:sz w:val="28"/>
                <w:szCs w:val="28"/>
              </w:rPr>
              <w:t>- 9 -</w:t>
            </w:r>
            <w:r>
              <w:rPr>
                <w:rFonts w:ascii="宋体" w:eastAsia="宋体" w:hAnsi="宋体" w:cs="宋体" w:hint="eastAsia"/>
                <w:sz w:val="28"/>
                <w:szCs w:val="28"/>
              </w:rPr>
              <w:fldChar w:fldCharType="end"/>
            </w:r>
          </w:hyperlink>
        </w:p>
        <w:p w:rsidR="00166979" w:rsidRDefault="00CC5D4D">
          <w:pPr>
            <w:pStyle w:val="a0"/>
          </w:pPr>
          <w:r>
            <w:rPr>
              <w:rFonts w:hint="eastAsia"/>
            </w:rPr>
            <w:fldChar w:fldCharType="end"/>
          </w:r>
        </w:p>
      </w:sdtContent>
    </w:sdt>
    <w:p w:rsidR="00166979" w:rsidRDefault="00166979">
      <w:pPr>
        <w:widowControl/>
        <w:snapToGrid w:val="0"/>
        <w:spacing w:line="360" w:lineRule="auto"/>
        <w:jc w:val="center"/>
        <w:outlineLvl w:val="0"/>
        <w:rPr>
          <w:rFonts w:ascii="宋体" w:eastAsia="宋体" w:hAnsi="宋体" w:cs="宋体"/>
          <w:b/>
          <w:sz w:val="44"/>
          <w:szCs w:val="44"/>
          <w:shd w:val="clear" w:color="auto" w:fill="FFFFFF"/>
        </w:rPr>
        <w:sectPr w:rsidR="00166979">
          <w:headerReference w:type="default" r:id="rId13"/>
          <w:footerReference w:type="default" r:id="rId14"/>
          <w:pgSz w:w="11906" w:h="16838"/>
          <w:pgMar w:top="1440" w:right="1800" w:bottom="1440" w:left="1800" w:header="851" w:footer="992" w:gutter="0"/>
          <w:pgNumType w:fmt="numberInDash" w:start="1"/>
          <w:cols w:space="425"/>
          <w:docGrid w:type="lines" w:linePitch="312"/>
        </w:sectPr>
      </w:pPr>
      <w:bookmarkStart w:id="2" w:name="_Toc25445"/>
    </w:p>
    <w:p w:rsidR="00166979" w:rsidRDefault="00CD565E">
      <w:pPr>
        <w:widowControl/>
        <w:snapToGrid w:val="0"/>
        <w:spacing w:line="360" w:lineRule="auto"/>
        <w:jc w:val="center"/>
        <w:outlineLvl w:val="0"/>
        <w:rPr>
          <w:rFonts w:ascii="宋体" w:eastAsia="宋体" w:hAnsi="宋体" w:cs="宋体"/>
          <w:b/>
          <w:sz w:val="44"/>
          <w:szCs w:val="44"/>
          <w:shd w:val="clear" w:color="auto" w:fill="FFFFFF"/>
        </w:rPr>
      </w:pPr>
      <w:r>
        <w:rPr>
          <w:rFonts w:ascii="宋体" w:eastAsia="宋体" w:hAnsi="宋体" w:cs="宋体" w:hint="eastAsia"/>
          <w:b/>
          <w:sz w:val="44"/>
          <w:szCs w:val="44"/>
          <w:shd w:val="clear" w:color="auto" w:fill="FFFFFF"/>
        </w:rPr>
        <w:lastRenderedPageBreak/>
        <w:t>巴中市经济和信息化局应对疫情支持中小企业渡过难关工业稳增长奖励资金</w:t>
      </w:r>
      <w:bookmarkEnd w:id="2"/>
    </w:p>
    <w:p w:rsidR="00166979" w:rsidRDefault="00CD565E">
      <w:pPr>
        <w:widowControl/>
        <w:snapToGrid w:val="0"/>
        <w:spacing w:line="360" w:lineRule="auto"/>
        <w:jc w:val="center"/>
        <w:outlineLvl w:val="0"/>
        <w:rPr>
          <w:rFonts w:ascii="宋体" w:eastAsia="宋体" w:hAnsi="宋体" w:cs="宋体"/>
          <w:b/>
          <w:sz w:val="44"/>
          <w:szCs w:val="44"/>
          <w:shd w:val="clear" w:color="auto" w:fill="FFFFFF"/>
        </w:rPr>
      </w:pPr>
      <w:bookmarkStart w:id="3" w:name="_Toc24609"/>
      <w:r>
        <w:rPr>
          <w:rFonts w:ascii="宋体" w:eastAsia="宋体" w:hAnsi="宋体" w:cs="宋体" w:hint="eastAsia"/>
          <w:b/>
          <w:sz w:val="44"/>
          <w:szCs w:val="44"/>
          <w:shd w:val="clear" w:color="auto" w:fill="FFFFFF"/>
        </w:rPr>
        <w:t>政策绩效评价报告</w:t>
      </w:r>
      <w:bookmarkEnd w:id="3"/>
    </w:p>
    <w:p w:rsidR="00166979" w:rsidRDefault="00CD565E">
      <w:pPr>
        <w:widowControl/>
        <w:adjustRightInd w:val="0"/>
        <w:snapToGrid w:val="0"/>
        <w:spacing w:line="360" w:lineRule="auto"/>
        <w:jc w:val="center"/>
        <w:outlineLvl w:val="0"/>
        <w:rPr>
          <w:rFonts w:ascii="宋体" w:eastAsia="宋体" w:hAnsi="宋体" w:cs="宋体"/>
          <w:color w:val="0000FF"/>
          <w:kern w:val="0"/>
          <w:sz w:val="32"/>
          <w:szCs w:val="32"/>
          <w:shd w:val="clear" w:color="auto" w:fill="FFFFFF"/>
          <w:lang w:val="fr-FR"/>
        </w:rPr>
      </w:pPr>
      <w:r>
        <w:rPr>
          <w:rFonts w:ascii="宋体" w:eastAsia="宋体" w:hAnsi="宋体" w:cs="宋体" w:hint="eastAsia"/>
          <w:kern w:val="0"/>
          <w:sz w:val="32"/>
          <w:szCs w:val="32"/>
          <w:shd w:val="clear" w:color="auto" w:fill="FFFFFF"/>
          <w:lang w:val="fr-FR"/>
        </w:rPr>
        <w:t>中磊咨字[2021]第C-123号</w:t>
      </w:r>
    </w:p>
    <w:p w:rsidR="00166979" w:rsidRDefault="00CD565E">
      <w:pPr>
        <w:pStyle w:val="a0"/>
        <w:snapToGrid w:val="0"/>
        <w:spacing w:after="0" w:line="360" w:lineRule="auto"/>
        <w:outlineLvl w:val="0"/>
        <w:rPr>
          <w:rFonts w:ascii="黑体" w:eastAsia="黑体" w:hAnsi="黑体" w:cs="黑体"/>
          <w:b/>
          <w:bCs/>
          <w:kern w:val="2"/>
          <w:sz w:val="32"/>
          <w:szCs w:val="32"/>
        </w:rPr>
      </w:pPr>
      <w:bookmarkStart w:id="4" w:name="_Toc29339"/>
      <w:r>
        <w:rPr>
          <w:rFonts w:ascii="黑体" w:eastAsia="黑体" w:hAnsi="黑体" w:cs="黑体" w:hint="eastAsia"/>
          <w:b/>
          <w:bCs/>
          <w:kern w:val="2"/>
          <w:sz w:val="32"/>
          <w:szCs w:val="32"/>
        </w:rPr>
        <w:t>巴中市财政局：</w:t>
      </w:r>
      <w:bookmarkStart w:id="5" w:name="_GoBack"/>
      <w:bookmarkEnd w:id="4"/>
      <w:bookmarkEnd w:id="5"/>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 w:name="_Toc14641"/>
      <w:r>
        <w:rPr>
          <w:rFonts w:ascii="Times New Roman" w:eastAsia="仿宋_GB2312" w:hAnsi="Times New Roman" w:cs="Times New Roman" w:hint="eastAsia"/>
          <w:sz w:val="32"/>
          <w:szCs w:val="32"/>
        </w:rPr>
        <w:t>我们接受委托，对巴中市经济和信息化局（以下简称“经信局”）“应对疫情支持中小企业渡过难关工业稳增长奖励资金”财政政策进行绩效评价，本次绩效评价仅限于市级财政资金。经信局对其提供的绩效评价相关资料的真实性、合法性和完整性负责；我们的责任是依据《中共中央</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国务院关于全面实施预算绩效管理的意见》（中发</w:t>
      </w:r>
      <w:r>
        <w:rPr>
          <w:rFonts w:ascii="宋体" w:eastAsia="宋体" w:hAnsi="宋体" w:cs="宋体" w:hint="eastAsia"/>
          <w:sz w:val="32"/>
          <w:szCs w:val="32"/>
        </w:rPr>
        <w:t>〔</w:t>
      </w:r>
      <w:r>
        <w:rPr>
          <w:rFonts w:ascii="Times New Roman" w:eastAsia="仿宋_GB2312" w:hAnsi="Times New Roman" w:cs="Times New Roman" w:hint="eastAsia"/>
          <w:sz w:val="32"/>
          <w:szCs w:val="32"/>
        </w:rPr>
        <w:t>2018</w:t>
      </w:r>
      <w:r>
        <w:rPr>
          <w:rFonts w:ascii="宋体" w:eastAsia="宋体" w:hAnsi="宋体" w:cs="宋体" w:hint="eastAsia"/>
          <w:sz w:val="32"/>
          <w:szCs w:val="32"/>
        </w:rPr>
        <w:t>〕</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号）、《中共四川省委、四川省人民政府关于全面实施预算绩效管理的实施意见》（川委发〔</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号）和《巴中市财政局关于开展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年财政支出绩效评价工作的通知》（巴财监绩〔</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号）等文件要求，结合“应对疫情支持中小企业渡过难关工业稳增长奖励资金”财政政策的实际情况，对该财政政策进行整体绩效评价，并出具绩效评价报告，现将相关情况报告如下：</w:t>
      </w:r>
      <w:bookmarkEnd w:id="6"/>
    </w:p>
    <w:p w:rsidR="00166979" w:rsidRDefault="00CD565E">
      <w:pPr>
        <w:adjustRightInd w:val="0"/>
        <w:snapToGrid w:val="0"/>
        <w:spacing w:line="600" w:lineRule="exact"/>
        <w:ind w:firstLineChars="200" w:firstLine="643"/>
        <w:outlineLvl w:val="0"/>
        <w:rPr>
          <w:rFonts w:ascii="黑体" w:eastAsia="黑体" w:hAnsi="黑体" w:cs="黑体"/>
          <w:b/>
          <w:bCs/>
          <w:sz w:val="32"/>
          <w:szCs w:val="32"/>
        </w:rPr>
      </w:pPr>
      <w:bookmarkStart w:id="7" w:name="_Toc5057"/>
      <w:bookmarkStart w:id="8" w:name="_Toc1198358841_WPSOffice_Level1"/>
      <w:r>
        <w:rPr>
          <w:rFonts w:ascii="黑体" w:eastAsia="黑体" w:hAnsi="黑体" w:cs="黑体" w:hint="eastAsia"/>
          <w:b/>
          <w:bCs/>
          <w:sz w:val="32"/>
          <w:szCs w:val="32"/>
        </w:rPr>
        <w:t>一、基本情况</w:t>
      </w:r>
      <w:bookmarkEnd w:id="7"/>
      <w:bookmarkEnd w:id="8"/>
    </w:p>
    <w:p w:rsidR="00166979" w:rsidRDefault="00CD565E">
      <w:pPr>
        <w:adjustRightInd w:val="0"/>
        <w:snapToGrid w:val="0"/>
        <w:spacing w:line="600" w:lineRule="exact"/>
        <w:ind w:firstLineChars="200" w:firstLine="643"/>
        <w:outlineLvl w:val="1"/>
        <w:rPr>
          <w:rFonts w:ascii="楷体" w:eastAsia="楷体" w:hAnsi="楷体" w:cs="楷体"/>
          <w:b/>
          <w:bCs/>
          <w:sz w:val="32"/>
          <w:szCs w:val="32"/>
          <w:lang w:val="zh-CN"/>
        </w:rPr>
      </w:pPr>
      <w:bookmarkStart w:id="9" w:name="_Toc769301689_WPSOffice_Level2"/>
      <w:bookmarkStart w:id="10" w:name="_Toc22025"/>
      <w:r>
        <w:rPr>
          <w:rFonts w:ascii="楷体_GB2312" w:eastAsia="楷体_GB2312" w:hAnsi="楷体_GB2312" w:cs="楷体_GB2312"/>
          <w:b/>
          <w:bCs/>
          <w:sz w:val="32"/>
          <w:szCs w:val="32"/>
          <w:lang w:val="zh-CN"/>
        </w:rPr>
        <w:t>（一）单位基本情况</w:t>
      </w:r>
      <w:bookmarkEnd w:id="9"/>
      <w:bookmarkEnd w:id="10"/>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1" w:name="_Toc17015"/>
      <w:r>
        <w:rPr>
          <w:rFonts w:ascii="Times New Roman" w:eastAsia="仿宋_GB2312" w:hAnsi="Times New Roman" w:cs="Times New Roman" w:hint="eastAsia"/>
          <w:sz w:val="32"/>
          <w:szCs w:val="32"/>
        </w:rPr>
        <w:t>巴中市经济和信息化局为独立核算机构，内设</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个职</w:t>
      </w:r>
      <w:r>
        <w:rPr>
          <w:rFonts w:ascii="Times New Roman" w:eastAsia="仿宋_GB2312" w:hAnsi="Times New Roman" w:cs="Times New Roman" w:hint="eastAsia"/>
          <w:sz w:val="32"/>
          <w:szCs w:val="32"/>
        </w:rPr>
        <w:lastRenderedPageBreak/>
        <w:t>能科室，包括：办公室（行政审批科）、综合科（产业园区科）、产业政策科（政策法规科）、经济运行科（煤炭科、冶金建材科）、技术改造科（项目科）、企业科、化工医药科（轻工纺织科）、财金协调与融资担保科、环境和资源综合利用科、电力科、信息化科、市无线电管理办公室和人事教育科。</w:t>
      </w:r>
      <w:r>
        <w:rPr>
          <w:rFonts w:ascii="Times New Roman" w:eastAsia="仿宋_GB2312" w:hAnsi="Times New Roman" w:cs="Times New Roman"/>
          <w:sz w:val="32"/>
          <w:szCs w:val="32"/>
        </w:rPr>
        <w:t>机构性质：</w:t>
      </w:r>
      <w:r>
        <w:rPr>
          <w:rFonts w:ascii="Times New Roman" w:eastAsia="仿宋_GB2312" w:hAnsi="Times New Roman" w:cs="Times New Roman" w:hint="eastAsia"/>
          <w:sz w:val="32"/>
          <w:szCs w:val="32"/>
        </w:rPr>
        <w:t>机关</w:t>
      </w:r>
      <w:r>
        <w:rPr>
          <w:rFonts w:ascii="Times New Roman" w:eastAsia="仿宋_GB2312" w:hAnsi="Times New Roman" w:cs="Times New Roman"/>
          <w:sz w:val="32"/>
          <w:szCs w:val="32"/>
        </w:rPr>
        <w:t>；机构地址：四川省巴中市江北云台街；负责人：</w:t>
      </w:r>
      <w:r>
        <w:rPr>
          <w:rFonts w:ascii="Times New Roman" w:eastAsia="仿宋_GB2312" w:hAnsi="Times New Roman" w:cs="Times New Roman" w:hint="eastAsia"/>
          <w:sz w:val="32"/>
          <w:szCs w:val="32"/>
        </w:rPr>
        <w:t>余斌</w:t>
      </w:r>
      <w:r>
        <w:rPr>
          <w:rFonts w:ascii="Times New Roman" w:eastAsia="仿宋_GB2312" w:hAnsi="Times New Roman" w:cs="Times New Roman"/>
          <w:sz w:val="32"/>
          <w:szCs w:val="32"/>
        </w:rPr>
        <w:t>；统一社会信用代码：</w:t>
      </w:r>
      <w:r>
        <w:rPr>
          <w:rFonts w:ascii="Times New Roman" w:eastAsia="仿宋_GB2312" w:hAnsi="Times New Roman" w:cs="Times New Roman" w:hint="eastAsia"/>
          <w:sz w:val="32"/>
          <w:szCs w:val="32"/>
        </w:rPr>
        <w:t>115137000154102561</w:t>
      </w:r>
      <w:r>
        <w:rPr>
          <w:rFonts w:ascii="Times New Roman" w:eastAsia="仿宋_GB2312" w:hAnsi="Times New Roman" w:cs="Times New Roman" w:hint="eastAsia"/>
          <w:sz w:val="32"/>
          <w:szCs w:val="32"/>
        </w:rPr>
        <w:t>。</w:t>
      </w:r>
      <w:bookmarkEnd w:id="11"/>
    </w:p>
    <w:p w:rsidR="00166979" w:rsidRDefault="00CD565E" w:rsidP="00411BDD">
      <w:pPr>
        <w:adjustRightInd w:val="0"/>
        <w:snapToGrid w:val="0"/>
        <w:spacing w:line="600" w:lineRule="exact"/>
        <w:ind w:firstLineChars="200" w:firstLine="640"/>
        <w:outlineLvl w:val="1"/>
        <w:rPr>
          <w:rFonts w:ascii="楷体" w:eastAsia="楷体" w:hAnsi="楷体" w:cs="楷体"/>
          <w:b/>
          <w:bCs/>
          <w:sz w:val="32"/>
          <w:szCs w:val="32"/>
          <w:lang w:val="zh-CN"/>
        </w:rPr>
      </w:pPr>
      <w:bookmarkStart w:id="12" w:name="_Toc1801932083_WPSOffice_Level2"/>
      <w:bookmarkStart w:id="13" w:name="_Toc10185"/>
      <w:r>
        <w:rPr>
          <w:rFonts w:ascii="楷体" w:eastAsia="楷体" w:hAnsi="楷体" w:cs="楷体"/>
          <w:b/>
          <w:bCs/>
          <w:sz w:val="32"/>
          <w:szCs w:val="32"/>
          <w:lang w:val="zh-CN"/>
        </w:rPr>
        <w:t>（二）项目基本情况</w:t>
      </w:r>
      <w:bookmarkEnd w:id="12"/>
      <w:bookmarkEnd w:id="13"/>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4" w:name="_Toc27308"/>
      <w:r>
        <w:rPr>
          <w:rFonts w:ascii="Times New Roman" w:eastAsia="仿宋_GB2312" w:hAnsi="Times New Roman" w:cs="Times New Roman" w:hint="eastAsia"/>
          <w:sz w:val="32"/>
          <w:szCs w:val="32"/>
        </w:rPr>
        <w:t>应对疫情支持中小企业渡过难关工业稳增长奖励资金财政政策主要是对</w:t>
      </w:r>
      <w:r>
        <w:rPr>
          <w:rFonts w:ascii="仿宋_GB2312" w:eastAsia="仿宋_GB2312" w:hAnsi="仿宋_GB2312" w:cs="仿宋_GB2312" w:hint="eastAsia"/>
          <w:sz w:val="32"/>
          <w:szCs w:val="32"/>
        </w:rPr>
        <w:t>巴中市2020年一季度产值或投资总量、增速均局前50位的企业或项目企业进行奖补</w:t>
      </w:r>
      <w:r>
        <w:rPr>
          <w:rFonts w:ascii="Times New Roman" w:eastAsia="仿宋_GB2312" w:hAnsi="Times New Roman" w:cs="Times New Roman" w:hint="eastAsia"/>
          <w:sz w:val="32"/>
          <w:szCs w:val="32"/>
        </w:rPr>
        <w:t>。根据巴中市财政局批复的预算，“应对疫情支持中小企业渡过难关工业稳增长奖励”政策</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年预算资金为</w:t>
      </w:r>
      <w:r>
        <w:rPr>
          <w:rFonts w:ascii="Times New Roman" w:eastAsia="仿宋_GB2312" w:hAnsi="Times New Roman" w:cs="Times New Roman" w:hint="eastAsia"/>
          <w:sz w:val="32"/>
          <w:szCs w:val="32"/>
        </w:rPr>
        <w:t>450.00</w:t>
      </w:r>
      <w:r>
        <w:rPr>
          <w:rFonts w:ascii="Times New Roman" w:eastAsia="仿宋_GB2312" w:hAnsi="Times New Roman" w:cs="Times New Roman" w:hint="eastAsia"/>
          <w:sz w:val="32"/>
          <w:szCs w:val="32"/>
        </w:rPr>
        <w:t>万元，其中包含</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年省下达的第二批工业发展资金“良好开局激励资金”</w:t>
      </w:r>
      <w:r>
        <w:rPr>
          <w:rFonts w:ascii="Times New Roman" w:eastAsia="仿宋_GB2312" w:hAnsi="Times New Roman" w:cs="Times New Roman" w:hint="eastAsia"/>
          <w:sz w:val="32"/>
          <w:szCs w:val="32"/>
        </w:rPr>
        <w:t>81.00</w:t>
      </w:r>
      <w:r>
        <w:rPr>
          <w:rFonts w:ascii="Times New Roman" w:eastAsia="仿宋_GB2312" w:hAnsi="Times New Roman" w:cs="Times New Roman" w:hint="eastAsia"/>
          <w:sz w:val="32"/>
          <w:szCs w:val="32"/>
        </w:rPr>
        <w:t>万元，其余</w:t>
      </w:r>
      <w:r>
        <w:rPr>
          <w:rFonts w:ascii="Times New Roman" w:eastAsia="仿宋_GB2312" w:hAnsi="Times New Roman" w:cs="Times New Roman" w:hint="eastAsia"/>
          <w:sz w:val="32"/>
          <w:szCs w:val="32"/>
        </w:rPr>
        <w:t>369.00</w:t>
      </w:r>
      <w:r>
        <w:rPr>
          <w:rFonts w:ascii="Times New Roman" w:eastAsia="仿宋_GB2312" w:hAnsi="Times New Roman" w:cs="Times New Roman" w:hint="eastAsia"/>
          <w:sz w:val="32"/>
          <w:szCs w:val="32"/>
        </w:rPr>
        <w:t>万元为市财政预拨安排资金。</w:t>
      </w:r>
      <w:bookmarkEnd w:id="14"/>
    </w:p>
    <w:p w:rsidR="00166979" w:rsidRDefault="00CD565E">
      <w:pPr>
        <w:adjustRightInd w:val="0"/>
        <w:snapToGrid w:val="0"/>
        <w:spacing w:line="600" w:lineRule="exact"/>
        <w:ind w:firstLineChars="200" w:firstLine="643"/>
        <w:outlineLvl w:val="0"/>
        <w:rPr>
          <w:rFonts w:ascii="黑体" w:eastAsia="黑体" w:hAnsi="黑体" w:cs="黑体"/>
          <w:b/>
          <w:bCs/>
          <w:sz w:val="32"/>
          <w:szCs w:val="32"/>
        </w:rPr>
      </w:pPr>
      <w:bookmarkStart w:id="15" w:name="_Toc769301689_WPSOffice_Level1"/>
      <w:bookmarkStart w:id="16" w:name="_Toc12648"/>
      <w:r>
        <w:rPr>
          <w:rFonts w:ascii="黑体" w:eastAsia="黑体" w:hAnsi="黑体" w:cs="黑体" w:hint="eastAsia"/>
          <w:b/>
          <w:bCs/>
          <w:sz w:val="32"/>
          <w:szCs w:val="32"/>
        </w:rPr>
        <w:t>二、评价工作开展及项目情况</w:t>
      </w:r>
      <w:bookmarkEnd w:id="15"/>
      <w:bookmarkEnd w:id="16"/>
    </w:p>
    <w:p w:rsidR="00166979" w:rsidRDefault="00CD565E" w:rsidP="00411BDD">
      <w:pPr>
        <w:adjustRightInd w:val="0"/>
        <w:snapToGrid w:val="0"/>
        <w:spacing w:line="600" w:lineRule="exact"/>
        <w:ind w:firstLineChars="200" w:firstLine="640"/>
        <w:outlineLvl w:val="1"/>
        <w:rPr>
          <w:rFonts w:ascii="楷体" w:eastAsia="楷体" w:hAnsi="楷体" w:cs="楷体"/>
          <w:b/>
          <w:bCs/>
          <w:sz w:val="32"/>
          <w:szCs w:val="32"/>
        </w:rPr>
      </w:pPr>
      <w:bookmarkStart w:id="17" w:name="_Toc14137"/>
      <w:bookmarkStart w:id="18" w:name="_Toc1258128987_WPSOffice_Level2"/>
      <w:r>
        <w:rPr>
          <w:rFonts w:ascii="楷体" w:eastAsia="楷体" w:hAnsi="楷体" w:cs="楷体"/>
          <w:b/>
          <w:bCs/>
          <w:sz w:val="32"/>
          <w:szCs w:val="32"/>
          <w:lang w:val="zh-CN"/>
        </w:rPr>
        <w:t>（一）</w:t>
      </w:r>
      <w:r>
        <w:rPr>
          <w:rFonts w:ascii="楷体" w:eastAsia="楷体" w:hAnsi="楷体" w:cs="楷体" w:hint="eastAsia"/>
          <w:b/>
          <w:bCs/>
          <w:sz w:val="32"/>
          <w:szCs w:val="32"/>
        </w:rPr>
        <w:t>项目</w:t>
      </w:r>
      <w:r>
        <w:rPr>
          <w:rFonts w:ascii="楷体" w:eastAsia="楷体" w:hAnsi="楷体" w:cs="楷体"/>
          <w:b/>
          <w:bCs/>
          <w:sz w:val="32"/>
          <w:szCs w:val="32"/>
        </w:rPr>
        <w:t>收支情况</w:t>
      </w:r>
      <w:bookmarkEnd w:id="17"/>
      <w:bookmarkEnd w:id="18"/>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19" w:name="_Toc16170"/>
      <w:r>
        <w:rPr>
          <w:rFonts w:ascii="Times New Roman" w:eastAsia="仿宋_GB2312" w:hAnsi="Times New Roman" w:cs="Times New Roman" w:hint="eastAsia"/>
          <w:sz w:val="32"/>
          <w:szCs w:val="32"/>
        </w:rPr>
        <w:t>截至</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日，经信局“应对疫情支持中小企业渡过难关工业稳增长奖励”政策实际收到财政预算资金</w:t>
      </w:r>
      <w:r>
        <w:rPr>
          <w:rFonts w:ascii="Times New Roman" w:eastAsia="仿宋_GB2312" w:hAnsi="Times New Roman" w:cs="Times New Roman" w:hint="eastAsia"/>
          <w:sz w:val="32"/>
          <w:szCs w:val="32"/>
        </w:rPr>
        <w:t>450.00</w:t>
      </w:r>
      <w:r>
        <w:rPr>
          <w:rFonts w:ascii="Times New Roman" w:eastAsia="仿宋_GB2312" w:hAnsi="Times New Roman" w:cs="Times New Roman" w:hint="eastAsia"/>
          <w:sz w:val="32"/>
          <w:szCs w:val="32"/>
        </w:rPr>
        <w:t>万元（其中</w:t>
      </w:r>
      <w:r>
        <w:rPr>
          <w:rFonts w:ascii="Times New Roman" w:eastAsia="仿宋_GB2312" w:hAnsi="Times New Roman" w:cs="Times New Roman" w:hint="eastAsia"/>
          <w:sz w:val="32"/>
          <w:szCs w:val="32"/>
        </w:rPr>
        <w:t>369.00</w:t>
      </w:r>
      <w:r>
        <w:rPr>
          <w:rFonts w:ascii="Times New Roman" w:eastAsia="仿宋_GB2312" w:hAnsi="Times New Roman" w:cs="Times New Roman" w:hint="eastAsia"/>
          <w:sz w:val="32"/>
          <w:szCs w:val="32"/>
        </w:rPr>
        <w:t>万元为巴中市财政资金，</w:t>
      </w:r>
      <w:r>
        <w:rPr>
          <w:rFonts w:ascii="Times New Roman" w:eastAsia="仿宋_GB2312" w:hAnsi="Times New Roman" w:cs="Times New Roman" w:hint="eastAsia"/>
          <w:sz w:val="32"/>
          <w:szCs w:val="32"/>
        </w:rPr>
        <w:t>81.00</w:t>
      </w:r>
      <w:r>
        <w:rPr>
          <w:rFonts w:ascii="Times New Roman" w:eastAsia="仿宋_GB2312" w:hAnsi="Times New Roman" w:cs="Times New Roman" w:hint="eastAsia"/>
          <w:sz w:val="32"/>
          <w:szCs w:val="32"/>
        </w:rPr>
        <w:t>万元为</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年省下达的第二批工业发展资金中的“良好开局</w:t>
      </w:r>
      <w:r>
        <w:rPr>
          <w:rFonts w:ascii="Times New Roman" w:eastAsia="仿宋_GB2312" w:hAnsi="Times New Roman" w:cs="Times New Roman" w:hint="eastAsia"/>
          <w:sz w:val="32"/>
          <w:szCs w:val="32"/>
        </w:rPr>
        <w:lastRenderedPageBreak/>
        <w:t>激励资金”项目资金），</w:t>
      </w:r>
      <w:r>
        <w:rPr>
          <w:rFonts w:ascii="Times New Roman" w:eastAsia="仿宋_GB2312" w:hAnsi="Times New Roman" w:cs="Times New Roman"/>
          <w:sz w:val="32"/>
          <w:szCs w:val="32"/>
        </w:rPr>
        <w:t>实际支出</w:t>
      </w:r>
      <w:r>
        <w:rPr>
          <w:rFonts w:ascii="Times New Roman" w:eastAsia="仿宋_GB2312" w:hAnsi="Times New Roman" w:cs="Times New Roman" w:hint="eastAsia"/>
          <w:sz w:val="32"/>
          <w:szCs w:val="32"/>
        </w:rPr>
        <w:t>450.00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，无结余资金。</w:t>
      </w:r>
      <w:bookmarkEnd w:id="19"/>
    </w:p>
    <w:p w:rsidR="00166979" w:rsidRDefault="00CD565E" w:rsidP="00411BDD">
      <w:pPr>
        <w:adjustRightInd w:val="0"/>
        <w:snapToGrid w:val="0"/>
        <w:spacing w:line="600" w:lineRule="exact"/>
        <w:ind w:firstLineChars="200" w:firstLine="640"/>
        <w:outlineLvl w:val="1"/>
        <w:rPr>
          <w:rFonts w:ascii="楷体" w:eastAsia="楷体" w:hAnsi="楷体" w:cs="楷体"/>
          <w:b/>
          <w:bCs/>
          <w:sz w:val="32"/>
          <w:szCs w:val="32"/>
        </w:rPr>
      </w:pPr>
      <w:bookmarkStart w:id="20" w:name="_Toc9428"/>
      <w:bookmarkStart w:id="21" w:name="_Toc1249896147_WPSOffice_Level2"/>
      <w:r>
        <w:rPr>
          <w:rFonts w:ascii="楷体" w:eastAsia="楷体" w:hAnsi="楷体" w:cs="楷体" w:hint="eastAsia"/>
          <w:b/>
          <w:bCs/>
          <w:sz w:val="32"/>
          <w:szCs w:val="32"/>
        </w:rPr>
        <w:t>（二）绩效评价的组织实施情况</w:t>
      </w:r>
      <w:bookmarkEnd w:id="20"/>
      <w:bookmarkEnd w:id="21"/>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22" w:name="_Toc24147"/>
      <w:r>
        <w:rPr>
          <w:rFonts w:ascii="Times New Roman" w:eastAsia="仿宋_GB2312" w:hAnsi="Times New Roman" w:cs="Times New Roman" w:hint="eastAsia"/>
          <w:sz w:val="32"/>
          <w:szCs w:val="32"/>
        </w:rPr>
        <w:t>绩效考评小组开展了现场及送审考评工作，在听取了经信局对该项目情况介绍后，通过查阅资料（包括与项目相关的法律法规及规定、项目档案资料、财务资料等）、询问、现场（送审）查看及问卷调查等方式，了解该评价项目在项目决策、项目管理及项目</w:t>
      </w:r>
      <w:r>
        <w:rPr>
          <w:rFonts w:ascii="Times New Roman" w:eastAsia="仿宋_GB2312" w:hAnsi="Times New Roman" w:cs="Times New Roman"/>
          <w:sz w:val="32"/>
          <w:szCs w:val="32"/>
        </w:rPr>
        <w:t>绩效</w:t>
      </w:r>
      <w:r>
        <w:rPr>
          <w:rFonts w:ascii="Times New Roman" w:eastAsia="仿宋_GB2312" w:hAnsi="Times New Roman" w:cs="Times New Roman" w:hint="eastAsia"/>
          <w:sz w:val="32"/>
          <w:szCs w:val="32"/>
        </w:rPr>
        <w:t>等方面情况；绩效考评小组根据绩效现场及送审评价情况汇总相关数据，按照绩效评价指标体系分析整体绩效评价情况，进行定量定性分析，形成评价结论，撰写绩效评价报告。</w:t>
      </w:r>
      <w:bookmarkEnd w:id="22"/>
    </w:p>
    <w:p w:rsidR="00166979" w:rsidRDefault="00CD565E" w:rsidP="00411BDD">
      <w:pPr>
        <w:adjustRightInd w:val="0"/>
        <w:snapToGrid w:val="0"/>
        <w:spacing w:line="600" w:lineRule="exact"/>
        <w:ind w:firstLineChars="200" w:firstLine="640"/>
        <w:outlineLvl w:val="1"/>
        <w:rPr>
          <w:rFonts w:ascii="楷体" w:eastAsia="楷体" w:hAnsi="楷体" w:cs="楷体"/>
          <w:b/>
          <w:bCs/>
          <w:sz w:val="32"/>
          <w:szCs w:val="32"/>
        </w:rPr>
      </w:pPr>
      <w:bookmarkStart w:id="23" w:name="_Toc319507675_WPSOffice_Level2"/>
      <w:bookmarkStart w:id="24" w:name="_Toc2448"/>
      <w:r>
        <w:rPr>
          <w:rFonts w:ascii="楷体" w:eastAsia="楷体" w:hAnsi="楷体" w:cs="楷体" w:hint="eastAsia"/>
          <w:b/>
          <w:bCs/>
          <w:sz w:val="32"/>
          <w:szCs w:val="32"/>
        </w:rPr>
        <w:t>（三）绩效评价依据</w:t>
      </w:r>
      <w:bookmarkEnd w:id="23"/>
      <w:bookmarkEnd w:id="24"/>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25" w:name="_Toc31510"/>
      <w:bookmarkStart w:id="26" w:name="_Toc769301689_WPSOffice_Level3"/>
      <w:r>
        <w:rPr>
          <w:rFonts w:ascii="Times New Roman" w:eastAsia="仿宋_GB2312" w:hAnsi="Times New Roman" w:cs="Times New Roman" w:hint="eastAsia"/>
          <w:sz w:val="32"/>
          <w:szCs w:val="32"/>
        </w:rPr>
        <w:t>绩效考评组根据《巴中市财政局关于开展</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年财政支出绩效评价工作的通知》（巴财监绩〔</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号）中确定的政策支出绩效评价指标进行绩效考评。</w:t>
      </w:r>
      <w:bookmarkEnd w:id="25"/>
    </w:p>
    <w:p w:rsidR="00166979" w:rsidRDefault="00CD565E" w:rsidP="00411BDD">
      <w:pPr>
        <w:adjustRightInd w:val="0"/>
        <w:snapToGrid w:val="0"/>
        <w:spacing w:line="600" w:lineRule="exact"/>
        <w:ind w:firstLineChars="200" w:firstLine="640"/>
        <w:outlineLvl w:val="1"/>
        <w:rPr>
          <w:rFonts w:ascii="楷体" w:eastAsia="楷体" w:hAnsi="楷体" w:cs="楷体"/>
          <w:b/>
          <w:bCs/>
          <w:sz w:val="32"/>
          <w:szCs w:val="32"/>
        </w:rPr>
      </w:pPr>
      <w:bookmarkStart w:id="27" w:name="_Toc1855996271_WPSOffice_Level2"/>
      <w:bookmarkStart w:id="28" w:name="_Toc7552"/>
      <w:bookmarkEnd w:id="26"/>
      <w:r>
        <w:rPr>
          <w:rFonts w:ascii="楷体" w:eastAsia="楷体" w:hAnsi="楷体" w:cs="楷体" w:hint="eastAsia"/>
          <w:b/>
          <w:bCs/>
          <w:sz w:val="32"/>
          <w:szCs w:val="32"/>
        </w:rPr>
        <w:t>（四）绩效评价方法</w:t>
      </w:r>
      <w:bookmarkEnd w:id="27"/>
      <w:bookmarkEnd w:id="28"/>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29" w:name="_Toc8002"/>
      <w:r>
        <w:rPr>
          <w:rFonts w:ascii="Times New Roman" w:eastAsia="仿宋_GB2312" w:hAnsi="Times New Roman" w:cs="Times New Roman" w:hint="eastAsia"/>
          <w:sz w:val="32"/>
          <w:szCs w:val="32"/>
        </w:rPr>
        <w:t>根据财政政策支出绩效评价指标，我们主要采用了现场评价、送审评价与专项资金自评方式，兼以实地调研和发放问卷调查法等评价方法。</w:t>
      </w:r>
      <w:bookmarkEnd w:id="29"/>
    </w:p>
    <w:p w:rsidR="00166979" w:rsidRDefault="00CD565E">
      <w:pPr>
        <w:adjustRightInd w:val="0"/>
        <w:snapToGrid w:val="0"/>
        <w:spacing w:line="600" w:lineRule="exact"/>
        <w:ind w:firstLineChars="200" w:firstLine="643"/>
        <w:outlineLvl w:val="0"/>
        <w:rPr>
          <w:rFonts w:ascii="黑体" w:eastAsia="黑体" w:hAnsi="黑体" w:cs="黑体"/>
          <w:b/>
          <w:bCs/>
          <w:sz w:val="32"/>
          <w:szCs w:val="32"/>
        </w:rPr>
      </w:pPr>
      <w:bookmarkStart w:id="30" w:name="_Toc13611"/>
      <w:bookmarkStart w:id="31" w:name="_Toc1801932083_WPSOffice_Level1"/>
      <w:r>
        <w:rPr>
          <w:rFonts w:ascii="黑体" w:eastAsia="黑体" w:hAnsi="黑体" w:cs="黑体"/>
          <w:b/>
          <w:bCs/>
          <w:sz w:val="32"/>
          <w:szCs w:val="32"/>
        </w:rPr>
        <w:t>三</w:t>
      </w:r>
      <w:r>
        <w:rPr>
          <w:rFonts w:ascii="黑体" w:eastAsia="黑体" w:hAnsi="黑体" w:cs="黑体" w:hint="eastAsia"/>
          <w:b/>
          <w:bCs/>
          <w:sz w:val="32"/>
          <w:szCs w:val="32"/>
        </w:rPr>
        <w:t>、评价结论及绩效分析</w:t>
      </w:r>
      <w:bookmarkEnd w:id="30"/>
      <w:bookmarkEnd w:id="31"/>
    </w:p>
    <w:p w:rsidR="00166979" w:rsidRDefault="00CD565E" w:rsidP="00411BDD">
      <w:pPr>
        <w:adjustRightInd w:val="0"/>
        <w:snapToGrid w:val="0"/>
        <w:spacing w:line="600" w:lineRule="exact"/>
        <w:ind w:firstLineChars="200" w:firstLine="640"/>
        <w:outlineLvl w:val="1"/>
        <w:rPr>
          <w:rFonts w:ascii="楷体" w:eastAsia="楷体" w:hAnsi="楷体" w:cs="楷体"/>
          <w:b/>
          <w:bCs/>
          <w:sz w:val="32"/>
          <w:szCs w:val="32"/>
        </w:rPr>
      </w:pPr>
      <w:bookmarkStart w:id="32" w:name="_Toc24398"/>
      <w:bookmarkStart w:id="33" w:name="_Toc1529354022_WPSOffice_Level2"/>
      <w:r>
        <w:rPr>
          <w:rFonts w:ascii="楷体" w:eastAsia="楷体" w:hAnsi="楷体" w:cs="楷体" w:hint="eastAsia"/>
          <w:b/>
          <w:bCs/>
          <w:sz w:val="32"/>
          <w:szCs w:val="32"/>
        </w:rPr>
        <w:t>（一）评价结论</w:t>
      </w:r>
      <w:bookmarkEnd w:id="32"/>
      <w:bookmarkEnd w:id="33"/>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4" w:name="_Toc9468"/>
      <w:r>
        <w:rPr>
          <w:rFonts w:ascii="Times New Roman" w:eastAsia="仿宋_GB2312" w:hAnsi="Times New Roman" w:cs="Times New Roman" w:hint="eastAsia"/>
          <w:sz w:val="32"/>
          <w:szCs w:val="32"/>
        </w:rPr>
        <w:t>综上所述，按照设定的评价指标体系，通过对经信局应对疫情支持中小企业渡过难关工业稳增长奖励资金政策在</w:t>
      </w:r>
      <w:r>
        <w:rPr>
          <w:rFonts w:ascii="Times New Roman" w:eastAsia="仿宋_GB2312" w:hAnsi="Times New Roman" w:cs="Times New Roman" w:hint="eastAsia"/>
          <w:sz w:val="32"/>
          <w:szCs w:val="32"/>
        </w:rPr>
        <w:lastRenderedPageBreak/>
        <w:t>政策设计、政策执行和政策绩效进行全面分析评价，“应对疫情支持中小企业渡过难关工业稳增长奖励资金”政策绩效评价得分为</w:t>
      </w:r>
      <w:r>
        <w:rPr>
          <w:rFonts w:ascii="Times New Roman" w:eastAsia="仿宋_GB2312" w:hAnsi="Times New Roman" w:cs="Times New Roman" w:hint="eastAsia"/>
          <w:sz w:val="32"/>
          <w:szCs w:val="32"/>
        </w:rPr>
        <w:t>93.00</w:t>
      </w:r>
      <w:r>
        <w:rPr>
          <w:rFonts w:ascii="Times New Roman" w:eastAsia="仿宋_GB2312" w:hAnsi="Times New Roman" w:cs="Times New Roman" w:hint="eastAsia"/>
          <w:sz w:val="32"/>
          <w:szCs w:val="32"/>
        </w:rPr>
        <w:t>分。详见下表：</w:t>
      </w:r>
      <w:bookmarkEnd w:id="34"/>
    </w:p>
    <w:tbl>
      <w:tblPr>
        <w:tblW w:w="8073" w:type="dxa"/>
        <w:tblLayout w:type="fixed"/>
        <w:tblCellMar>
          <w:left w:w="0" w:type="dxa"/>
          <w:right w:w="0" w:type="dxa"/>
        </w:tblCellMar>
        <w:tblLook w:val="04A0"/>
      </w:tblPr>
      <w:tblGrid>
        <w:gridCol w:w="1903"/>
        <w:gridCol w:w="1780"/>
        <w:gridCol w:w="1370"/>
        <w:gridCol w:w="1700"/>
        <w:gridCol w:w="1320"/>
      </w:tblGrid>
      <w:tr w:rsidR="00166979">
        <w:trPr>
          <w:trHeight w:val="454"/>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一级指标</w:t>
            </w:r>
          </w:p>
        </w:tc>
        <w:tc>
          <w:tcPr>
            <w:tcW w:w="178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二级指标</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分值</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扣分</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
                <w:color w:val="000000"/>
                <w:kern w:val="0"/>
                <w:sz w:val="24"/>
              </w:rPr>
            </w:pPr>
            <w:r>
              <w:rPr>
                <w:rFonts w:ascii="Times New Roman" w:eastAsia="仿宋_GB2312" w:hAnsi="Times New Roman" w:cs="Times New Roman" w:hint="eastAsia"/>
                <w:b/>
                <w:color w:val="000000"/>
                <w:kern w:val="0"/>
                <w:sz w:val="24"/>
              </w:rPr>
              <w:t>得分</w:t>
            </w:r>
          </w:p>
        </w:tc>
      </w:tr>
      <w:tr w:rsidR="00166979">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jc w:val="center"/>
              <w:rPr>
                <w:rFonts w:ascii="宋体" w:eastAsia="宋体" w:hAnsi="宋体" w:cs="宋体"/>
                <w:b/>
                <w:color w:val="000000"/>
                <w:sz w:val="18"/>
                <w:szCs w:val="18"/>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jc w:val="center"/>
              <w:rPr>
                <w:rFonts w:ascii="宋体" w:eastAsia="宋体" w:hAnsi="宋体" w:cs="宋体"/>
                <w:b/>
                <w:color w:val="000000"/>
                <w:sz w:val="18"/>
                <w:szCs w:val="18"/>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jc w:val="center"/>
              <w:rPr>
                <w:rFonts w:ascii="宋体" w:eastAsia="宋体" w:hAnsi="宋体" w:cs="宋体"/>
                <w:b/>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jc w:val="center"/>
              <w:rPr>
                <w:rFonts w:ascii="宋体" w:eastAsia="宋体" w:hAnsi="宋体" w:cs="宋体"/>
                <w:b/>
                <w:color w:val="000000"/>
                <w:sz w:val="18"/>
                <w:szCs w:val="1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jc w:val="center"/>
              <w:rPr>
                <w:rFonts w:ascii="宋体" w:eastAsia="宋体" w:hAnsi="宋体" w:cs="宋体"/>
                <w:b/>
                <w:color w:val="000000"/>
                <w:sz w:val="18"/>
                <w:szCs w:val="18"/>
              </w:rPr>
            </w:pPr>
          </w:p>
        </w:tc>
      </w:tr>
      <w:tr w:rsidR="00166979">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jc w:val="center"/>
              <w:rPr>
                <w:rFonts w:ascii="宋体" w:eastAsia="宋体" w:hAnsi="宋体" w:cs="宋体"/>
                <w:b/>
                <w:color w:val="000000"/>
                <w:sz w:val="18"/>
                <w:szCs w:val="18"/>
              </w:rPr>
            </w:pPr>
          </w:p>
        </w:tc>
        <w:tc>
          <w:tcPr>
            <w:tcW w:w="178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jc w:val="center"/>
              <w:rPr>
                <w:rFonts w:ascii="宋体" w:eastAsia="宋体" w:hAnsi="宋体" w:cs="宋体"/>
                <w:b/>
                <w:color w:val="000000"/>
                <w:sz w:val="18"/>
                <w:szCs w:val="18"/>
              </w:rPr>
            </w:pPr>
          </w:p>
        </w:tc>
        <w:tc>
          <w:tcPr>
            <w:tcW w:w="137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jc w:val="center"/>
              <w:rPr>
                <w:rFonts w:ascii="宋体" w:eastAsia="宋体" w:hAnsi="宋体" w:cs="宋体"/>
                <w:b/>
                <w:color w:val="000000"/>
                <w:sz w:val="18"/>
                <w:szCs w:val="18"/>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jc w:val="center"/>
              <w:rPr>
                <w:rFonts w:ascii="宋体" w:eastAsia="宋体" w:hAnsi="宋体" w:cs="宋体"/>
                <w:b/>
                <w:color w:val="000000"/>
                <w:sz w:val="18"/>
                <w:szCs w:val="18"/>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jc w:val="center"/>
              <w:rPr>
                <w:rFonts w:ascii="宋体" w:eastAsia="宋体" w:hAnsi="宋体" w:cs="宋体"/>
                <w:b/>
                <w:color w:val="000000"/>
                <w:sz w:val="18"/>
                <w:szCs w:val="18"/>
              </w:rPr>
            </w:pPr>
          </w:p>
        </w:tc>
      </w:tr>
      <w:tr w:rsidR="00166979">
        <w:trPr>
          <w:trHeight w:val="454"/>
        </w:trPr>
        <w:tc>
          <w:tcPr>
            <w:tcW w:w="1903"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政策设计</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科学性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5.00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0</w:t>
            </w:r>
            <w:r>
              <w:rPr>
                <w:rFonts w:ascii="Times New Roman" w:eastAsia="宋体" w:hAnsi="Times New Roman" w:cs="Times New Roman"/>
                <w:color w:val="000000"/>
                <w:kern w:val="0"/>
                <w:sz w:val="24"/>
              </w:rPr>
              <w:t xml:space="preserve">.00 </w:t>
            </w:r>
          </w:p>
        </w:tc>
      </w:tr>
      <w:tr w:rsidR="00166979">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166979" w:rsidRDefault="00166979">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相关性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5</w:t>
            </w:r>
            <w:r>
              <w:rPr>
                <w:rFonts w:ascii="Times New Roman" w:eastAsia="宋体" w:hAnsi="Times New Roman" w:cs="Times New Roman"/>
                <w:color w:val="000000"/>
                <w:kern w:val="0"/>
                <w:sz w:val="24"/>
              </w:rPr>
              <w:t xml:space="preserve">.00 </w:t>
            </w:r>
          </w:p>
        </w:tc>
      </w:tr>
      <w:tr w:rsidR="00166979">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166979" w:rsidRDefault="00166979">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合理性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5.00</w:t>
            </w:r>
          </w:p>
        </w:tc>
      </w:tr>
      <w:tr w:rsidR="00166979">
        <w:trPr>
          <w:trHeight w:val="454"/>
        </w:trPr>
        <w:tc>
          <w:tcPr>
            <w:tcW w:w="1903"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公平性</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4.00</w:t>
            </w:r>
          </w:p>
        </w:tc>
      </w:tr>
      <w:tr w:rsidR="00166979">
        <w:trPr>
          <w:trHeight w:val="454"/>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政策执行</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制度建设</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0</w:t>
            </w:r>
            <w:r>
              <w:rPr>
                <w:rFonts w:ascii="Times New Roman" w:eastAsia="宋体" w:hAnsi="Times New Roman" w:cs="Times New Roman"/>
                <w:color w:val="000000"/>
                <w:kern w:val="0"/>
                <w:sz w:val="24"/>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6</w:t>
            </w:r>
            <w:r>
              <w:rPr>
                <w:rFonts w:ascii="Times New Roman" w:eastAsia="宋体" w:hAnsi="Times New Roman" w:cs="Times New Roman"/>
                <w:color w:val="000000"/>
                <w:kern w:val="0"/>
                <w:sz w:val="24"/>
              </w:rPr>
              <w:t xml:space="preserve">.00 </w:t>
            </w:r>
          </w:p>
        </w:tc>
      </w:tr>
      <w:tr w:rsidR="00166979">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政策执行</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18</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color w:val="000000"/>
                <w:kern w:val="0"/>
                <w:sz w:val="24"/>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17.</w:t>
            </w:r>
            <w:r>
              <w:rPr>
                <w:rFonts w:ascii="Times New Roman" w:eastAsia="宋体" w:hAnsi="Times New Roman" w:cs="Times New Roman"/>
                <w:color w:val="000000"/>
                <w:kern w:val="0"/>
                <w:sz w:val="24"/>
              </w:rPr>
              <w:t xml:space="preserve">00 </w:t>
            </w:r>
          </w:p>
        </w:tc>
      </w:tr>
      <w:tr w:rsidR="00166979">
        <w:trPr>
          <w:trHeight w:val="454"/>
        </w:trPr>
        <w:tc>
          <w:tcPr>
            <w:tcW w:w="1903"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政策效率</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0.00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6</w:t>
            </w:r>
            <w:r>
              <w:rPr>
                <w:rFonts w:ascii="Times New Roman" w:eastAsia="宋体" w:hAnsi="Times New Roman" w:cs="Times New Roman"/>
                <w:color w:val="000000"/>
                <w:kern w:val="0"/>
                <w:sz w:val="24"/>
              </w:rPr>
              <w:t xml:space="preserve">.00 </w:t>
            </w:r>
          </w:p>
        </w:tc>
      </w:tr>
      <w:tr w:rsidR="00166979">
        <w:trPr>
          <w:trHeight w:val="454"/>
        </w:trPr>
        <w:tc>
          <w:tcPr>
            <w:tcW w:w="1903" w:type="dxa"/>
            <w:vMerge w:val="restart"/>
            <w:tcBorders>
              <w:top w:val="single" w:sz="4" w:space="0" w:color="000000"/>
              <w:left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政策绩效</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社会效益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0.00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10</w:t>
            </w:r>
            <w:r>
              <w:rPr>
                <w:rFonts w:ascii="Times New Roman" w:eastAsia="宋体" w:hAnsi="Times New Roman" w:cs="Times New Roman"/>
                <w:color w:val="000000"/>
                <w:kern w:val="0"/>
                <w:sz w:val="24"/>
              </w:rPr>
              <w:t xml:space="preserve">.00 </w:t>
            </w:r>
          </w:p>
        </w:tc>
      </w:tr>
      <w:tr w:rsidR="00166979">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166979" w:rsidRDefault="00166979">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经济效益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7</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0</w:t>
            </w:r>
            <w:r>
              <w:rPr>
                <w:rFonts w:ascii="Times New Roman" w:eastAsia="宋体" w:hAnsi="Times New Roman" w:cs="Times New Roman"/>
                <w:color w:val="000000"/>
                <w:kern w:val="0"/>
                <w:sz w:val="24"/>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7</w:t>
            </w:r>
            <w:r>
              <w:rPr>
                <w:rFonts w:ascii="Times New Roman" w:eastAsia="宋体" w:hAnsi="Times New Roman" w:cs="Times New Roman"/>
                <w:color w:val="000000"/>
                <w:kern w:val="0"/>
                <w:sz w:val="24"/>
              </w:rPr>
              <w:t xml:space="preserve">.00 </w:t>
            </w:r>
          </w:p>
        </w:tc>
      </w:tr>
      <w:tr w:rsidR="00166979">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166979" w:rsidRDefault="00166979">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生态效益</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0</w:t>
            </w:r>
            <w:r>
              <w:rPr>
                <w:rFonts w:ascii="Times New Roman" w:eastAsia="宋体" w:hAnsi="Times New Roman" w:cs="Times New Roman"/>
                <w:color w:val="000000"/>
                <w:kern w:val="0"/>
                <w:sz w:val="24"/>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color w:val="000000"/>
                <w:kern w:val="0"/>
                <w:sz w:val="24"/>
              </w:rPr>
              <w:t xml:space="preserve">0.00 </w:t>
            </w:r>
          </w:p>
        </w:tc>
      </w:tr>
      <w:tr w:rsidR="00166979">
        <w:trPr>
          <w:trHeight w:val="454"/>
        </w:trPr>
        <w:tc>
          <w:tcPr>
            <w:tcW w:w="1903" w:type="dxa"/>
            <w:vMerge/>
            <w:tcBorders>
              <w:left w:val="single" w:sz="4" w:space="0" w:color="000000"/>
              <w:right w:val="single" w:sz="4" w:space="0" w:color="000000"/>
            </w:tcBorders>
            <w:shd w:val="clear" w:color="auto" w:fill="auto"/>
            <w:tcMar>
              <w:top w:w="10" w:type="dxa"/>
              <w:left w:w="10" w:type="dxa"/>
              <w:right w:w="10" w:type="dxa"/>
            </w:tcMar>
            <w:vAlign w:val="center"/>
          </w:tcPr>
          <w:p w:rsidR="00166979" w:rsidRDefault="00166979">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可持续影响</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rPr>
              <w:t xml:space="preserve">0.00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rPr>
              <w:t>13</w:t>
            </w:r>
            <w:r>
              <w:rPr>
                <w:rFonts w:ascii="Times New Roman" w:eastAsia="宋体" w:hAnsi="Times New Roman" w:cs="Times New Roman"/>
                <w:color w:val="000000"/>
                <w:kern w:val="0"/>
                <w:sz w:val="24"/>
              </w:rPr>
              <w:t xml:space="preserve">.00 </w:t>
            </w:r>
          </w:p>
        </w:tc>
      </w:tr>
      <w:tr w:rsidR="00166979">
        <w:trPr>
          <w:trHeight w:val="454"/>
        </w:trPr>
        <w:tc>
          <w:tcPr>
            <w:tcW w:w="1903" w:type="dxa"/>
            <w:vMerge/>
            <w:tcBorders>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166979">
            <w:pPr>
              <w:widowControl/>
              <w:jc w:val="center"/>
              <w:textAlignment w:val="center"/>
              <w:rPr>
                <w:rFonts w:ascii="Times New Roman" w:eastAsia="仿宋_GB2312" w:hAnsi="Times New Roman" w:cs="Times New Roman"/>
                <w:bCs/>
                <w:color w:val="000000"/>
                <w:kern w:val="0"/>
                <w:sz w:val="24"/>
              </w:rPr>
            </w:pP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Cs/>
                <w:color w:val="000000"/>
                <w:kern w:val="0"/>
                <w:sz w:val="24"/>
              </w:rPr>
              <w:t>社会满意度</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10.00</w:t>
            </w:r>
          </w:p>
        </w:tc>
      </w:tr>
      <w:tr w:rsidR="00166979">
        <w:trPr>
          <w:trHeight w:val="454"/>
        </w:trPr>
        <w:tc>
          <w:tcPr>
            <w:tcW w:w="3683"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仿宋_GB2312" w:hAnsi="Times New Roman" w:cs="Times New Roman"/>
                <w:bCs/>
                <w:color w:val="000000"/>
                <w:kern w:val="0"/>
                <w:sz w:val="24"/>
              </w:rPr>
            </w:pPr>
            <w:r>
              <w:rPr>
                <w:rFonts w:ascii="Times New Roman" w:eastAsia="仿宋_GB2312" w:hAnsi="Times New Roman" w:cs="Times New Roman" w:hint="eastAsia"/>
                <w:b/>
                <w:color w:val="000000"/>
                <w:kern w:val="0"/>
                <w:sz w:val="24"/>
              </w:rPr>
              <w:t>合计</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b/>
                <w:color w:val="000000"/>
                <w:kern w:val="0"/>
                <w:sz w:val="24"/>
              </w:rPr>
              <w:t>100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hint="eastAsia"/>
                <w:b/>
                <w:color w:val="000000"/>
                <w:kern w:val="0"/>
                <w:sz w:val="24"/>
              </w:rPr>
              <w:t>7</w:t>
            </w:r>
            <w:r>
              <w:rPr>
                <w:rFonts w:ascii="Times New Roman" w:eastAsia="宋体" w:hAnsi="Times New Roman" w:cs="Times New Roman"/>
                <w:b/>
                <w:color w:val="000000"/>
                <w:kern w:val="0"/>
                <w:sz w:val="24"/>
              </w:rPr>
              <w:t xml:space="preserve">.00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66979" w:rsidRDefault="00CD565E">
            <w:pPr>
              <w:widowControl/>
              <w:jc w:val="center"/>
              <w:textAlignment w:val="center"/>
              <w:rPr>
                <w:rFonts w:ascii="Times New Roman" w:eastAsia="宋体" w:hAnsi="Times New Roman" w:cs="Times New Roman"/>
                <w:b/>
                <w:color w:val="000000"/>
                <w:sz w:val="24"/>
              </w:rPr>
            </w:pPr>
            <w:r>
              <w:rPr>
                <w:rFonts w:ascii="Times New Roman" w:eastAsia="宋体" w:hAnsi="Times New Roman" w:cs="Times New Roman" w:hint="eastAsia"/>
                <w:b/>
                <w:color w:val="000000"/>
                <w:kern w:val="0"/>
                <w:sz w:val="24"/>
              </w:rPr>
              <w:t>93</w:t>
            </w:r>
            <w:r>
              <w:rPr>
                <w:rFonts w:ascii="Times New Roman" w:eastAsia="宋体" w:hAnsi="Times New Roman" w:cs="Times New Roman"/>
                <w:b/>
                <w:color w:val="000000"/>
                <w:kern w:val="0"/>
                <w:sz w:val="24"/>
              </w:rPr>
              <w:t xml:space="preserve">.00 </w:t>
            </w:r>
          </w:p>
        </w:tc>
      </w:tr>
    </w:tbl>
    <w:p w:rsidR="00166979" w:rsidRDefault="00CD565E" w:rsidP="00411BDD">
      <w:pPr>
        <w:adjustRightInd w:val="0"/>
        <w:snapToGrid w:val="0"/>
        <w:spacing w:line="600" w:lineRule="exact"/>
        <w:ind w:firstLineChars="200" w:firstLine="640"/>
        <w:outlineLvl w:val="1"/>
        <w:rPr>
          <w:rFonts w:ascii="楷体" w:eastAsia="楷体" w:hAnsi="楷体" w:cs="楷体"/>
          <w:b/>
          <w:bCs/>
          <w:sz w:val="32"/>
          <w:szCs w:val="32"/>
        </w:rPr>
      </w:pPr>
      <w:bookmarkStart w:id="35" w:name="_Toc621276811_WPSOffice_Level2"/>
      <w:bookmarkStart w:id="36" w:name="_Toc12451"/>
      <w:r>
        <w:rPr>
          <w:rFonts w:ascii="楷体" w:eastAsia="楷体" w:hAnsi="楷体" w:cs="楷体" w:hint="eastAsia"/>
          <w:b/>
          <w:bCs/>
          <w:sz w:val="32"/>
          <w:szCs w:val="32"/>
        </w:rPr>
        <w:t>（二）绩效分析</w:t>
      </w:r>
      <w:bookmarkEnd w:id="35"/>
      <w:bookmarkEnd w:id="36"/>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7" w:name="_Toc1249896147_WPSOffice_Level3"/>
      <w:bookmarkStart w:id="38" w:name="_Toc15566"/>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bookmarkEnd w:id="37"/>
      <w:r>
        <w:rPr>
          <w:rFonts w:ascii="Times New Roman" w:eastAsia="仿宋_GB2312" w:hAnsi="Times New Roman" w:cs="Times New Roman" w:hint="eastAsia"/>
          <w:sz w:val="32"/>
          <w:szCs w:val="32"/>
        </w:rPr>
        <w:t>政策设计</w:t>
      </w:r>
      <w:bookmarkEnd w:id="38"/>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39" w:name="_Toc31576"/>
      <w:r>
        <w:rPr>
          <w:rFonts w:ascii="Times New Roman" w:eastAsia="仿宋_GB2312" w:hAnsi="Times New Roman" w:cs="Times New Roman"/>
          <w:sz w:val="32"/>
          <w:szCs w:val="32"/>
        </w:rPr>
        <w:t>一级指标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政策设计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个二级指标分别为：</w:t>
      </w:r>
      <w:r>
        <w:rPr>
          <w:rFonts w:ascii="Times New Roman" w:eastAsia="仿宋_GB2312" w:hAnsi="Times New Roman" w:cs="Times New Roman" w:hint="eastAsia"/>
          <w:sz w:val="32"/>
          <w:szCs w:val="32"/>
        </w:rPr>
        <w:t>科学性、相关性、合理性和公平性</w:t>
      </w:r>
      <w:r>
        <w:rPr>
          <w:rFonts w:ascii="Times New Roman" w:eastAsia="仿宋_GB2312" w:hAnsi="Times New Roman" w:cs="Times New Roman"/>
          <w:sz w:val="32"/>
          <w:szCs w:val="32"/>
        </w:rPr>
        <w:t>。</w:t>
      </w:r>
      <w:bookmarkEnd w:id="39"/>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0" w:name="_Toc1352"/>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）科学性</w:t>
      </w:r>
      <w:bookmarkEnd w:id="40"/>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1" w:name="_Toc2753"/>
      <w:r>
        <w:rPr>
          <w:rFonts w:ascii="Times New Roman" w:eastAsia="仿宋_GB2312" w:hAnsi="Times New Roman" w:cs="Times New Roman" w:hint="eastAsia"/>
          <w:sz w:val="32"/>
          <w:szCs w:val="32"/>
        </w:rPr>
        <w:t>经信局“应对疫情支持中小企业渡过难关工业稳增长奖</w:t>
      </w:r>
      <w:r>
        <w:rPr>
          <w:rFonts w:ascii="Times New Roman" w:eastAsia="仿宋_GB2312" w:hAnsi="Times New Roman" w:cs="Times New Roman" w:hint="eastAsia"/>
          <w:sz w:val="32"/>
          <w:szCs w:val="32"/>
        </w:rPr>
        <w:lastRenderedPageBreak/>
        <w:t>励资金”政策严格按照《巴中市关于应对新冠肺炎疫情支持中小企业渡过难关的八条措施》（巴府发〔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号）、《巴中市经济和信息化局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巴中市财政局关于做好应对新冠肺炎疫情支持中小企业渡过难关八条措施中加大财政资金奖补类项目申报工作的通知》（巴市经信发〔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号）等制度文件执行，但未对该政策制定相应的绩效目标。</w:t>
      </w:r>
      <w:bookmarkEnd w:id="41"/>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2" w:name="_Toc2986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w:t>
      </w:r>
      <w:bookmarkEnd w:id="42"/>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3" w:name="_Toc23422"/>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）相关性</w:t>
      </w:r>
      <w:bookmarkEnd w:id="43"/>
    </w:p>
    <w:p w:rsidR="00166979" w:rsidRDefault="00CD565E">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2"/>
          <w:sz w:val="32"/>
          <w:szCs w:val="32"/>
        </w:rPr>
        <w:t>经信局实施的《巴中市经济和信息化局</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巴中市财政局关于做好应对新冠肺炎疫情支持中小企业渡过难关八条措施中加大财政资金奖补类项目申报工作的通知》（巴市经信发〔</w:t>
      </w:r>
      <w:r>
        <w:rPr>
          <w:rFonts w:ascii="Times New Roman" w:eastAsia="仿宋_GB2312" w:hAnsi="Times New Roman" w:cs="Times New Roman" w:hint="eastAsia"/>
          <w:kern w:val="2"/>
          <w:sz w:val="32"/>
          <w:szCs w:val="32"/>
        </w:rPr>
        <w:t>2020</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26</w:t>
      </w:r>
      <w:r>
        <w:rPr>
          <w:rFonts w:ascii="Times New Roman" w:eastAsia="仿宋_GB2312" w:hAnsi="Times New Roman" w:cs="Times New Roman" w:hint="eastAsia"/>
          <w:kern w:val="2"/>
          <w:sz w:val="32"/>
          <w:szCs w:val="32"/>
        </w:rPr>
        <w:t>号）政策是按照巴中市人民政府办颁发的</w:t>
      </w:r>
      <w:r>
        <w:rPr>
          <w:rFonts w:ascii="Times New Roman" w:eastAsia="仿宋_GB2312" w:hAnsi="Times New Roman" w:cs="Times New Roman" w:hint="eastAsia"/>
          <w:sz w:val="32"/>
          <w:szCs w:val="32"/>
        </w:rPr>
        <w:t>《巴中市关于应对新冠肺炎疫情支持中小企业渡过难关的八条措施》（巴府发〔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号）文件的细化执行文件，且符合四川省人民政府办公厅发布《关于应对新型冠状病毒肺炎疫情缓解中小企业生产经营困难的政策措施》（川办发〔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号）政策要求。</w:t>
      </w:r>
    </w:p>
    <w:p w:rsidR="00166979" w:rsidRDefault="00CD565E">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4" w:name="_Toc16146"/>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）合理性</w:t>
      </w:r>
      <w:bookmarkEnd w:id="44"/>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5" w:name="_Toc31466"/>
      <w:r>
        <w:rPr>
          <w:rFonts w:ascii="Times New Roman" w:eastAsia="仿宋_GB2312" w:hAnsi="Times New Roman" w:cs="Times New Roman"/>
          <w:sz w:val="32"/>
          <w:szCs w:val="32"/>
        </w:rPr>
        <w:t>根据</w:t>
      </w:r>
      <w:r>
        <w:rPr>
          <w:rFonts w:ascii="Times New Roman" w:eastAsia="仿宋_GB2312" w:hAnsi="Times New Roman" w:cs="Times New Roman" w:hint="eastAsia"/>
          <w:sz w:val="32"/>
          <w:szCs w:val="32"/>
        </w:rPr>
        <w:t>《巴中市经济和信息化局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巴中市财政局关于做好应对新冠肺炎疫情支持中小企业渡过难关八条措施中加大</w:t>
      </w:r>
      <w:r>
        <w:rPr>
          <w:rFonts w:ascii="Times New Roman" w:eastAsia="仿宋_GB2312" w:hAnsi="Times New Roman" w:cs="Times New Roman" w:hint="eastAsia"/>
          <w:sz w:val="32"/>
          <w:szCs w:val="32"/>
        </w:rPr>
        <w:lastRenderedPageBreak/>
        <w:t>财政资金奖补类项目申报工作的通知》（巴市经信发〔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号）规定：对</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年一季度产值或投资总量、增速均居前</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位的企业或项目给予</w:t>
      </w:r>
      <w:r>
        <w:rPr>
          <w:rFonts w:ascii="Times New Roman" w:eastAsia="仿宋_GB2312" w:hAnsi="Times New Roman" w:cs="Times New Roman" w:hint="eastAsia"/>
          <w:sz w:val="32"/>
          <w:szCs w:val="32"/>
        </w:rPr>
        <w:t>10-30</w:t>
      </w:r>
      <w:r>
        <w:rPr>
          <w:rFonts w:ascii="Times New Roman" w:eastAsia="仿宋_GB2312" w:hAnsi="Times New Roman" w:cs="Times New Roman" w:hint="eastAsia"/>
          <w:sz w:val="32"/>
          <w:szCs w:val="32"/>
        </w:rPr>
        <w:t>万元资金支持。本政策设定符合目标区域，目标群体需求。</w:t>
      </w:r>
      <w:bookmarkEnd w:id="45"/>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6" w:name="_Toc18136"/>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分。</w:t>
      </w:r>
      <w:bookmarkEnd w:id="46"/>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7" w:name="_Toc2842"/>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）公平性</w:t>
      </w:r>
      <w:bookmarkEnd w:id="47"/>
    </w:p>
    <w:p w:rsidR="00166979" w:rsidRDefault="00CD565E">
      <w:pPr>
        <w:pStyle w:val="a0"/>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经信局</w:t>
      </w:r>
      <w:r>
        <w:rPr>
          <w:rFonts w:ascii="Times New Roman" w:eastAsia="仿宋_GB2312" w:hAnsi="Times New Roman" w:cs="Times New Roman"/>
          <w:sz w:val="32"/>
          <w:szCs w:val="32"/>
        </w:rPr>
        <w:t>根据</w:t>
      </w:r>
      <w:r>
        <w:rPr>
          <w:rFonts w:ascii="Times New Roman" w:eastAsia="仿宋_GB2312" w:hAnsi="Times New Roman" w:cs="Times New Roman" w:hint="eastAsia"/>
          <w:sz w:val="32"/>
          <w:szCs w:val="32"/>
        </w:rPr>
        <w:t>相关要求，在巴中市经济和信息化局官网进行了该政策公开，根据《巴中市经济和信息化局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巴中市财政局关于做好应对新冠肺炎疫情支持中小企业渡过难关八条措施中加大财政资金奖补类项目申报工作的通知》（巴市经信发〔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号），该政策仅针对巴中市</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年一季度产值或投资总量、增速均居全市前</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位的企业或项目进行奖补，确定依据合理性不足。</w:t>
      </w:r>
    </w:p>
    <w:p w:rsidR="00166979" w:rsidRDefault="00CD565E">
      <w:pPr>
        <w:ind w:firstLineChars="200" w:firstLine="640"/>
      </w:pPr>
      <w:r>
        <w:rPr>
          <w:rFonts w:ascii="Times New Roman" w:eastAsia="仿宋_GB2312" w:hAnsi="Times New Roman" w:cs="Times New Roman" w:hint="eastAsia"/>
          <w:sz w:val="32"/>
          <w:szCs w:val="32"/>
        </w:rPr>
        <w:t>该指标为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分</w:t>
      </w:r>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48" w:name="_Toc319507675_WPSOffice_Level3"/>
      <w:bookmarkStart w:id="49" w:name="_Toc4834"/>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bookmarkEnd w:id="48"/>
      <w:r>
        <w:rPr>
          <w:rFonts w:ascii="Times New Roman" w:eastAsia="仿宋_GB2312" w:hAnsi="Times New Roman" w:cs="Times New Roman" w:hint="eastAsia"/>
          <w:sz w:val="32"/>
          <w:szCs w:val="32"/>
        </w:rPr>
        <w:t>政策执行</w:t>
      </w:r>
      <w:bookmarkEnd w:id="49"/>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0" w:name="_Toc22481"/>
      <w:r>
        <w:rPr>
          <w:rFonts w:ascii="Times New Roman" w:eastAsia="仿宋_GB2312" w:hAnsi="Times New Roman" w:cs="Times New Roman"/>
          <w:sz w:val="32"/>
          <w:szCs w:val="32"/>
        </w:rPr>
        <w:t>一级指标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政策执行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制度建设、政策执行和政策效率</w:t>
      </w:r>
      <w:r>
        <w:rPr>
          <w:rFonts w:ascii="Times New Roman" w:eastAsia="仿宋_GB2312" w:hAnsi="Times New Roman" w:cs="Times New Roman"/>
          <w:sz w:val="32"/>
          <w:szCs w:val="32"/>
        </w:rPr>
        <w:t>三个二级指标。</w:t>
      </w:r>
      <w:bookmarkEnd w:id="50"/>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1" w:name="_Toc9823"/>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制度建设</w:t>
      </w:r>
      <w:bookmarkEnd w:id="51"/>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2" w:name="_Toc3089"/>
      <w:r>
        <w:rPr>
          <w:rFonts w:ascii="Times New Roman" w:eastAsia="仿宋_GB2312" w:hAnsi="Times New Roman" w:cs="Times New Roman" w:hint="eastAsia"/>
          <w:sz w:val="32"/>
          <w:szCs w:val="32"/>
        </w:rPr>
        <w:t>经信局除按照《巴中市关于应对新冠肺炎疫情支持中小企业渡过难关的八条措施》（巴府发〔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号）文件，进行工作推进，并与巴中市财政局共同制定了《巴中市经济和信息化局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巴中市财政局关于做好应对新冠肺炎疫情支持</w:t>
      </w:r>
      <w:r>
        <w:rPr>
          <w:rFonts w:ascii="Times New Roman" w:eastAsia="仿宋_GB2312" w:hAnsi="Times New Roman" w:cs="Times New Roman" w:hint="eastAsia"/>
          <w:sz w:val="32"/>
          <w:szCs w:val="32"/>
        </w:rPr>
        <w:lastRenderedPageBreak/>
        <w:t>中小企业渡过难关八条措施中加大财政资金奖补类项目申报工作的通知》（巴市经信发〔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号）包括具体实施程序的执行文件，并按照《巴中市工业和信息化专项资金项目管理办法》（巴市经信发〔</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号）实施资金管理，使得经信局应对疫情支持中小企业渡过难关工业稳增长奖励资金政策能够得到科学有效开展。</w:t>
      </w:r>
      <w:bookmarkEnd w:id="52"/>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3" w:name="_Toc10901"/>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w:t>
      </w:r>
      <w:bookmarkEnd w:id="53"/>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4" w:name="_Toc21809"/>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政策执行</w:t>
      </w:r>
      <w:bookmarkEnd w:id="54"/>
    </w:p>
    <w:p w:rsidR="00166979" w:rsidRDefault="00CD565E">
      <w:pPr>
        <w:pStyle w:val="a0"/>
        <w:spacing w:after="0" w:line="60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sz w:val="32"/>
          <w:szCs w:val="32"/>
        </w:rPr>
        <w:t>经信局应对疫情支持中小企业渡过难关工业稳增长奖励资金政策由经信局安排专门科室专人负责，且根据实际审核结果形成了奖补企业名单。该政策由经信局将收到的财政资金下发到各区县国库支付中心账户，再由各区县经信部门具体发放到单位。经查，经信局收到应对疫情支持中小企业渡过难关工业稳增长奖励财政资金后就根据该政策审核结果及时发放到各区县国库支付中心账户，未有滞后。但经信局对该笔资金未进行专账核算。</w:t>
      </w:r>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5" w:name="_Toc9240"/>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18.00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17.00</w:t>
      </w:r>
      <w:r>
        <w:rPr>
          <w:rFonts w:ascii="Times New Roman" w:eastAsia="仿宋_GB2312" w:hAnsi="Times New Roman" w:cs="Times New Roman" w:hint="eastAsia"/>
          <w:sz w:val="32"/>
          <w:szCs w:val="32"/>
        </w:rPr>
        <w:t>分。</w:t>
      </w:r>
      <w:bookmarkEnd w:id="55"/>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6" w:name="_Toc26526"/>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政策效率</w:t>
      </w:r>
      <w:bookmarkEnd w:id="56"/>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7" w:name="_Toc30476"/>
      <w:r>
        <w:rPr>
          <w:rFonts w:ascii="Times New Roman" w:eastAsia="仿宋_GB2312" w:hAnsi="Times New Roman" w:cs="Times New Roman" w:hint="eastAsia"/>
          <w:sz w:val="32"/>
          <w:szCs w:val="32"/>
        </w:rPr>
        <w:t>经信局政策性应对疫情支持中小企业渡过难关工业稳增长奖励资金项目实施后，缓解了受益对象的资金压力，平稳度过了疫情艰难时期。</w:t>
      </w:r>
      <w:bookmarkEnd w:id="57"/>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8" w:name="_Toc15027"/>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6.00</w:t>
      </w:r>
      <w:r>
        <w:rPr>
          <w:rFonts w:ascii="Times New Roman" w:eastAsia="仿宋_GB2312" w:hAnsi="Times New Roman" w:cs="Times New Roman" w:hint="eastAsia"/>
          <w:sz w:val="32"/>
          <w:szCs w:val="32"/>
        </w:rPr>
        <w:t>分。</w:t>
      </w:r>
      <w:bookmarkEnd w:id="58"/>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59" w:name="_Toc23063"/>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hint="eastAsia"/>
          <w:sz w:val="32"/>
          <w:szCs w:val="32"/>
        </w:rPr>
        <w:t>、政策绩效</w:t>
      </w:r>
      <w:bookmarkEnd w:id="59"/>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0" w:name="_Toc15441"/>
      <w:r>
        <w:rPr>
          <w:rFonts w:ascii="Times New Roman" w:eastAsia="仿宋_GB2312" w:hAnsi="Times New Roman" w:cs="Times New Roman"/>
          <w:sz w:val="32"/>
          <w:szCs w:val="32"/>
        </w:rPr>
        <w:t>一级指标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政策绩效</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下设</w:t>
      </w:r>
      <w:r>
        <w:rPr>
          <w:rFonts w:ascii="Times New Roman" w:eastAsia="仿宋_GB2312" w:hAnsi="Times New Roman" w:cs="Times New Roman" w:hint="eastAsia"/>
          <w:sz w:val="32"/>
          <w:szCs w:val="32"/>
        </w:rPr>
        <w:t>社会效益、经济效益、生态效益、可持续影响和社会满意度五</w:t>
      </w:r>
      <w:r>
        <w:rPr>
          <w:rFonts w:ascii="Times New Roman" w:eastAsia="仿宋_GB2312" w:hAnsi="Times New Roman" w:cs="Times New Roman"/>
          <w:sz w:val="32"/>
          <w:szCs w:val="32"/>
        </w:rPr>
        <w:t>个二级指标。</w:t>
      </w:r>
      <w:bookmarkEnd w:id="60"/>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1" w:name="_Toc5669"/>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）社会效益</w:t>
      </w:r>
      <w:bookmarkEnd w:id="61"/>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2" w:name="_Toc530"/>
      <w:r>
        <w:rPr>
          <w:rFonts w:ascii="Times New Roman" w:eastAsia="仿宋_GB2312" w:hAnsi="Times New Roman" w:cs="Times New Roman"/>
          <w:sz w:val="32"/>
          <w:szCs w:val="32"/>
        </w:rPr>
        <w:t>自</w:t>
      </w:r>
      <w:r>
        <w:rPr>
          <w:rFonts w:ascii="Times New Roman" w:eastAsia="仿宋_GB2312" w:hAnsi="Times New Roman" w:cs="Times New Roman" w:hint="eastAsia"/>
          <w:sz w:val="32"/>
          <w:szCs w:val="32"/>
        </w:rPr>
        <w:t>经信局</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应对疫情支持中小企业渡过难关工业稳增长奖励资金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政策实施至今，</w:t>
      </w:r>
      <w:r>
        <w:rPr>
          <w:rFonts w:ascii="Times New Roman" w:eastAsia="仿宋_GB2312" w:hAnsi="Times New Roman" w:cs="Times New Roman" w:hint="eastAsia"/>
          <w:sz w:val="32"/>
          <w:szCs w:val="32"/>
        </w:rPr>
        <w:t>经信局贯彻落实该政策，积极宣传政策，及时审核并发放奖补资金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该政策的实施缓解了巴中市重点中小企业在疫情期间的资金压力，未出现企业因资金短缺问题造成的经营难以为继的问题，保障了巴中本地经济和社会稳定。</w:t>
      </w:r>
      <w:bookmarkEnd w:id="62"/>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3" w:name="_Toc8509"/>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w:t>
      </w:r>
      <w:bookmarkEnd w:id="63"/>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4" w:name="_Toc27991"/>
      <w:bookmarkStart w:id="65" w:name="_Toc1529354022_WPSOffice_Level3"/>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）经济</w:t>
      </w:r>
      <w:r>
        <w:rPr>
          <w:rFonts w:ascii="Times New Roman" w:eastAsia="仿宋_GB2312" w:hAnsi="Times New Roman" w:cs="Times New Roman"/>
          <w:sz w:val="32"/>
          <w:szCs w:val="32"/>
        </w:rPr>
        <w:t>效益</w:t>
      </w:r>
      <w:bookmarkEnd w:id="64"/>
      <w:bookmarkEnd w:id="65"/>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6" w:name="_Toc21738"/>
      <w:r>
        <w:rPr>
          <w:rFonts w:ascii="Times New Roman" w:eastAsia="仿宋_GB2312" w:hAnsi="Times New Roman" w:cs="Times New Roman" w:hint="eastAsia"/>
          <w:sz w:val="32"/>
          <w:szCs w:val="32"/>
        </w:rPr>
        <w:t>该指标不适用本政策。</w:t>
      </w:r>
      <w:bookmarkEnd w:id="66"/>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7" w:name="_Toc8317"/>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bookmarkEnd w:id="67"/>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8" w:name="_Toc17676"/>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）生态效益</w:t>
      </w:r>
      <w:bookmarkEnd w:id="68"/>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69" w:name="_Toc22267"/>
      <w:r>
        <w:rPr>
          <w:rFonts w:ascii="Times New Roman" w:eastAsia="仿宋_GB2312" w:hAnsi="Times New Roman" w:cs="Times New Roman" w:hint="eastAsia"/>
          <w:sz w:val="32"/>
          <w:szCs w:val="32"/>
        </w:rPr>
        <w:t>该指标不适用本政策。</w:t>
      </w:r>
      <w:bookmarkEnd w:id="69"/>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0" w:name="_Toc8713"/>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分。</w:t>
      </w:r>
      <w:bookmarkEnd w:id="70"/>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1" w:name="_Toc32573"/>
      <w:bookmarkStart w:id="72" w:name="_Toc621276811_WPSOffice_Level3"/>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）可持续影响</w:t>
      </w:r>
      <w:bookmarkEnd w:id="71"/>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3" w:name="_Toc10681"/>
      <w:r>
        <w:rPr>
          <w:rFonts w:ascii="Times New Roman" w:eastAsia="仿宋_GB2312" w:hAnsi="Times New Roman" w:cs="Times New Roman" w:hint="eastAsia"/>
          <w:sz w:val="32"/>
          <w:szCs w:val="32"/>
        </w:rPr>
        <w:t>经信局应对疫情支持中小企业渡过难关工业稳增长奖励资金政策为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年疫情特殊时期制定的针对即时的政策，不涉及持续性事项，且该政策不存在与其他政策分界不清或重复享有政策的现象。</w:t>
      </w:r>
      <w:bookmarkEnd w:id="73"/>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4" w:name="_Toc11373"/>
      <w:r>
        <w:rPr>
          <w:rFonts w:ascii="Times New Roman" w:eastAsia="仿宋_GB2312" w:hAnsi="Times New Roman" w:cs="Times New Roman" w:hint="eastAsia"/>
          <w:sz w:val="32"/>
          <w:szCs w:val="32"/>
        </w:rPr>
        <w:lastRenderedPageBreak/>
        <w:t>指标分为</w:t>
      </w:r>
      <w:r>
        <w:rPr>
          <w:rFonts w:ascii="Times New Roman" w:eastAsia="仿宋_GB2312" w:hAnsi="Times New Roman" w:cs="Times New Roman" w:hint="eastAsia"/>
          <w:sz w:val="32"/>
          <w:szCs w:val="32"/>
        </w:rPr>
        <w:t>13.00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13.00</w:t>
      </w:r>
      <w:r>
        <w:rPr>
          <w:rFonts w:ascii="Times New Roman" w:eastAsia="仿宋_GB2312" w:hAnsi="Times New Roman" w:cs="Times New Roman" w:hint="eastAsia"/>
          <w:sz w:val="32"/>
          <w:szCs w:val="32"/>
        </w:rPr>
        <w:t>分。</w:t>
      </w:r>
      <w:bookmarkEnd w:id="74"/>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5" w:name="_Toc1157"/>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）社会满意度</w:t>
      </w:r>
      <w:bookmarkEnd w:id="72"/>
      <w:bookmarkEnd w:id="75"/>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6" w:name="_Toc26519"/>
      <w:r>
        <w:rPr>
          <w:rFonts w:ascii="Times New Roman" w:eastAsia="仿宋_GB2312" w:hAnsi="Times New Roman" w:cs="Times New Roman" w:hint="eastAsia"/>
          <w:sz w:val="32"/>
          <w:szCs w:val="32"/>
        </w:rPr>
        <w:t>根据绩效考评小组发放《经信局“应对疫情支持中小企业渡过难关工业稳增长奖励资金”政策满意度调查表》对经信局及各区县相关部门的整体工作进行测评，经统计，被调查受益群体满意度达</w:t>
      </w:r>
      <w:r>
        <w:rPr>
          <w:rFonts w:ascii="Times New Roman" w:eastAsia="仿宋_GB2312" w:hAnsi="Times New Roman" w:cs="Times New Roman" w:hint="eastAsia"/>
          <w:sz w:val="32"/>
          <w:szCs w:val="32"/>
        </w:rPr>
        <w:t>100.00%</w:t>
      </w:r>
      <w:r>
        <w:rPr>
          <w:rFonts w:ascii="Times New Roman" w:eastAsia="仿宋_GB2312" w:hAnsi="Times New Roman" w:cs="Times New Roman" w:hint="eastAsia"/>
          <w:sz w:val="32"/>
          <w:szCs w:val="32"/>
        </w:rPr>
        <w:t>。</w:t>
      </w:r>
      <w:bookmarkEnd w:id="76"/>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77" w:name="_Toc6275"/>
      <w:r>
        <w:rPr>
          <w:rFonts w:ascii="Times New Roman" w:eastAsia="仿宋_GB2312" w:hAnsi="Times New Roman" w:cs="Times New Roman" w:hint="eastAsia"/>
          <w:sz w:val="32"/>
          <w:szCs w:val="32"/>
        </w:rPr>
        <w:t>指标分为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分，扣除</w:t>
      </w:r>
      <w:r>
        <w:rPr>
          <w:rFonts w:ascii="Times New Roman" w:eastAsia="仿宋_GB2312" w:hAnsi="Times New Roman" w:cs="Times New Roman" w:hint="eastAsia"/>
          <w:sz w:val="32"/>
          <w:szCs w:val="32"/>
        </w:rPr>
        <w:t>0.00</w:t>
      </w:r>
      <w:r>
        <w:rPr>
          <w:rFonts w:ascii="Times New Roman" w:eastAsia="仿宋_GB2312" w:hAnsi="Times New Roman" w:cs="Times New Roman" w:hint="eastAsia"/>
          <w:sz w:val="32"/>
          <w:szCs w:val="32"/>
        </w:rPr>
        <w:t>分，得分为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分。</w:t>
      </w:r>
      <w:bookmarkEnd w:id="77"/>
    </w:p>
    <w:p w:rsidR="00166979" w:rsidRDefault="00CD565E">
      <w:pPr>
        <w:adjustRightInd w:val="0"/>
        <w:snapToGrid w:val="0"/>
        <w:spacing w:line="600" w:lineRule="exact"/>
        <w:ind w:firstLineChars="200" w:firstLine="643"/>
        <w:outlineLvl w:val="0"/>
        <w:rPr>
          <w:rFonts w:ascii="黑体" w:eastAsia="黑体" w:hAnsi="黑体" w:cs="黑体"/>
          <w:b/>
          <w:bCs/>
          <w:sz w:val="32"/>
          <w:szCs w:val="32"/>
        </w:rPr>
      </w:pPr>
      <w:bookmarkStart w:id="78" w:name="_Toc1258128987_WPSOffice_Level1"/>
      <w:bookmarkStart w:id="79" w:name="_Toc25282"/>
      <w:r>
        <w:rPr>
          <w:rFonts w:ascii="黑体" w:eastAsia="黑体" w:hAnsi="黑体" w:cs="黑体"/>
          <w:b/>
          <w:bCs/>
          <w:sz w:val="32"/>
          <w:szCs w:val="32"/>
        </w:rPr>
        <w:t>四、</w:t>
      </w:r>
      <w:bookmarkEnd w:id="78"/>
      <w:r>
        <w:rPr>
          <w:rFonts w:ascii="黑体" w:eastAsia="黑体" w:hAnsi="黑体" w:cs="黑体" w:hint="eastAsia"/>
          <w:b/>
          <w:bCs/>
          <w:sz w:val="32"/>
          <w:szCs w:val="32"/>
        </w:rPr>
        <w:t>主要绩效</w:t>
      </w:r>
      <w:bookmarkEnd w:id="79"/>
    </w:p>
    <w:p w:rsidR="00166979" w:rsidRDefault="00CD565E">
      <w:pPr>
        <w:adjustRightInd w:val="0"/>
        <w:snapToGrid w:val="0"/>
        <w:spacing w:line="600" w:lineRule="exact"/>
        <w:ind w:firstLineChars="200" w:firstLine="640"/>
        <w:outlineLvl w:val="1"/>
        <w:rPr>
          <w:rFonts w:ascii="Times New Roman" w:eastAsia="仿宋_GB2312" w:hAnsi="Times New Roman" w:cs="Times New Roman"/>
          <w:sz w:val="32"/>
          <w:szCs w:val="32"/>
        </w:rPr>
      </w:pPr>
      <w:bookmarkStart w:id="80" w:name="_Toc27306"/>
      <w:r>
        <w:rPr>
          <w:rFonts w:ascii="Times New Roman" w:eastAsia="仿宋_GB2312" w:hAnsi="Times New Roman" w:cs="Times New Roman" w:hint="eastAsia"/>
          <w:sz w:val="32"/>
          <w:szCs w:val="32"/>
        </w:rPr>
        <w:t>经信局实施“应对疫情支持中小企业渡过难关工业稳增长奖励资金”政策后，有效地帮助巴中市中小企业平稳渡过疫情的艰难时期，该项目实施后，巴中市中小企业未发生因疫情期间资金链紧张导致经营困难的情况。该政策为巴中市经济稳定作出了积极的贡献。</w:t>
      </w:r>
      <w:bookmarkEnd w:id="80"/>
    </w:p>
    <w:p w:rsidR="00166979" w:rsidRDefault="00166979">
      <w:pPr>
        <w:pStyle w:val="a0"/>
      </w:pPr>
      <w:bookmarkStart w:id="81" w:name="_Toc14367_WPSOffice_Level1"/>
      <w:bookmarkStart w:id="82" w:name="_Toc9515_WPSOffice_Level1"/>
      <w:bookmarkStart w:id="83" w:name="_Toc31281_WPSOffice_Level1"/>
      <w:bookmarkStart w:id="84" w:name="_Toc1139_WPSOffice_Level1"/>
      <w:bookmarkStart w:id="85" w:name="_Toc20027_WPSOffice_Level1"/>
    </w:p>
    <w:p w:rsidR="00166979" w:rsidRDefault="00166979">
      <w:pPr>
        <w:pStyle w:val="a0"/>
        <w:rPr>
          <w:rFonts w:ascii="Times New Roman" w:eastAsia="仿宋_GB2312" w:hAnsi="Times New Roman" w:cs="Times New Roman"/>
          <w:sz w:val="32"/>
          <w:szCs w:val="32"/>
        </w:rPr>
      </w:pPr>
    </w:p>
    <w:p w:rsidR="00166979" w:rsidRDefault="00166979">
      <w:pPr>
        <w:snapToGrid w:val="0"/>
        <w:spacing w:line="360" w:lineRule="auto"/>
        <w:rPr>
          <w:rFonts w:ascii="仿宋_GB2312" w:eastAsia="仿宋_GB2312" w:hAnsi="仿宋_GB2312" w:cs="仿宋_GB2312"/>
          <w:b/>
          <w:bCs/>
          <w:sz w:val="32"/>
          <w:szCs w:val="32"/>
        </w:rPr>
      </w:pPr>
      <w:bookmarkStart w:id="86" w:name="_Toc9355_WPSOffice_Level1"/>
      <w:bookmarkStart w:id="87" w:name="_Toc168_WPSOffice_Level1"/>
      <w:bookmarkStart w:id="88" w:name="_Toc11342_WPSOffice_Level1"/>
      <w:bookmarkStart w:id="89" w:name="_Toc9299_WPSOffice_Level1"/>
      <w:bookmarkStart w:id="90" w:name="_Toc18069_WPSOffice_Level1"/>
      <w:bookmarkEnd w:id="81"/>
      <w:bookmarkEnd w:id="82"/>
      <w:bookmarkEnd w:id="83"/>
      <w:bookmarkEnd w:id="84"/>
      <w:bookmarkEnd w:id="85"/>
    </w:p>
    <w:p w:rsidR="00166979" w:rsidRDefault="00CD565E">
      <w:pPr>
        <w:snapToGrid w:val="0"/>
        <w:spacing w:line="360" w:lineRule="auto"/>
        <w:jc w:val="right"/>
        <w:outlineLvl w:val="0"/>
        <w:rPr>
          <w:rFonts w:ascii="仿宋_GB2312" w:eastAsia="仿宋_GB2312" w:hAnsi="仿宋_GB2312" w:cs="仿宋_GB2312"/>
          <w:b/>
          <w:bCs/>
          <w:sz w:val="32"/>
          <w:szCs w:val="32"/>
        </w:rPr>
      </w:pPr>
      <w:bookmarkStart w:id="91" w:name="_Toc14258"/>
      <w:bookmarkEnd w:id="86"/>
      <w:bookmarkEnd w:id="87"/>
      <w:bookmarkEnd w:id="88"/>
      <w:bookmarkEnd w:id="89"/>
      <w:bookmarkEnd w:id="90"/>
      <w:r>
        <w:rPr>
          <w:rFonts w:ascii="仿宋_GB2312" w:eastAsia="仿宋_GB2312" w:hAnsi="仿宋_GB2312" w:cs="仿宋_GB2312" w:hint="eastAsia"/>
          <w:b/>
          <w:bCs/>
          <w:sz w:val="32"/>
          <w:szCs w:val="32"/>
        </w:rPr>
        <w:t>2021年6月18日</w:t>
      </w:r>
      <w:bookmarkEnd w:id="91"/>
    </w:p>
    <w:sectPr w:rsidR="00166979" w:rsidSect="00166979">
      <w:footerReference w:type="default" r:id="rId15"/>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F38" w:rsidRDefault="00C74F38" w:rsidP="00166979">
      <w:r>
        <w:separator/>
      </w:r>
    </w:p>
  </w:endnote>
  <w:endnote w:type="continuationSeparator" w:id="1">
    <w:p w:rsidR="00C74F38" w:rsidRDefault="00C74F38" w:rsidP="00166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DD" w:rsidRDefault="00411B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DD" w:rsidRDefault="00411BD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DD" w:rsidRDefault="00411BD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79" w:rsidRDefault="00CD565E">
    <w:pPr>
      <w:pStyle w:val="a5"/>
    </w:pP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79" w:rsidRDefault="00CC5D4D">
    <w:pPr>
      <w:pStyle w:val="a5"/>
      <w:tabs>
        <w:tab w:val="clear" w:pos="8306"/>
      </w:tabs>
    </w:pPr>
    <w:r>
      <w:pict>
        <v:shapetype id="_x0000_t202" coordsize="21600,21600" o:spt="202" path="m,l,21600r21600,l21600,xe">
          <v:stroke joinstyle="miter"/>
          <v:path gradientshapeok="t" o:connecttype="rect"/>
        </v:shapetype>
        <v:shape id="_x0000_s4105" type="#_x0000_t202" style="position:absolute;margin-left:312pt;margin-top:0;width:2in;height:2in;z-index:251659264;mso-wrap-style:none;mso-position-horizontal:right;mso-position-horizontal-relative:margin" filled="f" stroked="f">
          <v:textbox style="mso-fit-shape-to-text:t" inset="0,0,0,0">
            <w:txbxContent>
              <w:p w:rsidR="00166979" w:rsidRDefault="00CC5D4D">
                <w:pPr>
                  <w:pStyle w:val="a5"/>
                  <w:rPr>
                    <w:sz w:val="28"/>
                    <w:szCs w:val="28"/>
                  </w:rPr>
                </w:pPr>
                <w:r>
                  <w:rPr>
                    <w:rFonts w:hint="eastAsia"/>
                    <w:sz w:val="28"/>
                    <w:szCs w:val="28"/>
                  </w:rPr>
                  <w:fldChar w:fldCharType="begin"/>
                </w:r>
                <w:r w:rsidR="00CD565E">
                  <w:rPr>
                    <w:rFonts w:hint="eastAsia"/>
                    <w:sz w:val="28"/>
                    <w:szCs w:val="28"/>
                  </w:rPr>
                  <w:instrText xml:space="preserve"> PAGE  \* MERGEFORMAT </w:instrText>
                </w:r>
                <w:r>
                  <w:rPr>
                    <w:rFonts w:hint="eastAsia"/>
                    <w:sz w:val="28"/>
                    <w:szCs w:val="28"/>
                  </w:rPr>
                  <w:fldChar w:fldCharType="separate"/>
                </w:r>
                <w:r w:rsidR="003009E3">
                  <w:rPr>
                    <w:noProof/>
                    <w:sz w:val="28"/>
                    <w:szCs w:val="28"/>
                  </w:rPr>
                  <w:t>- 9 -</w:t>
                </w:r>
                <w:r>
                  <w:rPr>
                    <w:rFonts w:hint="eastAsia"/>
                    <w:sz w:val="28"/>
                    <w:szCs w:val="28"/>
                  </w:rPr>
                  <w:fldChar w:fldCharType="end"/>
                </w:r>
              </w:p>
            </w:txbxContent>
          </v:textbox>
          <w10:wrap anchorx="margin"/>
        </v:shape>
      </w:pict>
    </w:r>
    <w:r w:rsidR="00CD565E">
      <w:rPr>
        <w:rFonts w:hint="eastAsia"/>
      </w:rPr>
      <w:tab/>
    </w:r>
    <w:r w:rsidR="00CD565E">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F38" w:rsidRDefault="00C74F38" w:rsidP="00166979">
      <w:r>
        <w:separator/>
      </w:r>
    </w:p>
  </w:footnote>
  <w:footnote w:type="continuationSeparator" w:id="1">
    <w:p w:rsidR="00C74F38" w:rsidRDefault="00C74F38" w:rsidP="001669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DD" w:rsidRDefault="00411BD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79" w:rsidRDefault="00CD565E">
    <w:pPr>
      <w:pStyle w:val="a6"/>
      <w:pBdr>
        <w:bottom w:val="none" w:sz="0" w:space="1" w:color="auto"/>
      </w:pBdr>
      <w:jc w:val="both"/>
      <w:rPr>
        <w:sz w:val="21"/>
        <w:szCs w:val="21"/>
      </w:rPr>
    </w:pPr>
    <w:r>
      <w:rPr>
        <w:rFonts w:eastAsia="宋体" w:hint="eastAsia"/>
        <w:noProof/>
      </w:rPr>
      <w:drawing>
        <wp:inline distT="0" distB="0" distL="114300" distR="114300">
          <wp:extent cx="1305560" cy="356235"/>
          <wp:effectExtent l="0" t="0" r="2540" b="12065"/>
          <wp:docPr id="1" name="图片 1"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磊LOGO"/>
                  <pic:cNvPicPr>
                    <a:picLocks noChangeAspect="1"/>
                  </pic:cNvPicPr>
                </pic:nvPicPr>
                <pic:blipFill>
                  <a:blip r:embed="rId1"/>
                  <a:stretch>
                    <a:fillRect/>
                  </a:stretch>
                </pic:blipFill>
                <pic:spPr>
                  <a:xfrm>
                    <a:off x="0" y="0"/>
                    <a:ext cx="1305560" cy="35623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79" w:rsidRDefault="00CC5D4D">
    <w:pPr>
      <w:pStyle w:val="a6"/>
      <w:pBdr>
        <w:bottom w:val="threeDEngrave" w:sz="18" w:space="1" w:color="auto"/>
      </w:pBdr>
      <w:jc w:val="both"/>
      <w:rPr>
        <w:sz w:val="21"/>
        <w:szCs w:val="21"/>
      </w:rPr>
    </w:pPr>
    <w:r w:rsidRPr="00CC5D4D">
      <w:rPr>
        <w:sz w:val="21"/>
      </w:rPr>
      <w:pict>
        <v:shapetype id="_x0000_t202" coordsize="21600,21600" o:spt="202" path="m,l,21600r21600,l21600,xe">
          <v:stroke joinstyle="miter"/>
          <v:path gradientshapeok="t" o:connecttype="rect"/>
        </v:shapetype>
        <v:shape id="文本框 7" o:spid="_x0000_s4110" type="#_x0000_t202" style="position:absolute;left:0;text-align:left;margin-left:272.35pt;margin-top:-5.55pt;width:151.5pt;height:37.5pt;z-index:251661312"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166979" w:rsidRDefault="00CD565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166979" w:rsidRDefault="00CD565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166979" w:rsidRDefault="00CD565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CC5D4D">
      <w:rPr>
        <w:sz w:val="21"/>
      </w:rPr>
      <w:pict>
        <v:shape id="文本框 6" o:spid="_x0000_s4111" type="#_x0000_t202" style="position:absolute;left:0;text-align:left;margin-left:108pt;margin-top:-14.35pt;width:177pt;height:48pt;z-index:251660288"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166979" w:rsidRDefault="00166979">
                <w:pPr>
                  <w:spacing w:line="200" w:lineRule="exact"/>
                  <w:ind w:firstLine="560"/>
                </w:pPr>
              </w:p>
              <w:p w:rsidR="00166979" w:rsidRDefault="00CD565E">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166979" w:rsidRDefault="00CD565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166979" w:rsidRDefault="00CD565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CD565E">
      <w:rPr>
        <w:rFonts w:hint="eastAsia"/>
        <w:noProof/>
      </w:rPr>
      <w:drawing>
        <wp:inline distT="0" distB="0" distL="114300" distR="114300">
          <wp:extent cx="1356360" cy="370205"/>
          <wp:effectExtent l="0" t="0" r="2540" b="10795"/>
          <wp:docPr id="5"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p w:rsidR="00166979" w:rsidRDefault="00166979">
    <w:pPr>
      <w:pStyle w:val="a6"/>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79" w:rsidRDefault="00CC5D4D">
    <w:pPr>
      <w:pStyle w:val="a6"/>
      <w:pBdr>
        <w:bottom w:val="threeDEngrave" w:sz="18" w:space="1" w:color="auto"/>
      </w:pBdr>
      <w:jc w:val="both"/>
      <w:rPr>
        <w:sz w:val="21"/>
        <w:szCs w:val="21"/>
      </w:rPr>
    </w:pPr>
    <w:r w:rsidRPr="00CC5D4D">
      <w:rPr>
        <w:sz w:val="21"/>
      </w:rPr>
      <w:pict>
        <v:shapetype id="_x0000_t202" coordsize="21600,21600" o:spt="202" path="m,l,21600r21600,l21600,xe">
          <v:stroke joinstyle="miter"/>
          <v:path gradientshapeok="t" o:connecttype="rect"/>
        </v:shapetype>
        <v:shape id="_x0000_s4112" type="#_x0000_t202" style="position:absolute;left:0;text-align:left;margin-left:272.35pt;margin-top:-5.55pt;width:151.5pt;height:37.5pt;z-index:251663360" o:gfxdata="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p&#10;yqO72wAAAAkBAAAPAAAAAAAAAAEAIAAAACIAAABkcnMvZG93bnJldi54bWxQSwECFAAUAAAACACH&#10;TuJAp9swrCECAAAmBAAADgAAAAAAAAABACAAAAAqAQAAZHJzL2Uyb0RvYy54bWxQSwUGAAAAAAYA&#10;BgBZAQAAvQUAAAAA&#10;" filled="f" stroked="f" strokeweight=".5pt">
          <v:textbox>
            <w:txbxContent>
              <w:p w:rsidR="00166979" w:rsidRDefault="00CD565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地址：成都市青羊区日月大道一</w:t>
                </w:r>
              </w:p>
              <w:p w:rsidR="00166979" w:rsidRDefault="00CD565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段</w:t>
                </w:r>
                <w:r>
                  <w:rPr>
                    <w:rFonts w:ascii="Times New Roman" w:eastAsia="宋体" w:hAnsi="Times New Roman" w:cs="Times New Roman"/>
                    <w:sz w:val="20"/>
                    <w:szCs w:val="22"/>
                  </w:rPr>
                  <w:t>1501</w:t>
                </w:r>
                <w:r>
                  <w:rPr>
                    <w:rFonts w:ascii="Times New Roman" w:eastAsia="宋体" w:hAnsi="Times New Roman" w:cs="Times New Roman"/>
                    <w:sz w:val="20"/>
                    <w:szCs w:val="22"/>
                  </w:rPr>
                  <w:t>号</w:t>
                </w:r>
                <w:r>
                  <w:rPr>
                    <w:rFonts w:ascii="Times New Roman" w:eastAsia="宋体" w:hAnsi="Times New Roman" w:cs="Times New Roman"/>
                    <w:sz w:val="20"/>
                    <w:szCs w:val="22"/>
                  </w:rPr>
                  <w:t>1</w:t>
                </w:r>
                <w:r>
                  <w:rPr>
                    <w:rFonts w:ascii="Times New Roman" w:eastAsia="宋体" w:hAnsi="Times New Roman" w:cs="Times New Roman"/>
                    <w:sz w:val="20"/>
                    <w:szCs w:val="22"/>
                  </w:rPr>
                  <w:t>栋</w:t>
                </w:r>
                <w:r>
                  <w:rPr>
                    <w:rFonts w:ascii="Times New Roman" w:eastAsia="宋体" w:hAnsi="Times New Roman" w:cs="Times New Roman"/>
                    <w:sz w:val="20"/>
                    <w:szCs w:val="22"/>
                  </w:rPr>
                  <w:t>9</w:t>
                </w:r>
                <w:r>
                  <w:rPr>
                    <w:rFonts w:ascii="Times New Roman" w:eastAsia="宋体" w:hAnsi="Times New Roman" w:cs="Times New Roman"/>
                    <w:sz w:val="20"/>
                    <w:szCs w:val="22"/>
                  </w:rPr>
                  <w:t>层</w:t>
                </w:r>
                <w:r>
                  <w:rPr>
                    <w:rFonts w:ascii="Times New Roman" w:eastAsia="宋体" w:hAnsi="Times New Roman" w:cs="Times New Roman"/>
                    <w:sz w:val="20"/>
                    <w:szCs w:val="22"/>
                  </w:rPr>
                  <w:t>905-906</w:t>
                </w:r>
                <w:r>
                  <w:rPr>
                    <w:rFonts w:ascii="Times New Roman" w:eastAsia="宋体" w:hAnsi="Times New Roman" w:cs="Times New Roman"/>
                    <w:sz w:val="20"/>
                    <w:szCs w:val="22"/>
                  </w:rPr>
                  <w:t>号</w:t>
                </w:r>
              </w:p>
              <w:p w:rsidR="00166979" w:rsidRDefault="00CD565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联系电话：</w:t>
                </w:r>
                <w:r>
                  <w:rPr>
                    <w:rFonts w:ascii="Times New Roman" w:eastAsia="宋体" w:hAnsi="Times New Roman" w:cs="Times New Roman"/>
                    <w:sz w:val="20"/>
                    <w:szCs w:val="22"/>
                  </w:rPr>
                  <w:t>028-84538662</w:t>
                </w:r>
              </w:p>
            </w:txbxContent>
          </v:textbox>
        </v:shape>
      </w:pict>
    </w:r>
    <w:r w:rsidRPr="00CC5D4D">
      <w:rPr>
        <w:sz w:val="21"/>
      </w:rPr>
      <w:pict>
        <v:shape id="_x0000_s4113" type="#_x0000_t202" style="position:absolute;left:0;text-align:left;margin-left:108pt;margin-top:-14.35pt;width:177pt;height:48pt;z-index:251662336" o:gfxdata="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R3EVjaAAAACQEAAA8AAAAAAAAAAQAgAAAAIgAAAGRycy9kb3ducmV2Lnht&#10;bFBLAQIUABQAAAAIAIdO4kBitwy1MAIAADIEAAAOAAAAAAAAAAEAIAAAACkBAABkcnMvZTJvRG9j&#10;LnhtbFBLBQYAAAAABgAGAFkBAADLBQAAAAA=&#10;" filled="f" stroked="f" strokeweight=".5pt">
          <v:textbox>
            <w:txbxContent>
              <w:p w:rsidR="00166979" w:rsidRDefault="00166979">
                <w:pPr>
                  <w:spacing w:line="200" w:lineRule="exact"/>
                  <w:ind w:firstLine="560"/>
                </w:pPr>
              </w:p>
              <w:p w:rsidR="00166979" w:rsidRDefault="00CD565E">
                <w:pPr>
                  <w:spacing w:line="200" w:lineRule="exact"/>
                  <w:rPr>
                    <w:rFonts w:ascii="Times New Roman" w:eastAsia="宋体" w:hAnsi="Times New Roman" w:cs="Times New Roman"/>
                  </w:rPr>
                </w:pPr>
                <w:r>
                  <w:rPr>
                    <w:rFonts w:ascii="Times New Roman" w:eastAsia="宋体" w:hAnsi="Times New Roman" w:cs="Times New Roman"/>
                    <w:sz w:val="20"/>
                    <w:szCs w:val="22"/>
                  </w:rPr>
                  <w:t>四川中磊会计师事务所有限责任公司</w:t>
                </w:r>
              </w:p>
              <w:p w:rsidR="00166979" w:rsidRDefault="00CD565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 xml:space="preserve">SICHUANZHONGLEI CERTIFIRD </w:t>
                </w:r>
              </w:p>
              <w:p w:rsidR="00166979" w:rsidRDefault="00CD565E">
                <w:pPr>
                  <w:spacing w:line="200" w:lineRule="exact"/>
                  <w:rPr>
                    <w:rFonts w:ascii="Times New Roman" w:eastAsia="宋体" w:hAnsi="Times New Roman" w:cs="Times New Roman"/>
                    <w:sz w:val="20"/>
                    <w:szCs w:val="22"/>
                  </w:rPr>
                </w:pPr>
                <w:r>
                  <w:rPr>
                    <w:rFonts w:ascii="Times New Roman" w:eastAsia="宋体" w:hAnsi="Times New Roman" w:cs="Times New Roman"/>
                    <w:sz w:val="20"/>
                    <w:szCs w:val="22"/>
                  </w:rPr>
                  <w:t>PUBLIC ACCOUNYANTS CO,LTD</w:t>
                </w:r>
              </w:p>
            </w:txbxContent>
          </v:textbox>
        </v:shape>
      </w:pict>
    </w:r>
    <w:r w:rsidR="00CD565E">
      <w:rPr>
        <w:rFonts w:hint="eastAsia"/>
        <w:noProof/>
      </w:rPr>
      <w:drawing>
        <wp:inline distT="0" distB="0" distL="114300" distR="114300">
          <wp:extent cx="1356360" cy="370205"/>
          <wp:effectExtent l="0" t="0" r="2540" b="10795"/>
          <wp:docPr id="6" name="图片 2" descr="中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中磊LOGO"/>
                  <pic:cNvPicPr>
                    <a:picLocks noChangeAspect="1"/>
                  </pic:cNvPicPr>
                </pic:nvPicPr>
                <pic:blipFill>
                  <a:blip r:embed="rId1"/>
                  <a:stretch>
                    <a:fillRect/>
                  </a:stretch>
                </pic:blipFill>
                <pic:spPr>
                  <a:xfrm>
                    <a:off x="0" y="0"/>
                    <a:ext cx="1356360" cy="370205"/>
                  </a:xfrm>
                  <a:prstGeom prst="rect">
                    <a:avLst/>
                  </a:prstGeom>
                  <a:noFill/>
                  <a:ln>
                    <a:noFill/>
                  </a:ln>
                </pic:spPr>
              </pic:pic>
            </a:graphicData>
          </a:graphic>
        </wp:inline>
      </w:drawing>
    </w:r>
  </w:p>
  <w:p w:rsidR="00166979" w:rsidRDefault="00166979">
    <w:pPr>
      <w:pStyle w:val="a6"/>
      <w:pBdr>
        <w:bottom w:val="none" w:sz="0" w:space="1" w:color="auto"/>
      </w:pBdr>
      <w:jc w:val="both"/>
      <w:rPr>
        <w:sz w:val="21"/>
        <w:szCs w:val="2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024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A520C"/>
    <w:rsid w:val="BC316A19"/>
    <w:rsid w:val="DFC44293"/>
    <w:rsid w:val="E35BB087"/>
    <w:rsid w:val="E7D1D147"/>
    <w:rsid w:val="EFBD0A63"/>
    <w:rsid w:val="FA7E1807"/>
    <w:rsid w:val="FE676D4F"/>
    <w:rsid w:val="FED763E6"/>
    <w:rsid w:val="FEE7D089"/>
    <w:rsid w:val="FF76B342"/>
    <w:rsid w:val="FFBDA1AD"/>
    <w:rsid w:val="FFDF3EC8"/>
    <w:rsid w:val="000549B7"/>
    <w:rsid w:val="000C7DF0"/>
    <w:rsid w:val="00125006"/>
    <w:rsid w:val="00127ECA"/>
    <w:rsid w:val="00166979"/>
    <w:rsid w:val="00232A17"/>
    <w:rsid w:val="002656D4"/>
    <w:rsid w:val="002934E7"/>
    <w:rsid w:val="002A605E"/>
    <w:rsid w:val="002D4A16"/>
    <w:rsid w:val="002E5463"/>
    <w:rsid w:val="002E5823"/>
    <w:rsid w:val="003009E3"/>
    <w:rsid w:val="00366F32"/>
    <w:rsid w:val="003944E0"/>
    <w:rsid w:val="003B17E3"/>
    <w:rsid w:val="00407DAB"/>
    <w:rsid w:val="00411BDD"/>
    <w:rsid w:val="0043091E"/>
    <w:rsid w:val="004B75F8"/>
    <w:rsid w:val="004F3EFC"/>
    <w:rsid w:val="004F7BC4"/>
    <w:rsid w:val="00595C55"/>
    <w:rsid w:val="005B796B"/>
    <w:rsid w:val="005E5797"/>
    <w:rsid w:val="00635C60"/>
    <w:rsid w:val="006B4958"/>
    <w:rsid w:val="006F52F7"/>
    <w:rsid w:val="007914BB"/>
    <w:rsid w:val="0079206D"/>
    <w:rsid w:val="007A025A"/>
    <w:rsid w:val="0084191E"/>
    <w:rsid w:val="008A7604"/>
    <w:rsid w:val="008B4CAA"/>
    <w:rsid w:val="008D692F"/>
    <w:rsid w:val="00901286"/>
    <w:rsid w:val="00926836"/>
    <w:rsid w:val="00927726"/>
    <w:rsid w:val="009B46F6"/>
    <w:rsid w:val="009C44FB"/>
    <w:rsid w:val="00A65D15"/>
    <w:rsid w:val="00A66EC5"/>
    <w:rsid w:val="00A879D1"/>
    <w:rsid w:val="00A951F0"/>
    <w:rsid w:val="00B33F20"/>
    <w:rsid w:val="00B870D6"/>
    <w:rsid w:val="00C24754"/>
    <w:rsid w:val="00C27A8A"/>
    <w:rsid w:val="00C74F38"/>
    <w:rsid w:val="00CB5D76"/>
    <w:rsid w:val="00CC5D4D"/>
    <w:rsid w:val="00CD565E"/>
    <w:rsid w:val="00D037BD"/>
    <w:rsid w:val="00D12AEC"/>
    <w:rsid w:val="00D1524D"/>
    <w:rsid w:val="00D21824"/>
    <w:rsid w:val="00D25CAA"/>
    <w:rsid w:val="00D30F8A"/>
    <w:rsid w:val="00DC1F4A"/>
    <w:rsid w:val="00EA520C"/>
    <w:rsid w:val="00EC3A17"/>
    <w:rsid w:val="00F66739"/>
    <w:rsid w:val="00FA0108"/>
    <w:rsid w:val="00FC09C9"/>
    <w:rsid w:val="00FF4F70"/>
    <w:rsid w:val="013822B6"/>
    <w:rsid w:val="01E111DF"/>
    <w:rsid w:val="01F9036F"/>
    <w:rsid w:val="02EF056D"/>
    <w:rsid w:val="039C3335"/>
    <w:rsid w:val="06331BB1"/>
    <w:rsid w:val="072D3CE2"/>
    <w:rsid w:val="07BF31B5"/>
    <w:rsid w:val="07E72222"/>
    <w:rsid w:val="09A5334F"/>
    <w:rsid w:val="09E71FEF"/>
    <w:rsid w:val="0A3928AE"/>
    <w:rsid w:val="0B600AB1"/>
    <w:rsid w:val="0B711049"/>
    <w:rsid w:val="0BD13F1E"/>
    <w:rsid w:val="0C65569E"/>
    <w:rsid w:val="0D677E52"/>
    <w:rsid w:val="0DFD3050"/>
    <w:rsid w:val="0FB9257F"/>
    <w:rsid w:val="0FEA384C"/>
    <w:rsid w:val="0FF8568B"/>
    <w:rsid w:val="0FFC76FB"/>
    <w:rsid w:val="100C4F81"/>
    <w:rsid w:val="11B33F8C"/>
    <w:rsid w:val="11BE0D32"/>
    <w:rsid w:val="12DD4DBA"/>
    <w:rsid w:val="138B32B2"/>
    <w:rsid w:val="13CC36CE"/>
    <w:rsid w:val="17627063"/>
    <w:rsid w:val="1A6E4074"/>
    <w:rsid w:val="1A6E7EB6"/>
    <w:rsid w:val="1A901431"/>
    <w:rsid w:val="1AEE0FF3"/>
    <w:rsid w:val="1AFD34F1"/>
    <w:rsid w:val="1C716C52"/>
    <w:rsid w:val="1CAA692F"/>
    <w:rsid w:val="1CED245F"/>
    <w:rsid w:val="1D4D263D"/>
    <w:rsid w:val="1DA65749"/>
    <w:rsid w:val="1DE76849"/>
    <w:rsid w:val="1DF7A548"/>
    <w:rsid w:val="1E653DC1"/>
    <w:rsid w:val="1EE92EAD"/>
    <w:rsid w:val="1F5B78BB"/>
    <w:rsid w:val="1FD70F8C"/>
    <w:rsid w:val="20044F72"/>
    <w:rsid w:val="203D1E8A"/>
    <w:rsid w:val="21A07590"/>
    <w:rsid w:val="2A7B7B57"/>
    <w:rsid w:val="2C4C3C6B"/>
    <w:rsid w:val="2E3120C2"/>
    <w:rsid w:val="2EA37F17"/>
    <w:rsid w:val="2EEE48AD"/>
    <w:rsid w:val="2EF57293"/>
    <w:rsid w:val="2F011CA3"/>
    <w:rsid w:val="30D34CDD"/>
    <w:rsid w:val="324D19F8"/>
    <w:rsid w:val="33D44C52"/>
    <w:rsid w:val="34043371"/>
    <w:rsid w:val="340A398B"/>
    <w:rsid w:val="34FA09EE"/>
    <w:rsid w:val="36B10CC7"/>
    <w:rsid w:val="36BC0C36"/>
    <w:rsid w:val="36EE420B"/>
    <w:rsid w:val="3718594A"/>
    <w:rsid w:val="37840B35"/>
    <w:rsid w:val="37D47E7A"/>
    <w:rsid w:val="387C07BD"/>
    <w:rsid w:val="388E4848"/>
    <w:rsid w:val="389F0230"/>
    <w:rsid w:val="39646404"/>
    <w:rsid w:val="3D97075D"/>
    <w:rsid w:val="3E132607"/>
    <w:rsid w:val="3E1F2D78"/>
    <w:rsid w:val="3FC62149"/>
    <w:rsid w:val="3FFFAA99"/>
    <w:rsid w:val="4012619D"/>
    <w:rsid w:val="403028D0"/>
    <w:rsid w:val="40FF3B15"/>
    <w:rsid w:val="42A21F85"/>
    <w:rsid w:val="43742028"/>
    <w:rsid w:val="43B74E73"/>
    <w:rsid w:val="43C25FC0"/>
    <w:rsid w:val="441C0032"/>
    <w:rsid w:val="446B3F7A"/>
    <w:rsid w:val="44B67F51"/>
    <w:rsid w:val="44F34FCA"/>
    <w:rsid w:val="466F72C6"/>
    <w:rsid w:val="47092E9B"/>
    <w:rsid w:val="48943BC3"/>
    <w:rsid w:val="4A237486"/>
    <w:rsid w:val="4B0F3180"/>
    <w:rsid w:val="4B23487E"/>
    <w:rsid w:val="4BD8329C"/>
    <w:rsid w:val="4D29488A"/>
    <w:rsid w:val="4D5E6D11"/>
    <w:rsid w:val="4D882DB4"/>
    <w:rsid w:val="4DA665E7"/>
    <w:rsid w:val="4EFD6EA4"/>
    <w:rsid w:val="4F3AB6FE"/>
    <w:rsid w:val="4F601EB4"/>
    <w:rsid w:val="4FCD5216"/>
    <w:rsid w:val="500B3B63"/>
    <w:rsid w:val="514421BA"/>
    <w:rsid w:val="51F75360"/>
    <w:rsid w:val="532D51BD"/>
    <w:rsid w:val="546A4AF3"/>
    <w:rsid w:val="547A4471"/>
    <w:rsid w:val="54CB7347"/>
    <w:rsid w:val="5577021E"/>
    <w:rsid w:val="55A34A3E"/>
    <w:rsid w:val="55C863E1"/>
    <w:rsid w:val="55FA023D"/>
    <w:rsid w:val="5643566B"/>
    <w:rsid w:val="57495487"/>
    <w:rsid w:val="579364B4"/>
    <w:rsid w:val="59745A6B"/>
    <w:rsid w:val="5A9F2AB0"/>
    <w:rsid w:val="5B477EC2"/>
    <w:rsid w:val="5B5A6C89"/>
    <w:rsid w:val="5C9F5D60"/>
    <w:rsid w:val="5D177BE4"/>
    <w:rsid w:val="5D8875BB"/>
    <w:rsid w:val="5DCC2CB2"/>
    <w:rsid w:val="5ECDC3E9"/>
    <w:rsid w:val="5FD63648"/>
    <w:rsid w:val="608B6579"/>
    <w:rsid w:val="60CA77C4"/>
    <w:rsid w:val="619D23A0"/>
    <w:rsid w:val="61C44CD5"/>
    <w:rsid w:val="63421D1A"/>
    <w:rsid w:val="634E19C6"/>
    <w:rsid w:val="639E036D"/>
    <w:rsid w:val="64552BA9"/>
    <w:rsid w:val="64B35454"/>
    <w:rsid w:val="64EA7761"/>
    <w:rsid w:val="66707DBF"/>
    <w:rsid w:val="66B77A8B"/>
    <w:rsid w:val="66D87BD0"/>
    <w:rsid w:val="675F14FC"/>
    <w:rsid w:val="67DF755A"/>
    <w:rsid w:val="67EF0D39"/>
    <w:rsid w:val="6851157D"/>
    <w:rsid w:val="69203764"/>
    <w:rsid w:val="69825343"/>
    <w:rsid w:val="699FBA45"/>
    <w:rsid w:val="69B51329"/>
    <w:rsid w:val="6A34308C"/>
    <w:rsid w:val="6A724258"/>
    <w:rsid w:val="6AE91DDD"/>
    <w:rsid w:val="6AFC41D5"/>
    <w:rsid w:val="6BEA1F22"/>
    <w:rsid w:val="6BFC2534"/>
    <w:rsid w:val="6C251961"/>
    <w:rsid w:val="6C7E2063"/>
    <w:rsid w:val="6CC6554A"/>
    <w:rsid w:val="6D061D8A"/>
    <w:rsid w:val="6D1F5C40"/>
    <w:rsid w:val="6D9A40C4"/>
    <w:rsid w:val="6E726132"/>
    <w:rsid w:val="6EDFCD7E"/>
    <w:rsid w:val="6F335C5F"/>
    <w:rsid w:val="705D6CE6"/>
    <w:rsid w:val="70AC6743"/>
    <w:rsid w:val="70F60C90"/>
    <w:rsid w:val="715F59A3"/>
    <w:rsid w:val="72AD1D85"/>
    <w:rsid w:val="73177498"/>
    <w:rsid w:val="737FB331"/>
    <w:rsid w:val="739A3F09"/>
    <w:rsid w:val="73CB44CB"/>
    <w:rsid w:val="73FB0C15"/>
    <w:rsid w:val="74061334"/>
    <w:rsid w:val="744D15BD"/>
    <w:rsid w:val="74DA1A0D"/>
    <w:rsid w:val="74F21698"/>
    <w:rsid w:val="757791C8"/>
    <w:rsid w:val="765B128C"/>
    <w:rsid w:val="77564595"/>
    <w:rsid w:val="77632581"/>
    <w:rsid w:val="7774528A"/>
    <w:rsid w:val="77F119BF"/>
    <w:rsid w:val="77FAA19C"/>
    <w:rsid w:val="782E4775"/>
    <w:rsid w:val="78710079"/>
    <w:rsid w:val="79F012F9"/>
    <w:rsid w:val="7B0C6564"/>
    <w:rsid w:val="7BAE151B"/>
    <w:rsid w:val="7BDE2C3E"/>
    <w:rsid w:val="7CE33624"/>
    <w:rsid w:val="7F83151B"/>
    <w:rsid w:val="7FED276F"/>
    <w:rsid w:val="AEFB33B1"/>
    <w:rsid w:val="AF65F4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semiHidden="0" w:uiPriority="1" w:qFormat="1"/>
    <w:lsdException w:name="Body Text" w:semiHidden="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6979"/>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rsid w:val="00166979"/>
    <w:pPr>
      <w:spacing w:after="120"/>
    </w:pPr>
    <w:rPr>
      <w:rFonts w:ascii="Calibri" w:hAnsi="Calibri"/>
      <w:kern w:val="0"/>
      <w:sz w:val="20"/>
      <w:szCs w:val="20"/>
    </w:rPr>
  </w:style>
  <w:style w:type="paragraph" w:styleId="a4">
    <w:name w:val="annotation text"/>
    <w:basedOn w:val="a"/>
    <w:semiHidden/>
    <w:unhideWhenUsed/>
    <w:qFormat/>
    <w:rsid w:val="00166979"/>
    <w:pPr>
      <w:jc w:val="left"/>
    </w:pPr>
  </w:style>
  <w:style w:type="paragraph" w:styleId="a5">
    <w:name w:val="footer"/>
    <w:basedOn w:val="a"/>
    <w:link w:val="Char"/>
    <w:qFormat/>
    <w:rsid w:val="00166979"/>
    <w:pPr>
      <w:tabs>
        <w:tab w:val="center" w:pos="4153"/>
        <w:tab w:val="right" w:pos="8306"/>
      </w:tabs>
      <w:snapToGrid w:val="0"/>
      <w:jc w:val="left"/>
    </w:pPr>
    <w:rPr>
      <w:sz w:val="18"/>
      <w:szCs w:val="18"/>
    </w:rPr>
  </w:style>
  <w:style w:type="paragraph" w:styleId="a6">
    <w:name w:val="header"/>
    <w:basedOn w:val="a"/>
    <w:link w:val="Char0"/>
    <w:qFormat/>
    <w:rsid w:val="0016697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166979"/>
    <w:pPr>
      <w:jc w:val="left"/>
    </w:pPr>
    <w:rPr>
      <w:kern w:val="0"/>
      <w:sz w:val="24"/>
    </w:rPr>
  </w:style>
  <w:style w:type="character" w:customStyle="1" w:styleId="Char0">
    <w:name w:val="页眉 Char"/>
    <w:basedOn w:val="a1"/>
    <w:link w:val="a6"/>
    <w:qFormat/>
    <w:rsid w:val="00166979"/>
    <w:rPr>
      <w:rFonts w:asciiTheme="minorHAnsi" w:eastAsiaTheme="minorEastAsia" w:hAnsiTheme="minorHAnsi" w:cstheme="minorBidi"/>
      <w:kern w:val="2"/>
      <w:sz w:val="18"/>
      <w:szCs w:val="18"/>
    </w:rPr>
  </w:style>
  <w:style w:type="character" w:customStyle="1" w:styleId="Char">
    <w:name w:val="页脚 Char"/>
    <w:basedOn w:val="a1"/>
    <w:link w:val="a5"/>
    <w:qFormat/>
    <w:rsid w:val="00166979"/>
    <w:rPr>
      <w:rFonts w:asciiTheme="minorHAnsi" w:eastAsiaTheme="minorEastAsia" w:hAnsiTheme="minorHAnsi" w:cstheme="minorBidi"/>
      <w:kern w:val="2"/>
      <w:sz w:val="18"/>
      <w:szCs w:val="18"/>
    </w:rPr>
  </w:style>
  <w:style w:type="paragraph" w:customStyle="1" w:styleId="WPSOffice1">
    <w:name w:val="WPSOffice手动目录 1"/>
    <w:qFormat/>
    <w:rsid w:val="00166979"/>
    <w:rPr>
      <w:rFonts w:asciiTheme="minorHAnsi" w:eastAsiaTheme="minorEastAsia" w:hAnsiTheme="minorHAnsi" w:cstheme="minorBidi"/>
      <w:sz w:val="21"/>
      <w:szCs w:val="22"/>
    </w:rPr>
  </w:style>
  <w:style w:type="paragraph" w:customStyle="1" w:styleId="WPSOffice2">
    <w:name w:val="WPSOffice手动目录 2"/>
    <w:qFormat/>
    <w:rsid w:val="00166979"/>
    <w:pPr>
      <w:ind w:leftChars="200" w:left="200"/>
    </w:pPr>
    <w:rPr>
      <w:rFonts w:asciiTheme="minorHAnsi" w:eastAsiaTheme="minorEastAsia" w:hAnsiTheme="minorHAnsi" w:cstheme="minorBidi"/>
      <w:sz w:val="21"/>
      <w:szCs w:val="22"/>
    </w:rPr>
  </w:style>
  <w:style w:type="paragraph" w:customStyle="1" w:styleId="WPSOffice3">
    <w:name w:val="WPSOffice手动目录 3"/>
    <w:qFormat/>
    <w:rsid w:val="00166979"/>
    <w:pPr>
      <w:ind w:leftChars="400" w:left="400"/>
    </w:pPr>
  </w:style>
  <w:style w:type="paragraph" w:styleId="a8">
    <w:name w:val="List Paragraph"/>
    <w:basedOn w:val="a"/>
    <w:uiPriority w:val="99"/>
    <w:unhideWhenUsed/>
    <w:qFormat/>
    <w:rsid w:val="00166979"/>
    <w:pPr>
      <w:ind w:firstLineChars="200" w:firstLine="420"/>
    </w:pPr>
  </w:style>
  <w:style w:type="paragraph" w:styleId="a9">
    <w:name w:val="Balloon Text"/>
    <w:basedOn w:val="a"/>
    <w:link w:val="Char1"/>
    <w:rsid w:val="00411BDD"/>
    <w:rPr>
      <w:sz w:val="18"/>
      <w:szCs w:val="18"/>
    </w:rPr>
  </w:style>
  <w:style w:type="character" w:customStyle="1" w:styleId="Char1">
    <w:name w:val="批注框文本 Char"/>
    <w:basedOn w:val="a1"/>
    <w:link w:val="a9"/>
    <w:rsid w:val="00411BD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10"/>
    <customShpInfo spid="_x0000_s4111"/>
    <customShpInfo spid="_x0000_s4112"/>
    <customShpInfo spid="_x0000_s4113"/>
    <customShpInfo spid="_x0000_s410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933</Words>
  <Characters>5321</Characters>
  <Application>Microsoft Office Word</Application>
  <DocSecurity>0</DocSecurity>
  <Lines>44</Lines>
  <Paragraphs>12</Paragraphs>
  <ScaleCrop>false</ScaleCrop>
  <Company>微软中国</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伍松</cp:lastModifiedBy>
  <cp:revision>19</cp:revision>
  <cp:lastPrinted>2020-01-13T08:35:00Z</cp:lastPrinted>
  <dcterms:created xsi:type="dcterms:W3CDTF">2019-09-25T06:16:00Z</dcterms:created>
  <dcterms:modified xsi:type="dcterms:W3CDTF">2022-07-27T07:54:00Z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D7826A7CDAAF4BA9A3D4D1A42E70712C</vt:lpwstr>
  </property>
</Properties>
</file>