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D0" w:rsidRDefault="00C91ED0">
      <w:pPr>
        <w:spacing w:line="600" w:lineRule="exact"/>
        <w:jc w:val="center"/>
        <w:outlineLvl w:val="0"/>
        <w:rPr>
          <w:rFonts w:ascii="方正小标宋简体" w:eastAsia="方正小标宋简体" w:hAnsi="宋体"/>
          <w:color w:val="000000"/>
          <w:sz w:val="72"/>
          <w:szCs w:val="72"/>
        </w:rPr>
      </w:pPr>
      <w:bookmarkStart w:id="0" w:name="_Toc15306267"/>
    </w:p>
    <w:p w:rsidR="00C91ED0" w:rsidRDefault="00C91ED0">
      <w:pPr>
        <w:spacing w:line="600" w:lineRule="exact"/>
        <w:jc w:val="center"/>
        <w:outlineLvl w:val="0"/>
        <w:rPr>
          <w:rFonts w:ascii="方正小标宋简体" w:eastAsia="方正小标宋简体" w:hAnsi="宋体"/>
          <w:color w:val="000000"/>
          <w:sz w:val="72"/>
          <w:szCs w:val="72"/>
        </w:rPr>
      </w:pPr>
    </w:p>
    <w:p w:rsidR="00C91ED0" w:rsidRDefault="00C91ED0">
      <w:pPr>
        <w:spacing w:line="600" w:lineRule="exact"/>
        <w:jc w:val="center"/>
        <w:outlineLvl w:val="0"/>
        <w:rPr>
          <w:rFonts w:ascii="方正小标宋简体" w:eastAsia="方正小标宋简体" w:hAnsi="宋体"/>
          <w:color w:val="000000"/>
          <w:sz w:val="72"/>
          <w:szCs w:val="72"/>
        </w:rPr>
      </w:pPr>
    </w:p>
    <w:p w:rsidR="00C91ED0" w:rsidRDefault="00C91ED0">
      <w:pPr>
        <w:spacing w:line="600" w:lineRule="exact"/>
        <w:jc w:val="center"/>
        <w:outlineLvl w:val="0"/>
        <w:rPr>
          <w:rFonts w:ascii="方正小标宋简体" w:eastAsia="方正小标宋简体" w:hAnsi="宋体"/>
          <w:color w:val="000000"/>
          <w:sz w:val="72"/>
          <w:szCs w:val="72"/>
        </w:rPr>
      </w:pPr>
    </w:p>
    <w:p w:rsidR="00C91ED0" w:rsidRDefault="001C5ABB">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425"/>
      <w:bookmarkStart w:id="2" w:name="_Toc15378441"/>
      <w:bookmarkStart w:id="3" w:name="_Toc15396597"/>
      <w:bookmarkStart w:id="4" w:name="_Toc15377193"/>
      <w:bookmarkStart w:id="5" w:name="_Toc15396475"/>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C91ED0" w:rsidRDefault="001C5ABB">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476"/>
      <w:bookmarkStart w:id="7" w:name="_Toc15396598"/>
      <w:bookmarkStart w:id="8" w:name="_Toc15378442"/>
      <w:bookmarkStart w:id="9" w:name="_Toc15377426"/>
      <w:bookmarkStart w:id="10" w:name="_Toc15377194"/>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巴中市政务服务和公共资源交易服务中心</w:t>
      </w:r>
    </w:p>
    <w:p w:rsidR="00C91ED0" w:rsidRDefault="001C5ABB">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C91ED0" w:rsidRDefault="001C5ABB">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CD363E">
        <w:rPr>
          <w:rFonts w:ascii="方正小标宋简体" w:eastAsia="方正小标宋简体" w:hAnsi="宋体" w:hint="eastAsia"/>
          <w:color w:val="000000"/>
          <w:sz w:val="36"/>
          <w:szCs w:val="36"/>
        </w:rPr>
        <w:lastRenderedPageBreak/>
        <w:t xml:space="preserve"> </w:t>
      </w:r>
      <w:r>
        <w:rPr>
          <w:rFonts w:ascii="黑体" w:eastAsia="黑体" w:hAnsi="黑体" w:hint="eastAsia"/>
          <w:color w:val="000000"/>
          <w:sz w:val="48"/>
          <w:szCs w:val="48"/>
        </w:rPr>
        <w:t>目录</w:t>
      </w:r>
    </w:p>
    <w:p w:rsidR="00C91ED0" w:rsidRDefault="00C91ED0">
      <w:pPr>
        <w:widowControl/>
        <w:jc w:val="center"/>
        <w:rPr>
          <w:rFonts w:ascii="黑体" w:eastAsia="黑体" w:hAnsi="黑体" w:cstheme="minorBidi"/>
          <w:sz w:val="28"/>
          <w:szCs w:val="28"/>
        </w:rPr>
      </w:pPr>
    </w:p>
    <w:p w:rsidR="00C91ED0" w:rsidRDefault="001C5ABB">
      <w:pPr>
        <w:pStyle w:val="10"/>
      </w:pPr>
      <w:r>
        <w:rPr>
          <w:rFonts w:hint="eastAsia"/>
        </w:rPr>
        <w:t>公开时间：2020年9月3日</w:t>
      </w:r>
    </w:p>
    <w:p w:rsidR="00C91ED0" w:rsidRDefault="00C91ED0"/>
    <w:p w:rsidR="00C91ED0" w:rsidRDefault="001C5ABB">
      <w:pPr>
        <w:pStyle w:val="10"/>
        <w:adjustRightInd w:val="0"/>
        <w:snapToGrid w:val="0"/>
        <w:spacing w:before="0" w:line="440" w:lineRule="exact"/>
        <w:jc w:val="left"/>
        <w:rPr>
          <w:rFonts w:cstheme="minorBidi"/>
          <w:sz w:val="24"/>
          <w:szCs w:val="24"/>
        </w:rPr>
      </w:pPr>
      <w:r>
        <w:rPr>
          <w:rFonts w:hint="eastAsia"/>
          <w:sz w:val="24"/>
        </w:rPr>
        <w:t>第一部分部门概况</w:t>
      </w:r>
      <w:r>
        <w:rPr>
          <w:sz w:val="24"/>
        </w:rPr>
        <w:tab/>
      </w:r>
      <w:r w:rsidR="00880370">
        <w:rPr>
          <w:rFonts w:hint="eastAsia"/>
          <w:sz w:val="24"/>
        </w:rPr>
        <w:t>1</w:t>
      </w:r>
    </w:p>
    <w:p w:rsidR="00C91ED0" w:rsidRDefault="001C5ABB">
      <w:pPr>
        <w:pStyle w:val="20"/>
        <w:adjustRightInd w:val="0"/>
        <w:snapToGrid w:val="0"/>
        <w:spacing w:line="440" w:lineRule="exact"/>
        <w:jc w:val="left"/>
        <w:rPr>
          <w:rFonts w:ascii="仿宋" w:eastAsia="仿宋" w:hAnsi="仿宋"/>
          <w:sz w:val="24"/>
        </w:rPr>
      </w:pPr>
      <w:r>
        <w:rPr>
          <w:rFonts w:hint="eastAsia"/>
          <w:sz w:val="24"/>
        </w:rPr>
        <w:t>一、基本职能及主要工作</w:t>
      </w:r>
      <w:r>
        <w:rPr>
          <w:sz w:val="24"/>
        </w:rPr>
        <w:tab/>
      </w:r>
      <w:r w:rsidR="00880370">
        <w:rPr>
          <w:rFonts w:hint="eastAsia"/>
          <w:sz w:val="24"/>
        </w:rPr>
        <w:t>1</w:t>
      </w:r>
    </w:p>
    <w:p w:rsidR="00C91ED0" w:rsidRDefault="001C5ABB">
      <w:pPr>
        <w:pStyle w:val="20"/>
        <w:adjustRightInd w:val="0"/>
        <w:snapToGrid w:val="0"/>
        <w:spacing w:line="440" w:lineRule="exact"/>
        <w:jc w:val="left"/>
        <w:rPr>
          <w:rFonts w:ascii="仿宋" w:eastAsia="仿宋" w:hAnsi="仿宋" w:cstheme="minorBidi"/>
          <w:sz w:val="24"/>
        </w:rPr>
      </w:pPr>
      <w:r>
        <w:rPr>
          <w:rFonts w:hint="eastAsia"/>
          <w:sz w:val="24"/>
        </w:rPr>
        <w:t>二、机构设置</w:t>
      </w:r>
      <w:r>
        <w:rPr>
          <w:sz w:val="24"/>
        </w:rPr>
        <w:tab/>
      </w:r>
      <w:r w:rsidR="00880370">
        <w:rPr>
          <w:rFonts w:hint="eastAsia"/>
          <w:sz w:val="24"/>
        </w:rPr>
        <w:t>8</w:t>
      </w:r>
    </w:p>
    <w:p w:rsidR="00C91ED0" w:rsidRDefault="001C5ABB">
      <w:pPr>
        <w:pStyle w:val="10"/>
        <w:adjustRightInd w:val="0"/>
        <w:snapToGrid w:val="0"/>
        <w:spacing w:before="0" w:line="440" w:lineRule="exact"/>
        <w:jc w:val="left"/>
        <w:rPr>
          <w:sz w:val="24"/>
          <w:szCs w:val="24"/>
        </w:rPr>
      </w:pPr>
      <w:r>
        <w:rPr>
          <w:rFonts w:hint="eastAsia"/>
          <w:sz w:val="24"/>
        </w:rPr>
        <w:t>第二部分度部门决算情况说明</w:t>
      </w:r>
      <w:r>
        <w:rPr>
          <w:sz w:val="24"/>
        </w:rPr>
        <w:tab/>
      </w:r>
      <w:r w:rsidR="00880370">
        <w:rPr>
          <w:rFonts w:hint="eastAsia"/>
          <w:sz w:val="24"/>
        </w:rPr>
        <w:t>9</w:t>
      </w:r>
    </w:p>
    <w:p w:rsidR="00C91ED0" w:rsidRDefault="001C5ABB">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Pr>
          <w:sz w:val="24"/>
        </w:rPr>
        <w:tab/>
      </w:r>
      <w:r w:rsidR="00880370">
        <w:rPr>
          <w:rFonts w:hint="eastAsia"/>
          <w:sz w:val="24"/>
        </w:rPr>
        <w:t>9</w:t>
      </w:r>
    </w:p>
    <w:p w:rsidR="00C91ED0" w:rsidRDefault="001C5ABB">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Pr>
          <w:sz w:val="24"/>
        </w:rPr>
        <w:tab/>
      </w:r>
      <w:r w:rsidR="00880370">
        <w:rPr>
          <w:rFonts w:hint="eastAsia"/>
          <w:sz w:val="24"/>
        </w:rPr>
        <w:t>9</w:t>
      </w:r>
    </w:p>
    <w:p w:rsidR="00C91ED0" w:rsidRDefault="001C5ABB">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Pr>
          <w:sz w:val="24"/>
        </w:rPr>
        <w:tab/>
      </w:r>
      <w:r w:rsidR="00880370">
        <w:rPr>
          <w:rFonts w:hint="eastAsia"/>
          <w:sz w:val="24"/>
        </w:rPr>
        <w:t>10</w:t>
      </w:r>
    </w:p>
    <w:p w:rsidR="00C91ED0" w:rsidRDefault="001C5ABB">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Pr>
          <w:sz w:val="24"/>
        </w:rPr>
        <w:tab/>
      </w:r>
      <w:r w:rsidR="00880370">
        <w:rPr>
          <w:rFonts w:hint="eastAsia"/>
          <w:sz w:val="24"/>
        </w:rPr>
        <w:t>11</w:t>
      </w:r>
    </w:p>
    <w:p w:rsidR="00C91ED0" w:rsidRDefault="001C5ABB">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Pr>
          <w:sz w:val="24"/>
        </w:rPr>
        <w:tab/>
      </w:r>
      <w:r w:rsidR="00880370">
        <w:rPr>
          <w:rFonts w:hint="eastAsia"/>
          <w:sz w:val="24"/>
        </w:rPr>
        <w:t>11</w:t>
      </w:r>
    </w:p>
    <w:p w:rsidR="00C91ED0" w:rsidRDefault="001C5ABB">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Pr>
          <w:sz w:val="24"/>
        </w:rPr>
        <w:tab/>
      </w:r>
      <w:r w:rsidR="00880370">
        <w:rPr>
          <w:rFonts w:hint="eastAsia"/>
          <w:sz w:val="24"/>
        </w:rPr>
        <w:t>13</w:t>
      </w:r>
    </w:p>
    <w:p w:rsidR="00C91ED0" w:rsidRDefault="001C5ABB">
      <w:pPr>
        <w:pStyle w:val="20"/>
        <w:adjustRightInd w:val="0"/>
        <w:snapToGrid w:val="0"/>
        <w:spacing w:line="440" w:lineRule="exact"/>
        <w:jc w:val="left"/>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r>
        <w:rPr>
          <w:sz w:val="24"/>
        </w:rPr>
        <w:tab/>
      </w:r>
      <w:r w:rsidR="00880370">
        <w:rPr>
          <w:rFonts w:hint="eastAsia"/>
          <w:sz w:val="24"/>
        </w:rPr>
        <w:t>14</w:t>
      </w:r>
    </w:p>
    <w:p w:rsidR="00C91ED0" w:rsidRDefault="001C5ABB">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Pr>
          <w:sz w:val="24"/>
        </w:rPr>
        <w:tab/>
      </w:r>
      <w:r w:rsidR="00880370">
        <w:rPr>
          <w:rFonts w:hint="eastAsia"/>
          <w:sz w:val="24"/>
        </w:rPr>
        <w:t>16</w:t>
      </w:r>
    </w:p>
    <w:p w:rsidR="00C91ED0" w:rsidRDefault="001C5ABB">
      <w:pPr>
        <w:pStyle w:val="20"/>
        <w:adjustRightInd w:val="0"/>
        <w:snapToGrid w:val="0"/>
        <w:spacing w:line="440" w:lineRule="exact"/>
        <w:ind w:leftChars="0"/>
        <w:jc w:val="left"/>
        <w:rPr>
          <w:rFonts w:ascii="仿宋" w:eastAsia="仿宋" w:hAnsi="仿宋"/>
          <w:sz w:val="24"/>
        </w:rPr>
      </w:pPr>
      <w:r>
        <w:rPr>
          <w:rFonts w:ascii="仿宋" w:eastAsia="仿宋" w:hAnsi="仿宋" w:hint="eastAsia"/>
          <w:sz w:val="24"/>
        </w:rPr>
        <w:t>九、</w:t>
      </w:r>
      <w:r>
        <w:rPr>
          <w:sz w:val="24"/>
        </w:rPr>
        <w:t xml:space="preserve"> </w:t>
      </w:r>
      <w:r>
        <w:rPr>
          <w:sz w:val="24"/>
        </w:rPr>
        <w:t>国</w:t>
      </w:r>
      <w:r>
        <w:rPr>
          <w:rFonts w:hint="eastAsia"/>
          <w:sz w:val="24"/>
        </w:rPr>
        <w:t>有资本经营预算支出决算情况说明</w:t>
      </w:r>
      <w:r>
        <w:rPr>
          <w:sz w:val="24"/>
        </w:rPr>
        <w:tab/>
      </w:r>
      <w:r w:rsidR="00880370">
        <w:rPr>
          <w:rFonts w:hint="eastAsia"/>
          <w:sz w:val="24"/>
        </w:rPr>
        <w:t>16</w:t>
      </w:r>
    </w:p>
    <w:p w:rsidR="00C91ED0" w:rsidRDefault="001C5ABB" w:rsidP="00880370">
      <w:pPr>
        <w:adjustRightInd w:val="0"/>
        <w:snapToGrid w:val="0"/>
        <w:spacing w:line="440" w:lineRule="exact"/>
        <w:ind w:firstLineChars="150" w:firstLine="360"/>
        <w:jc w:val="left"/>
        <w:rPr>
          <w:rFonts w:ascii="仿宋" w:eastAsia="仿宋" w:hAnsi="仿宋" w:cstheme="minorBidi"/>
          <w:sz w:val="24"/>
        </w:rPr>
      </w:pPr>
      <w:r>
        <w:rPr>
          <w:rStyle w:val="aa"/>
          <w:rFonts w:ascii="仿宋" w:eastAsia="仿宋" w:hAnsi="仿宋" w:hint="eastAsia"/>
          <w:color w:val="000000" w:themeColor="text1"/>
          <w:sz w:val="24"/>
          <w:u w:val="none"/>
        </w:rPr>
        <w:t>十、</w:t>
      </w:r>
      <w:r>
        <w:rPr>
          <w:rFonts w:hint="eastAsia"/>
          <w:sz w:val="24"/>
        </w:rPr>
        <w:t>其他重要事项的情况说明</w:t>
      </w:r>
      <w:r w:rsidR="00880370">
        <w:rPr>
          <w:sz w:val="24"/>
        </w:rPr>
        <w:tab/>
      </w:r>
      <w:r w:rsidR="00880370">
        <w:rPr>
          <w:sz w:val="24"/>
        </w:rPr>
        <w:tab/>
      </w:r>
      <w:r w:rsidR="00880370">
        <w:rPr>
          <w:sz w:val="24"/>
        </w:rPr>
        <w:tab/>
      </w:r>
      <w:r w:rsidR="00880370">
        <w:rPr>
          <w:sz w:val="24"/>
        </w:rPr>
        <w:tab/>
      </w:r>
      <w:r>
        <w:rPr>
          <w:sz w:val="24"/>
        </w:rPr>
        <w:tab/>
      </w:r>
      <w:r>
        <w:rPr>
          <w:rFonts w:ascii="仿宋" w:eastAsia="仿宋" w:hAnsi="仿宋"/>
          <w:sz w:val="24"/>
        </w:rPr>
        <w:tab/>
      </w:r>
      <w:r w:rsidR="00880370">
        <w:rPr>
          <w:rFonts w:ascii="仿宋" w:eastAsia="仿宋" w:hAnsi="仿宋" w:hint="eastAsia"/>
          <w:sz w:val="24"/>
        </w:rPr>
        <w:t>16</w:t>
      </w:r>
    </w:p>
    <w:p w:rsidR="00C91ED0" w:rsidRDefault="001C5ABB">
      <w:pPr>
        <w:pStyle w:val="10"/>
        <w:adjustRightInd w:val="0"/>
        <w:snapToGrid w:val="0"/>
        <w:spacing w:before="0" w:line="440" w:lineRule="exact"/>
        <w:jc w:val="left"/>
        <w:rPr>
          <w:rFonts w:cstheme="minorBidi"/>
          <w:sz w:val="24"/>
          <w:szCs w:val="24"/>
        </w:rPr>
      </w:pPr>
      <w:r>
        <w:rPr>
          <w:rFonts w:hint="eastAsia"/>
          <w:sz w:val="24"/>
        </w:rPr>
        <w:t>第三部分名词解释</w:t>
      </w:r>
      <w:r>
        <w:rPr>
          <w:sz w:val="24"/>
        </w:rPr>
        <w:tab/>
      </w:r>
      <w:r w:rsidR="00880370">
        <w:rPr>
          <w:rFonts w:hint="eastAsia"/>
          <w:sz w:val="24"/>
        </w:rPr>
        <w:t>25</w:t>
      </w:r>
    </w:p>
    <w:p w:rsidR="00C91ED0" w:rsidRDefault="001C5ABB">
      <w:pPr>
        <w:pStyle w:val="10"/>
        <w:adjustRightInd w:val="0"/>
        <w:snapToGrid w:val="0"/>
        <w:spacing w:before="0" w:line="440" w:lineRule="exact"/>
        <w:jc w:val="left"/>
        <w:rPr>
          <w:rFonts w:cstheme="minorBidi"/>
          <w:sz w:val="24"/>
          <w:szCs w:val="24"/>
        </w:rPr>
      </w:pPr>
      <w:r>
        <w:rPr>
          <w:rFonts w:hint="eastAsia"/>
          <w:sz w:val="24"/>
        </w:rPr>
        <w:t>第四部分附件</w:t>
      </w:r>
      <w:r>
        <w:rPr>
          <w:sz w:val="24"/>
        </w:rPr>
        <w:tab/>
      </w:r>
      <w:r w:rsidR="00880370">
        <w:rPr>
          <w:rFonts w:hint="eastAsia"/>
          <w:sz w:val="24"/>
        </w:rPr>
        <w:t>28</w:t>
      </w:r>
    </w:p>
    <w:p w:rsidR="00C91ED0" w:rsidRDefault="001C5ABB">
      <w:pPr>
        <w:pStyle w:val="20"/>
        <w:adjustRightInd w:val="0"/>
        <w:snapToGrid w:val="0"/>
        <w:spacing w:line="440" w:lineRule="exact"/>
        <w:jc w:val="left"/>
        <w:rPr>
          <w:rFonts w:ascii="仿宋" w:eastAsia="仿宋" w:hAnsi="仿宋" w:cstheme="minorBidi"/>
          <w:sz w:val="24"/>
        </w:rPr>
      </w:pPr>
      <w:r>
        <w:rPr>
          <w:rFonts w:hint="eastAsia"/>
          <w:sz w:val="24"/>
        </w:rPr>
        <w:t>附件</w:t>
      </w:r>
      <w:r>
        <w:rPr>
          <w:sz w:val="24"/>
        </w:rPr>
        <w:t>1</w:t>
      </w:r>
      <w:r>
        <w:rPr>
          <w:sz w:val="24"/>
        </w:rPr>
        <w:tab/>
      </w:r>
      <w:r w:rsidR="00880370">
        <w:rPr>
          <w:rFonts w:hint="eastAsia"/>
          <w:sz w:val="24"/>
        </w:rPr>
        <w:t>28</w:t>
      </w:r>
    </w:p>
    <w:p w:rsidR="00C91ED0" w:rsidRDefault="001C5ABB">
      <w:pPr>
        <w:pStyle w:val="20"/>
        <w:adjustRightInd w:val="0"/>
        <w:snapToGrid w:val="0"/>
        <w:spacing w:line="440" w:lineRule="exact"/>
        <w:jc w:val="left"/>
        <w:rPr>
          <w:rFonts w:ascii="仿宋" w:eastAsia="仿宋" w:hAnsi="仿宋" w:cstheme="minorBidi"/>
          <w:sz w:val="24"/>
        </w:rPr>
      </w:pPr>
      <w:r>
        <w:rPr>
          <w:rFonts w:hint="eastAsia"/>
          <w:sz w:val="24"/>
        </w:rPr>
        <w:t>附件</w:t>
      </w:r>
      <w:r>
        <w:rPr>
          <w:sz w:val="24"/>
        </w:rPr>
        <w:t>2</w:t>
      </w:r>
      <w:r>
        <w:rPr>
          <w:sz w:val="24"/>
        </w:rPr>
        <w:tab/>
      </w:r>
      <w:r w:rsidR="00880370">
        <w:rPr>
          <w:rFonts w:hint="eastAsia"/>
          <w:sz w:val="24"/>
        </w:rPr>
        <w:t>33</w:t>
      </w:r>
    </w:p>
    <w:p w:rsidR="00C91ED0" w:rsidRDefault="001C5ABB">
      <w:pPr>
        <w:pStyle w:val="10"/>
        <w:adjustRightInd w:val="0"/>
        <w:snapToGrid w:val="0"/>
        <w:spacing w:before="0" w:line="440" w:lineRule="exact"/>
        <w:jc w:val="left"/>
        <w:rPr>
          <w:rFonts w:cstheme="minorBidi"/>
          <w:sz w:val="24"/>
          <w:szCs w:val="24"/>
        </w:rPr>
      </w:pPr>
      <w:r>
        <w:rPr>
          <w:rFonts w:hint="eastAsia"/>
          <w:sz w:val="24"/>
        </w:rPr>
        <w:t>第五部分附表</w:t>
      </w:r>
      <w:r>
        <w:rPr>
          <w:sz w:val="24"/>
        </w:rPr>
        <w:tab/>
      </w:r>
      <w:r w:rsidR="00880370">
        <w:rPr>
          <w:rFonts w:hint="eastAsia"/>
          <w:sz w:val="24"/>
        </w:rPr>
        <w:t>40</w:t>
      </w:r>
    </w:p>
    <w:p w:rsidR="00C91ED0" w:rsidRDefault="001C5ABB">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一、</w:t>
      </w:r>
      <w:r>
        <w:rPr>
          <w:rFonts w:hint="eastAsia"/>
          <w:sz w:val="24"/>
        </w:rPr>
        <w:t>收入支出决算总表</w:t>
      </w:r>
      <w:r>
        <w:rPr>
          <w:sz w:val="24"/>
        </w:rPr>
        <w:tab/>
      </w:r>
      <w:r w:rsidR="00BD38BA">
        <w:rPr>
          <w:rFonts w:hint="eastAsia"/>
          <w:sz w:val="24"/>
        </w:rPr>
        <w:t>41</w:t>
      </w:r>
    </w:p>
    <w:p w:rsidR="00C91ED0" w:rsidRDefault="001C5ABB">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二、</w:t>
      </w:r>
      <w:r>
        <w:rPr>
          <w:rFonts w:hint="eastAsia"/>
          <w:sz w:val="24"/>
        </w:rPr>
        <w:t>收入</w:t>
      </w:r>
      <w:r>
        <w:rPr>
          <w:rFonts w:ascii="仿宋" w:eastAsia="仿宋" w:hAnsi="仿宋" w:hint="eastAsia"/>
          <w:sz w:val="24"/>
        </w:rPr>
        <w:t>决算</w:t>
      </w:r>
      <w:r>
        <w:rPr>
          <w:rFonts w:hint="eastAsia"/>
          <w:sz w:val="24"/>
        </w:rPr>
        <w:t>表</w:t>
      </w:r>
      <w:r>
        <w:rPr>
          <w:sz w:val="24"/>
        </w:rPr>
        <w:tab/>
      </w:r>
      <w:r w:rsidR="00BD38BA">
        <w:rPr>
          <w:rFonts w:hint="eastAsia"/>
          <w:sz w:val="24"/>
        </w:rPr>
        <w:t>42</w:t>
      </w:r>
    </w:p>
    <w:p w:rsidR="00C91ED0" w:rsidRDefault="001C5ABB">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三、</w:t>
      </w:r>
      <w:r>
        <w:rPr>
          <w:rFonts w:hint="eastAsia"/>
          <w:sz w:val="24"/>
        </w:rPr>
        <w:t>支出</w:t>
      </w:r>
      <w:r>
        <w:rPr>
          <w:rFonts w:ascii="仿宋" w:eastAsia="仿宋" w:hAnsi="仿宋" w:hint="eastAsia"/>
          <w:sz w:val="24"/>
        </w:rPr>
        <w:t>决算</w:t>
      </w:r>
      <w:r>
        <w:rPr>
          <w:rFonts w:hint="eastAsia"/>
          <w:sz w:val="24"/>
        </w:rPr>
        <w:t>表</w:t>
      </w:r>
      <w:r>
        <w:rPr>
          <w:sz w:val="24"/>
        </w:rPr>
        <w:tab/>
      </w:r>
      <w:r w:rsidR="00BD38BA">
        <w:rPr>
          <w:rFonts w:hint="eastAsia"/>
          <w:sz w:val="24"/>
        </w:rPr>
        <w:t>43</w:t>
      </w:r>
    </w:p>
    <w:p w:rsidR="00C91ED0" w:rsidRDefault="001C5ABB">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四、</w:t>
      </w:r>
      <w:r>
        <w:rPr>
          <w:rFonts w:hint="eastAsia"/>
          <w:sz w:val="24"/>
        </w:rPr>
        <w:t>政拨款收入支出决算总表</w:t>
      </w:r>
      <w:r>
        <w:rPr>
          <w:sz w:val="24"/>
        </w:rPr>
        <w:tab/>
      </w:r>
      <w:r w:rsidR="00BD38BA">
        <w:rPr>
          <w:rFonts w:hint="eastAsia"/>
          <w:sz w:val="24"/>
        </w:rPr>
        <w:t>44</w:t>
      </w:r>
    </w:p>
    <w:p w:rsidR="00C91ED0" w:rsidRDefault="001C5ABB">
      <w:pPr>
        <w:pStyle w:val="20"/>
        <w:adjustRightInd w:val="0"/>
        <w:snapToGrid w:val="0"/>
        <w:spacing w:line="440" w:lineRule="exact"/>
        <w:jc w:val="left"/>
        <w:rPr>
          <w:rFonts w:ascii="仿宋" w:eastAsia="仿宋" w:hAnsi="仿宋" w:cstheme="minorBidi"/>
          <w:sz w:val="24"/>
        </w:rPr>
      </w:pPr>
      <w:r>
        <w:rPr>
          <w:rFonts w:hint="eastAsia"/>
          <w:sz w:val="24"/>
        </w:rPr>
        <w:lastRenderedPageBreak/>
        <w:t>五、财政拨款支出决算明细表</w:t>
      </w:r>
      <w:r>
        <w:rPr>
          <w:sz w:val="24"/>
        </w:rPr>
        <w:tab/>
      </w:r>
      <w:r w:rsidR="00BD38BA">
        <w:rPr>
          <w:rFonts w:hint="eastAsia"/>
          <w:sz w:val="24"/>
        </w:rPr>
        <w:t>45</w:t>
      </w:r>
    </w:p>
    <w:p w:rsidR="00C91ED0" w:rsidRDefault="001C5ABB">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六、</w:t>
      </w:r>
      <w:r>
        <w:rPr>
          <w:rFonts w:hint="eastAsia"/>
          <w:sz w:val="24"/>
        </w:rPr>
        <w:t>一般公共预算财政拨款支出决算表</w:t>
      </w:r>
      <w:r>
        <w:rPr>
          <w:sz w:val="24"/>
        </w:rPr>
        <w:tab/>
      </w:r>
      <w:r w:rsidR="00BD38BA">
        <w:rPr>
          <w:rFonts w:hint="eastAsia"/>
          <w:sz w:val="24"/>
        </w:rPr>
        <w:t>48</w:t>
      </w:r>
    </w:p>
    <w:p w:rsidR="00C91ED0" w:rsidRDefault="001C5ABB">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七、</w:t>
      </w:r>
      <w:r>
        <w:rPr>
          <w:rFonts w:hint="eastAsia"/>
          <w:sz w:val="24"/>
        </w:rPr>
        <w:t>一般公共预算财政拨款支出决算明细表</w:t>
      </w:r>
      <w:r>
        <w:rPr>
          <w:sz w:val="24"/>
        </w:rPr>
        <w:tab/>
      </w:r>
      <w:r w:rsidR="00BD38BA">
        <w:rPr>
          <w:rFonts w:hint="eastAsia"/>
          <w:sz w:val="24"/>
        </w:rPr>
        <w:t>49</w:t>
      </w:r>
    </w:p>
    <w:p w:rsidR="00C91ED0" w:rsidRDefault="001C5ABB">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八、</w:t>
      </w:r>
      <w:r>
        <w:rPr>
          <w:rFonts w:hint="eastAsia"/>
          <w:sz w:val="24"/>
        </w:rPr>
        <w:t>一般公共预算财政拨款基本支出决算表</w:t>
      </w:r>
      <w:r>
        <w:rPr>
          <w:sz w:val="24"/>
        </w:rPr>
        <w:tab/>
      </w:r>
      <w:r w:rsidR="00BD38BA">
        <w:rPr>
          <w:rFonts w:hint="eastAsia"/>
          <w:sz w:val="24"/>
        </w:rPr>
        <w:t>52</w:t>
      </w:r>
    </w:p>
    <w:p w:rsidR="00C91ED0" w:rsidRDefault="001C5ABB">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九、</w:t>
      </w:r>
      <w:r>
        <w:rPr>
          <w:rFonts w:hint="eastAsia"/>
          <w:sz w:val="24"/>
        </w:rPr>
        <w:t>一般公共预算财政拨款项目支出决算表</w:t>
      </w:r>
      <w:r>
        <w:rPr>
          <w:sz w:val="24"/>
        </w:rPr>
        <w:tab/>
      </w:r>
      <w:r w:rsidR="00BD38BA">
        <w:rPr>
          <w:rFonts w:hint="eastAsia"/>
          <w:sz w:val="24"/>
        </w:rPr>
        <w:t>53</w:t>
      </w:r>
    </w:p>
    <w:p w:rsidR="00C91ED0" w:rsidRDefault="001C5ABB">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w:t>
      </w:r>
      <w:r>
        <w:rPr>
          <w:rFonts w:hint="eastAsia"/>
          <w:sz w:val="24"/>
        </w:rPr>
        <w:t>一般公共预算财政拨款“三公”经费支出决算表</w:t>
      </w:r>
      <w:r>
        <w:rPr>
          <w:sz w:val="24"/>
        </w:rPr>
        <w:tab/>
      </w:r>
      <w:r w:rsidR="00BD38BA">
        <w:rPr>
          <w:rFonts w:hint="eastAsia"/>
          <w:sz w:val="24"/>
        </w:rPr>
        <w:t>54</w:t>
      </w:r>
    </w:p>
    <w:p w:rsidR="00C91ED0" w:rsidRDefault="001C5ABB">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十一、</w:t>
      </w:r>
      <w:r>
        <w:rPr>
          <w:rFonts w:hint="eastAsia"/>
          <w:sz w:val="24"/>
        </w:rPr>
        <w:t>政府性基金预算财政拨款收入支出决算表</w:t>
      </w:r>
      <w:r>
        <w:rPr>
          <w:sz w:val="24"/>
        </w:rPr>
        <w:tab/>
      </w:r>
      <w:r w:rsidR="00BD38BA">
        <w:rPr>
          <w:rFonts w:hint="eastAsia"/>
          <w:sz w:val="24"/>
        </w:rPr>
        <w:t>55</w:t>
      </w:r>
    </w:p>
    <w:p w:rsidR="00C91ED0" w:rsidRDefault="001C5ABB">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十二、</w:t>
      </w:r>
      <w:r>
        <w:rPr>
          <w:rFonts w:hint="eastAsia"/>
          <w:sz w:val="24"/>
        </w:rPr>
        <w:t>政府性基金预算财政拨款“三公”经费支出决算表</w:t>
      </w:r>
      <w:r>
        <w:rPr>
          <w:sz w:val="24"/>
        </w:rPr>
        <w:tab/>
      </w:r>
      <w:r w:rsidR="00BD38BA">
        <w:rPr>
          <w:rFonts w:hint="eastAsia"/>
          <w:sz w:val="24"/>
        </w:rPr>
        <w:t>56</w:t>
      </w:r>
    </w:p>
    <w:p w:rsidR="00C91ED0" w:rsidRDefault="001C5ABB">
      <w:pPr>
        <w:pStyle w:val="20"/>
        <w:adjustRightInd w:val="0"/>
        <w:snapToGrid w:val="0"/>
        <w:spacing w:line="440" w:lineRule="exact"/>
        <w:jc w:val="left"/>
        <w:rPr>
          <w:rFonts w:ascii="仿宋" w:eastAsia="仿宋" w:hAnsi="仿宋" w:cstheme="minorBidi"/>
          <w:sz w:val="24"/>
        </w:rPr>
      </w:pPr>
      <w:r>
        <w:rPr>
          <w:rFonts w:ascii="仿宋" w:eastAsia="仿宋" w:hAnsi="仿宋" w:hint="eastAsia"/>
          <w:sz w:val="24"/>
        </w:rPr>
        <w:t>十三、</w:t>
      </w:r>
      <w:r>
        <w:rPr>
          <w:rFonts w:hint="eastAsia"/>
          <w:sz w:val="24"/>
        </w:rPr>
        <w:t>国有资本经营预算支出决算表</w:t>
      </w:r>
      <w:r>
        <w:rPr>
          <w:sz w:val="24"/>
        </w:rPr>
        <w:tab/>
      </w:r>
      <w:r w:rsidR="00BD38BA">
        <w:rPr>
          <w:rFonts w:hint="eastAsia"/>
          <w:sz w:val="24"/>
        </w:rPr>
        <w:t>57</w:t>
      </w:r>
    </w:p>
    <w:p w:rsidR="00C91ED0" w:rsidRDefault="001C5ABB">
      <w:pPr>
        <w:widowControl/>
        <w:spacing w:line="44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C91ED0" w:rsidRDefault="001C5ABB">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C91ED0" w:rsidRDefault="00C91ED0">
      <w:pPr>
        <w:widowControl/>
        <w:jc w:val="left"/>
        <w:rPr>
          <w:rFonts w:ascii="黑体" w:eastAsia="黑体"/>
          <w:color w:val="000000"/>
          <w:sz w:val="32"/>
          <w:szCs w:val="32"/>
        </w:rPr>
      </w:pPr>
    </w:p>
    <w:p w:rsidR="00C91ED0" w:rsidRDefault="001C5ABB">
      <w:pPr>
        <w:pStyle w:val="2"/>
        <w:ind w:firstLineChars="200" w:firstLine="640"/>
        <w:rPr>
          <w:rStyle w:val="2Char"/>
          <w:rFonts w:ascii="仿宋" w:eastAsia="仿宋" w:hAnsi="仿宋"/>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C91ED0" w:rsidRDefault="001C5ABB">
      <w:pPr>
        <w:shd w:val="clear" w:color="auto" w:fill="FFFFFF"/>
        <w:spacing w:line="560" w:lineRule="exact"/>
        <w:ind w:firstLineChars="196" w:firstLine="630"/>
        <w:rPr>
          <w:rFonts w:ascii="楷体_GB2312" w:eastAsia="楷体_GB2312" w:hAnsi="楷体_GB2312" w:cs="楷体_GB2312"/>
          <w:b/>
          <w:bCs/>
          <w:color w:val="000000"/>
          <w:sz w:val="32"/>
          <w:szCs w:val="32"/>
          <w:shd w:val="clear" w:color="auto" w:fill="FFFFFF"/>
        </w:rPr>
      </w:pPr>
      <w:bookmarkStart w:id="16" w:name="_Toc15378445"/>
      <w:bookmarkStart w:id="17" w:name="_Toc15377198"/>
      <w:r>
        <w:rPr>
          <w:rFonts w:ascii="楷体_GB2312" w:eastAsia="楷体_GB2312" w:hAnsi="楷体_GB2312" w:cs="楷体_GB2312" w:hint="eastAsia"/>
          <w:b/>
          <w:bCs/>
          <w:color w:val="000000"/>
          <w:sz w:val="32"/>
          <w:szCs w:val="32"/>
          <w:shd w:val="clear" w:color="auto" w:fill="FFFFFF"/>
        </w:rPr>
        <w:t>(一)基本职能</w:t>
      </w:r>
    </w:p>
    <w:p w:rsidR="00C91ED0" w:rsidRDefault="001C5A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巴中市政务服务和公共资源交易服务中心（以下简称“市中心”）主要负责为公民、法人及其他社会组织提供行政审批、公共服务，为政府机构、单位提供公共资源交易服务，为企业投资提供全程帮办代办服务。其主要职责：</w:t>
      </w:r>
    </w:p>
    <w:p w:rsidR="00C91ED0" w:rsidRDefault="001C5A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1.贯彻执行政务服务和公共资源交易的方针、政策、法律、法规以及市委、市政府的决策部署。</w:t>
      </w:r>
    </w:p>
    <w:p w:rsidR="00C91ED0" w:rsidRDefault="001C5A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2.为进入市级政务服务和公共资源交易平台的交易活动提供场所、设施、信息和现场组织服务，承担市级政务服务和公共资源交易服务平台建设和管理。</w:t>
      </w:r>
    </w:p>
    <w:p w:rsidR="00C91ED0" w:rsidRDefault="001C5A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制订市级政务服务和公共资源交易现场管理规章制度、服务规范和工作流程并组织实施，推行政务服务和公共资源交易服务标准化;组织开展市级平台并联审批协调服务;对市直各部门(单位)派驻的窗口人员进行现场监督管理、实施考核，对公共资源项目进场交易机构及人员进行现场监督管理、实施评价。</w:t>
      </w:r>
    </w:p>
    <w:p w:rsidR="00C91ED0" w:rsidRDefault="001C5A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4.按有关规定查验参与公共资源交易活动各方主体资格和进场交易项目相关手续;负责对进入市级交易服务中心的工程建</w:t>
      </w:r>
      <w:r>
        <w:rPr>
          <w:rFonts w:ascii="仿宋_GB2312" w:eastAsia="仿宋_GB2312" w:hAnsi="仿宋_GB2312" w:cs="仿宋_GB2312" w:hint="eastAsia"/>
          <w:sz w:val="32"/>
          <w:szCs w:val="32"/>
        </w:rPr>
        <w:lastRenderedPageBreak/>
        <w:t>设项目招投标、国有产权交易、矿业权和特许经营权出(转)让等公共资源交易提供现场管理和服务;受委托依法承担有关公共资源项目交易服务工作。</w:t>
      </w:r>
    </w:p>
    <w:p w:rsidR="00C91ED0" w:rsidRDefault="001C5A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5.参与全市进入政务服务和公共资源交易服务系统的电子化交易系统、信用评价体系和中介机构库等的建设管理工作;建立公共资源交易从业者现场行为公开制度，开展场内信用信息记录、评价并对外发布。</w:t>
      </w:r>
    </w:p>
    <w:p w:rsidR="00C91ED0" w:rsidRDefault="001C5A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6.参与对市直部门(单位)行政审批制度改革情况、政务服务开展情况和公共资源交易综合效益评价、评估工作，为相关行业部门监管提供协助。</w:t>
      </w:r>
    </w:p>
    <w:p w:rsidR="00C91ED0" w:rsidRDefault="001C5A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7.对县(区)政务服务和公共资源交易服务中心进行业务指导，参与相关业务工作的调研和培训。</w:t>
      </w:r>
    </w:p>
    <w:p w:rsidR="00C91ED0" w:rsidRDefault="001C5A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8.负责按规定实施现场秩序管理和监督工作，记录、制止违反现场管理制度的行为。</w:t>
      </w:r>
    </w:p>
    <w:p w:rsidR="00C91ED0" w:rsidRDefault="00F8304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1C5ABB">
        <w:rPr>
          <w:rFonts w:ascii="仿宋_GB2312" w:eastAsia="仿宋_GB2312" w:hAnsi="仿宋_GB2312" w:cs="仿宋_GB2312" w:hint="eastAsia"/>
          <w:sz w:val="32"/>
          <w:szCs w:val="32"/>
        </w:rPr>
        <w:t>负责实行帮代办服务，点对点解决企业困难和问题，为各类投资企业提供政策宣传咨询服务、一站式审批服务，受理企业投诉、收集分析协调处理企业落地后的各类问题。</w:t>
      </w:r>
    </w:p>
    <w:p w:rsidR="00C91ED0" w:rsidRDefault="001C5A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F8304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.通过12345市民服务热线集中受理和回复市民的各类非紧急类咨询、求助、投诉、举报和建议，为群众提供7*24小时全天候、全方位、高效率的政务服务。</w:t>
      </w:r>
    </w:p>
    <w:p w:rsidR="00C91ED0" w:rsidRDefault="001C5A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F83041">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.承办市政府交办及有关部门委托办理的其他事项。</w:t>
      </w:r>
    </w:p>
    <w:p w:rsidR="00C91ED0" w:rsidRDefault="001C5ABB">
      <w:pPr>
        <w:shd w:val="clear" w:color="auto" w:fill="FFFFFF"/>
        <w:spacing w:line="560" w:lineRule="exact"/>
        <w:ind w:firstLineChars="196" w:firstLine="630"/>
        <w:rPr>
          <w:rFonts w:ascii="楷体_GB2312" w:eastAsia="楷体_GB2312" w:hAnsi="楷体_GB2312" w:cs="楷体_GB2312"/>
          <w:b/>
          <w:bCs/>
          <w:color w:val="000000"/>
          <w:sz w:val="32"/>
          <w:szCs w:val="32"/>
          <w:shd w:val="clear" w:color="auto" w:fill="FFFFFF"/>
        </w:rPr>
      </w:pPr>
      <w:bookmarkStart w:id="18" w:name="_Toc15378446"/>
      <w:bookmarkStart w:id="19" w:name="_Toc15377199"/>
      <w:bookmarkEnd w:id="16"/>
      <w:bookmarkEnd w:id="17"/>
      <w:r>
        <w:rPr>
          <w:rFonts w:ascii="楷体_GB2312" w:eastAsia="楷体_GB2312" w:hAnsi="楷体_GB2312" w:cs="楷体_GB2312" w:hint="eastAsia"/>
          <w:b/>
          <w:bCs/>
          <w:color w:val="000000"/>
          <w:sz w:val="32"/>
          <w:szCs w:val="32"/>
          <w:shd w:val="clear" w:color="auto" w:fill="FFFFFF"/>
        </w:rPr>
        <w:t>(二)2019年重点工作完成情况。</w:t>
      </w:r>
      <w:bookmarkEnd w:id="18"/>
      <w:bookmarkEnd w:id="19"/>
    </w:p>
    <w:p w:rsidR="00C91ED0" w:rsidRDefault="001C5ABB">
      <w:pPr>
        <w:spacing w:line="560" w:lineRule="exact"/>
        <w:ind w:firstLineChars="200" w:firstLine="640"/>
        <w:rPr>
          <w:rFonts w:eastAsia="仿宋_GB2312"/>
          <w:bCs/>
          <w:sz w:val="32"/>
          <w:szCs w:val="32"/>
          <w:u w:val="single"/>
        </w:rPr>
      </w:pPr>
      <w:r>
        <w:rPr>
          <w:rFonts w:eastAsia="仿宋_GB2312"/>
          <w:sz w:val="32"/>
          <w:szCs w:val="32"/>
        </w:rPr>
        <w:lastRenderedPageBreak/>
        <w:t>2019</w:t>
      </w:r>
      <w:r>
        <w:rPr>
          <w:rFonts w:eastAsia="仿宋_GB2312"/>
          <w:sz w:val="32"/>
          <w:szCs w:val="32"/>
        </w:rPr>
        <w:t>年，在市委、市政府坚强领导下，市政务服务和资源交易服务中心紧盯全市营商环境建设</w:t>
      </w:r>
      <w:r>
        <w:rPr>
          <w:rFonts w:eastAsia="仿宋_GB2312"/>
          <w:sz w:val="32"/>
          <w:szCs w:val="32"/>
        </w:rPr>
        <w:t>“</w:t>
      </w:r>
      <w:r>
        <w:rPr>
          <w:rFonts w:eastAsia="仿宋_GB2312"/>
          <w:sz w:val="32"/>
          <w:szCs w:val="32"/>
        </w:rPr>
        <w:t>头号工程</w:t>
      </w:r>
      <w:r>
        <w:rPr>
          <w:rFonts w:eastAsia="仿宋_GB2312"/>
          <w:sz w:val="32"/>
          <w:szCs w:val="32"/>
        </w:rPr>
        <w:t>”</w:t>
      </w:r>
      <w:r>
        <w:rPr>
          <w:rFonts w:eastAsia="仿宋_GB2312"/>
          <w:sz w:val="32"/>
          <w:szCs w:val="32"/>
        </w:rPr>
        <w:t>，深化落实</w:t>
      </w:r>
      <w:r>
        <w:rPr>
          <w:rFonts w:eastAsia="仿宋_GB2312"/>
          <w:sz w:val="32"/>
          <w:szCs w:val="32"/>
        </w:rPr>
        <w:t>“</w:t>
      </w:r>
      <w:r>
        <w:rPr>
          <w:rFonts w:eastAsia="仿宋_GB2312"/>
          <w:sz w:val="32"/>
          <w:szCs w:val="32"/>
        </w:rPr>
        <w:t>三办</w:t>
      </w:r>
      <w:r>
        <w:rPr>
          <w:rFonts w:eastAsia="仿宋_GB2312"/>
          <w:sz w:val="32"/>
          <w:szCs w:val="32"/>
        </w:rPr>
        <w:t>”</w:t>
      </w:r>
      <w:r>
        <w:rPr>
          <w:rFonts w:eastAsia="仿宋_GB2312"/>
          <w:sz w:val="32"/>
          <w:szCs w:val="32"/>
        </w:rPr>
        <w:t>和</w:t>
      </w:r>
      <w:r>
        <w:rPr>
          <w:rFonts w:eastAsia="仿宋_GB2312"/>
          <w:sz w:val="32"/>
          <w:szCs w:val="32"/>
        </w:rPr>
        <w:t>“</w:t>
      </w:r>
      <w:r>
        <w:rPr>
          <w:rFonts w:eastAsia="仿宋_GB2312"/>
          <w:sz w:val="32"/>
          <w:szCs w:val="32"/>
        </w:rPr>
        <w:t>最多跑一次</w:t>
      </w:r>
      <w:r>
        <w:rPr>
          <w:rFonts w:eastAsia="仿宋_GB2312"/>
          <w:sz w:val="32"/>
          <w:szCs w:val="32"/>
        </w:rPr>
        <w:t>”</w:t>
      </w:r>
      <w:r>
        <w:rPr>
          <w:rFonts w:eastAsia="仿宋_GB2312"/>
          <w:sz w:val="32"/>
          <w:szCs w:val="32"/>
        </w:rPr>
        <w:t>改革，</w:t>
      </w:r>
      <w:r>
        <w:rPr>
          <w:rFonts w:eastAsia="仿宋_GB2312" w:hint="eastAsia"/>
          <w:sz w:val="32"/>
          <w:szCs w:val="32"/>
        </w:rPr>
        <w:t>切实</w:t>
      </w:r>
      <w:r>
        <w:rPr>
          <w:rFonts w:eastAsia="仿宋_GB2312"/>
          <w:sz w:val="32"/>
          <w:szCs w:val="32"/>
        </w:rPr>
        <w:t>加强</w:t>
      </w:r>
      <w:r>
        <w:rPr>
          <w:rFonts w:eastAsia="仿宋_GB2312" w:hint="eastAsia"/>
          <w:sz w:val="32"/>
          <w:szCs w:val="32"/>
        </w:rPr>
        <w:t>公共资源</w:t>
      </w:r>
      <w:r>
        <w:rPr>
          <w:rFonts w:eastAsia="仿宋_GB2312"/>
          <w:sz w:val="32"/>
          <w:szCs w:val="32"/>
        </w:rPr>
        <w:t>交易现场监管，着力打造高效便捷、公正廉洁的政务服务环境。</w:t>
      </w:r>
      <w:r>
        <w:rPr>
          <w:rFonts w:eastAsia="仿宋_GB2312"/>
          <w:bCs/>
          <w:sz w:val="32"/>
          <w:szCs w:val="32"/>
        </w:rPr>
        <w:t>全市受理各类</w:t>
      </w:r>
      <w:r>
        <w:rPr>
          <w:rFonts w:eastAsia="仿宋_GB2312" w:hint="eastAsia"/>
          <w:bCs/>
          <w:sz w:val="32"/>
          <w:szCs w:val="32"/>
        </w:rPr>
        <w:t>政务服务</w:t>
      </w:r>
      <w:r>
        <w:rPr>
          <w:rFonts w:eastAsia="仿宋_GB2312"/>
          <w:bCs/>
          <w:sz w:val="32"/>
          <w:szCs w:val="32"/>
        </w:rPr>
        <w:t>事项</w:t>
      </w:r>
      <w:r>
        <w:rPr>
          <w:rFonts w:eastAsia="仿宋_GB2312"/>
          <w:bCs/>
          <w:sz w:val="32"/>
          <w:szCs w:val="32"/>
        </w:rPr>
        <w:t>42.8</w:t>
      </w:r>
      <w:r>
        <w:rPr>
          <w:rFonts w:eastAsia="仿宋_GB2312"/>
          <w:bCs/>
          <w:sz w:val="32"/>
          <w:szCs w:val="32"/>
        </w:rPr>
        <w:t>万件，办结</w:t>
      </w:r>
      <w:r>
        <w:rPr>
          <w:rFonts w:eastAsia="仿宋_GB2312"/>
          <w:bCs/>
          <w:sz w:val="32"/>
          <w:szCs w:val="32"/>
        </w:rPr>
        <w:t>44.29</w:t>
      </w:r>
      <w:r>
        <w:rPr>
          <w:rFonts w:eastAsia="仿宋_GB2312"/>
          <w:bCs/>
          <w:sz w:val="32"/>
          <w:szCs w:val="32"/>
        </w:rPr>
        <w:t>万件，提前办结率、按时办结率和群众满意率均</w:t>
      </w:r>
      <w:r>
        <w:rPr>
          <w:rFonts w:eastAsia="仿宋_GB2312"/>
          <w:bCs/>
          <w:sz w:val="32"/>
          <w:szCs w:val="32"/>
        </w:rPr>
        <w:t>100%</w:t>
      </w:r>
      <w:r>
        <w:rPr>
          <w:rFonts w:eastAsia="仿宋_GB2312"/>
          <w:bCs/>
          <w:sz w:val="32"/>
          <w:szCs w:val="32"/>
        </w:rPr>
        <w:t>；完成各类交易事项</w:t>
      </w:r>
      <w:r>
        <w:rPr>
          <w:rFonts w:eastAsia="仿宋_GB2312"/>
          <w:bCs/>
          <w:sz w:val="32"/>
          <w:szCs w:val="32"/>
        </w:rPr>
        <w:t>1623</w:t>
      </w:r>
      <w:r>
        <w:rPr>
          <w:rFonts w:eastAsia="仿宋_GB2312"/>
          <w:bCs/>
          <w:sz w:val="32"/>
          <w:szCs w:val="32"/>
        </w:rPr>
        <w:t>项，总金额</w:t>
      </w:r>
      <w:r>
        <w:rPr>
          <w:rFonts w:eastAsia="仿宋_GB2312"/>
          <w:bCs/>
          <w:sz w:val="32"/>
          <w:szCs w:val="32"/>
        </w:rPr>
        <w:t>82.17</w:t>
      </w:r>
      <w:r>
        <w:rPr>
          <w:rFonts w:eastAsia="仿宋_GB2312"/>
          <w:bCs/>
          <w:sz w:val="32"/>
          <w:szCs w:val="32"/>
        </w:rPr>
        <w:t>亿元，节资</w:t>
      </w:r>
      <w:r>
        <w:rPr>
          <w:rFonts w:eastAsia="仿宋_GB2312"/>
          <w:bCs/>
          <w:sz w:val="32"/>
          <w:szCs w:val="32"/>
        </w:rPr>
        <w:t>4.68</w:t>
      </w:r>
      <w:r>
        <w:rPr>
          <w:rFonts w:eastAsia="仿宋_GB2312"/>
          <w:bCs/>
          <w:sz w:val="32"/>
          <w:szCs w:val="32"/>
        </w:rPr>
        <w:t>亿元；</w:t>
      </w:r>
      <w:r>
        <w:rPr>
          <w:rFonts w:eastAsia="仿宋_GB2312"/>
          <w:bCs/>
          <w:sz w:val="32"/>
          <w:szCs w:val="32"/>
        </w:rPr>
        <w:t>12345</w:t>
      </w:r>
      <w:r>
        <w:rPr>
          <w:rFonts w:eastAsia="仿宋_GB2312"/>
          <w:bCs/>
          <w:sz w:val="32"/>
          <w:szCs w:val="32"/>
        </w:rPr>
        <w:t>政务服务热线平台受理来电来信</w:t>
      </w:r>
      <w:r>
        <w:rPr>
          <w:rFonts w:eastAsia="仿宋_GB2312"/>
          <w:bCs/>
          <w:sz w:val="32"/>
          <w:szCs w:val="32"/>
        </w:rPr>
        <w:t>27.08</w:t>
      </w:r>
      <w:r>
        <w:rPr>
          <w:rFonts w:eastAsia="仿宋_GB2312"/>
          <w:bCs/>
          <w:sz w:val="32"/>
          <w:szCs w:val="32"/>
        </w:rPr>
        <w:t>万件，在线答复</w:t>
      </w:r>
      <w:r>
        <w:rPr>
          <w:rFonts w:eastAsia="仿宋_GB2312"/>
          <w:bCs/>
          <w:sz w:val="32"/>
          <w:szCs w:val="32"/>
        </w:rPr>
        <w:t>23.15</w:t>
      </w:r>
      <w:r>
        <w:rPr>
          <w:rFonts w:eastAsia="仿宋_GB2312"/>
          <w:bCs/>
          <w:sz w:val="32"/>
          <w:szCs w:val="32"/>
        </w:rPr>
        <w:t>万件，转办</w:t>
      </w:r>
      <w:r>
        <w:rPr>
          <w:rFonts w:eastAsia="仿宋_GB2312"/>
          <w:bCs/>
          <w:sz w:val="32"/>
          <w:szCs w:val="32"/>
        </w:rPr>
        <w:t>3.92</w:t>
      </w:r>
      <w:r>
        <w:rPr>
          <w:rFonts w:eastAsia="仿宋_GB2312"/>
          <w:bCs/>
          <w:sz w:val="32"/>
          <w:szCs w:val="32"/>
        </w:rPr>
        <w:t>万件，办结率</w:t>
      </w:r>
      <w:r>
        <w:rPr>
          <w:rFonts w:eastAsia="仿宋_GB2312"/>
          <w:bCs/>
          <w:sz w:val="32"/>
          <w:szCs w:val="32"/>
        </w:rPr>
        <w:t>99.8%</w:t>
      </w:r>
      <w:r>
        <w:rPr>
          <w:rFonts w:eastAsia="仿宋_GB2312"/>
          <w:bCs/>
          <w:sz w:val="32"/>
          <w:szCs w:val="32"/>
        </w:rPr>
        <w:t>，群众满意率</w:t>
      </w:r>
      <w:r>
        <w:rPr>
          <w:rFonts w:eastAsia="仿宋_GB2312"/>
          <w:bCs/>
          <w:sz w:val="32"/>
          <w:szCs w:val="32"/>
        </w:rPr>
        <w:t>95.4%</w:t>
      </w:r>
      <w:r>
        <w:rPr>
          <w:rFonts w:eastAsia="仿宋_GB2312"/>
          <w:bCs/>
          <w:sz w:val="32"/>
          <w:szCs w:val="32"/>
        </w:rPr>
        <w:t>。</w:t>
      </w:r>
    </w:p>
    <w:p w:rsidR="00C91ED0" w:rsidRDefault="001C5ABB">
      <w:pPr>
        <w:spacing w:line="560" w:lineRule="exact"/>
        <w:ind w:firstLineChars="200" w:firstLine="643"/>
        <w:rPr>
          <w:rFonts w:eastAsia="仿宋_GB2312"/>
          <w:sz w:val="32"/>
          <w:szCs w:val="32"/>
        </w:rPr>
      </w:pPr>
      <w:r>
        <w:rPr>
          <w:rFonts w:ascii="仿宋_GB2312" w:eastAsia="仿宋_GB2312" w:hint="eastAsia"/>
          <w:b/>
          <w:sz w:val="32"/>
          <w:szCs w:val="32"/>
        </w:rPr>
        <w:t>1.持续推进“三办”改革，服务效能明显提升。</w:t>
      </w:r>
      <w:r>
        <w:rPr>
          <w:rFonts w:eastAsia="仿宋_GB2312"/>
          <w:sz w:val="32"/>
          <w:szCs w:val="32"/>
        </w:rPr>
        <w:t>建成</w:t>
      </w:r>
      <w:r>
        <w:rPr>
          <w:rFonts w:eastAsia="仿宋_GB2312"/>
          <w:sz w:val="32"/>
          <w:szCs w:val="32"/>
        </w:rPr>
        <w:t>2.9</w:t>
      </w:r>
      <w:r>
        <w:rPr>
          <w:rFonts w:eastAsia="仿宋_GB2312"/>
          <w:sz w:val="32"/>
          <w:szCs w:val="32"/>
        </w:rPr>
        <w:t>万平方米的巴中市民之家正式投入使用，交警、出入境、税务办事大厅和</w:t>
      </w:r>
      <w:r>
        <w:rPr>
          <w:rFonts w:eastAsia="仿宋_GB2312"/>
          <w:sz w:val="32"/>
          <w:szCs w:val="32"/>
        </w:rPr>
        <w:t>28</w:t>
      </w:r>
      <w:r>
        <w:rPr>
          <w:rFonts w:eastAsia="仿宋_GB2312"/>
          <w:sz w:val="32"/>
          <w:szCs w:val="32"/>
        </w:rPr>
        <w:t>个审批部门、</w:t>
      </w:r>
      <w:r>
        <w:rPr>
          <w:rFonts w:eastAsia="仿宋_GB2312"/>
          <w:sz w:val="32"/>
          <w:szCs w:val="32"/>
        </w:rPr>
        <w:t>8</w:t>
      </w:r>
      <w:r>
        <w:rPr>
          <w:rFonts w:eastAsia="仿宋_GB2312"/>
          <w:sz w:val="32"/>
          <w:szCs w:val="32"/>
        </w:rPr>
        <w:t>个公共服务单位、</w:t>
      </w:r>
      <w:r>
        <w:rPr>
          <w:rFonts w:eastAsia="仿宋_GB2312"/>
          <w:sz w:val="32"/>
          <w:szCs w:val="32"/>
        </w:rPr>
        <w:t>6</w:t>
      </w:r>
      <w:r>
        <w:rPr>
          <w:rFonts w:eastAsia="仿宋_GB2312"/>
          <w:sz w:val="32"/>
          <w:szCs w:val="32"/>
        </w:rPr>
        <w:t>个民生服务单位整体进驻，入驻窗口工作人员</w:t>
      </w:r>
      <w:r>
        <w:rPr>
          <w:rFonts w:eastAsia="仿宋_GB2312"/>
          <w:sz w:val="32"/>
          <w:szCs w:val="32"/>
        </w:rPr>
        <w:t>350</w:t>
      </w:r>
      <w:r>
        <w:rPr>
          <w:rFonts w:eastAsia="仿宋_GB2312"/>
          <w:sz w:val="32"/>
          <w:szCs w:val="32"/>
        </w:rPr>
        <w:t>余人，企业群众</w:t>
      </w:r>
      <w:r>
        <w:rPr>
          <w:rFonts w:eastAsia="仿宋_GB2312"/>
          <w:sz w:val="32"/>
          <w:szCs w:val="32"/>
        </w:rPr>
        <w:t xml:space="preserve"> “</w:t>
      </w:r>
      <w:r>
        <w:rPr>
          <w:rFonts w:eastAsia="仿宋_GB2312"/>
          <w:sz w:val="32"/>
          <w:szCs w:val="32"/>
        </w:rPr>
        <w:t>只进一扇门，办成所有事</w:t>
      </w:r>
      <w:r>
        <w:rPr>
          <w:rFonts w:eastAsia="仿宋_GB2312"/>
          <w:sz w:val="32"/>
          <w:szCs w:val="32"/>
        </w:rPr>
        <w:t>”</w:t>
      </w:r>
      <w:r>
        <w:rPr>
          <w:rFonts w:eastAsia="仿宋_GB2312"/>
          <w:sz w:val="32"/>
          <w:szCs w:val="32"/>
        </w:rPr>
        <w:t>。推行</w:t>
      </w:r>
      <w:r>
        <w:rPr>
          <w:rFonts w:eastAsia="仿宋_GB2312"/>
          <w:sz w:val="32"/>
          <w:szCs w:val="32"/>
        </w:rPr>
        <w:t>“</w:t>
      </w:r>
      <w:r>
        <w:rPr>
          <w:rFonts w:eastAsia="仿宋_GB2312"/>
          <w:sz w:val="32"/>
          <w:szCs w:val="32"/>
        </w:rPr>
        <w:t>综合服务窗口</w:t>
      </w:r>
      <w:r>
        <w:rPr>
          <w:rFonts w:eastAsia="仿宋_GB2312"/>
          <w:sz w:val="32"/>
          <w:szCs w:val="32"/>
        </w:rPr>
        <w:t>”</w:t>
      </w:r>
      <w:r>
        <w:rPr>
          <w:rFonts w:eastAsia="仿宋_GB2312"/>
          <w:sz w:val="32"/>
          <w:szCs w:val="32"/>
        </w:rPr>
        <w:t>改革，按照</w:t>
      </w:r>
      <w:r>
        <w:rPr>
          <w:rFonts w:eastAsia="仿宋_GB2312"/>
          <w:sz w:val="32"/>
          <w:szCs w:val="32"/>
        </w:rPr>
        <w:t>“</w:t>
      </w:r>
      <w:r>
        <w:rPr>
          <w:rFonts w:eastAsia="仿宋_GB2312"/>
          <w:sz w:val="32"/>
          <w:szCs w:val="32"/>
        </w:rPr>
        <w:t>一个窗口办成一件事情</w:t>
      </w:r>
      <w:r>
        <w:rPr>
          <w:rFonts w:eastAsia="仿宋_GB2312"/>
          <w:sz w:val="32"/>
          <w:szCs w:val="32"/>
        </w:rPr>
        <w:t>”</w:t>
      </w:r>
      <w:r>
        <w:rPr>
          <w:rFonts w:eastAsia="仿宋_GB2312"/>
          <w:sz w:val="32"/>
          <w:szCs w:val="32"/>
        </w:rPr>
        <w:t>原则，整合设置综合窗口</w:t>
      </w:r>
      <w:r>
        <w:rPr>
          <w:rFonts w:eastAsia="仿宋_GB2312"/>
          <w:sz w:val="32"/>
          <w:szCs w:val="32"/>
        </w:rPr>
        <w:t>18</w:t>
      </w:r>
      <w:r>
        <w:rPr>
          <w:rFonts w:eastAsia="仿宋_GB2312"/>
          <w:sz w:val="32"/>
          <w:szCs w:val="32"/>
        </w:rPr>
        <w:t>个，实行</w:t>
      </w:r>
      <w:r>
        <w:rPr>
          <w:rFonts w:eastAsia="仿宋_GB2312"/>
          <w:sz w:val="32"/>
          <w:szCs w:val="32"/>
        </w:rPr>
        <w:t>“</w:t>
      </w:r>
      <w:r>
        <w:rPr>
          <w:rFonts w:eastAsia="仿宋_GB2312"/>
          <w:sz w:val="32"/>
          <w:szCs w:val="32"/>
        </w:rPr>
        <w:t>前台统一受理、后台协同审批、便捷出件送达</w:t>
      </w:r>
      <w:r>
        <w:rPr>
          <w:rFonts w:eastAsia="仿宋_GB2312"/>
          <w:sz w:val="32"/>
          <w:szCs w:val="32"/>
        </w:rPr>
        <w:t>”</w:t>
      </w:r>
      <w:r>
        <w:rPr>
          <w:rFonts w:eastAsia="仿宋_GB2312"/>
          <w:sz w:val="32"/>
          <w:szCs w:val="32"/>
        </w:rPr>
        <w:t>。</w:t>
      </w:r>
      <w:r>
        <w:rPr>
          <w:rFonts w:eastAsia="仿宋_GB2312" w:hAnsi="仿宋_GB2312"/>
          <w:sz w:val="32"/>
          <w:szCs w:val="32"/>
        </w:rPr>
        <w:t>全面推行二手房交易等事项联审联办，建立</w:t>
      </w:r>
      <w:r>
        <w:rPr>
          <w:rFonts w:eastAsia="仿宋_GB2312"/>
          <w:sz w:val="32"/>
          <w:szCs w:val="32"/>
        </w:rPr>
        <w:t>“</w:t>
      </w:r>
      <w:r>
        <w:rPr>
          <w:rFonts w:eastAsia="仿宋_GB2312" w:hAnsi="仿宋_GB2312"/>
          <w:sz w:val="32"/>
          <w:szCs w:val="32"/>
        </w:rPr>
        <w:t>一窗受理、一套资料、只跑一次</w:t>
      </w:r>
      <w:r>
        <w:rPr>
          <w:rFonts w:eastAsia="仿宋_GB2312"/>
          <w:sz w:val="32"/>
          <w:szCs w:val="32"/>
        </w:rPr>
        <w:t>”</w:t>
      </w:r>
      <w:r>
        <w:rPr>
          <w:rFonts w:eastAsia="仿宋_GB2312" w:hAnsi="仿宋_GB2312"/>
          <w:sz w:val="32"/>
          <w:szCs w:val="32"/>
        </w:rPr>
        <w:t>工作机制，二手房交易等事项实现</w:t>
      </w:r>
      <w:r>
        <w:rPr>
          <w:rFonts w:eastAsia="仿宋_GB2312"/>
          <w:sz w:val="32"/>
          <w:szCs w:val="32"/>
        </w:rPr>
        <w:t>“</w:t>
      </w:r>
      <w:r>
        <w:rPr>
          <w:rFonts w:eastAsia="仿宋_GB2312" w:hAnsi="仿宋_GB2312"/>
          <w:sz w:val="32"/>
          <w:szCs w:val="32"/>
        </w:rPr>
        <w:t>同城通办</w:t>
      </w:r>
      <w:r>
        <w:rPr>
          <w:rFonts w:eastAsia="仿宋_GB2312"/>
          <w:sz w:val="32"/>
          <w:szCs w:val="32"/>
        </w:rPr>
        <w:t>”</w:t>
      </w:r>
      <w:r>
        <w:rPr>
          <w:rFonts w:eastAsia="仿宋_GB2312" w:hAnsi="仿宋_GB2312"/>
          <w:sz w:val="32"/>
          <w:szCs w:val="32"/>
        </w:rPr>
        <w:t>。</w:t>
      </w:r>
      <w:r>
        <w:rPr>
          <w:rFonts w:eastAsia="仿宋_GB2312"/>
          <w:sz w:val="32"/>
          <w:szCs w:val="32"/>
        </w:rPr>
        <w:t>设置自助服务终端</w:t>
      </w:r>
      <w:r>
        <w:rPr>
          <w:rFonts w:eastAsia="仿宋_GB2312"/>
          <w:sz w:val="32"/>
          <w:szCs w:val="32"/>
        </w:rPr>
        <w:t>25</w:t>
      </w:r>
      <w:r>
        <w:rPr>
          <w:rFonts w:eastAsia="仿宋_GB2312"/>
          <w:sz w:val="32"/>
          <w:szCs w:val="32"/>
        </w:rPr>
        <w:t>台，增值税发票申领等</w:t>
      </w:r>
      <w:r>
        <w:rPr>
          <w:rFonts w:eastAsia="仿宋_GB2312"/>
          <w:sz w:val="32"/>
          <w:szCs w:val="32"/>
        </w:rPr>
        <w:t>132</w:t>
      </w:r>
      <w:r>
        <w:rPr>
          <w:rFonts w:eastAsia="仿宋_GB2312"/>
          <w:sz w:val="32"/>
          <w:szCs w:val="32"/>
        </w:rPr>
        <w:t>项业务实现自助办理。加大全省一体化政务服务平台运用推广力度，</w:t>
      </w:r>
      <w:r>
        <w:rPr>
          <w:rFonts w:eastAsia="仿宋_GB2312"/>
          <w:spacing w:val="-8"/>
          <w:sz w:val="32"/>
          <w:szCs w:val="32"/>
        </w:rPr>
        <w:t>市县乡三级政务服务</w:t>
      </w:r>
      <w:r>
        <w:rPr>
          <w:rFonts w:eastAsia="仿宋_GB2312"/>
          <w:spacing w:val="-8"/>
          <w:sz w:val="32"/>
          <w:szCs w:val="32"/>
        </w:rPr>
        <w:t>“</w:t>
      </w:r>
      <w:r>
        <w:rPr>
          <w:rFonts w:eastAsia="仿宋_GB2312"/>
          <w:spacing w:val="-8"/>
          <w:sz w:val="32"/>
          <w:szCs w:val="32"/>
        </w:rPr>
        <w:t>一网运行</w:t>
      </w:r>
      <w:r>
        <w:rPr>
          <w:rFonts w:eastAsia="仿宋_GB2312"/>
          <w:spacing w:val="-8"/>
          <w:sz w:val="32"/>
          <w:szCs w:val="32"/>
        </w:rPr>
        <w:t>”</w:t>
      </w:r>
      <w:r>
        <w:rPr>
          <w:rFonts w:eastAsia="仿宋_GB2312"/>
          <w:spacing w:val="-8"/>
          <w:sz w:val="32"/>
          <w:szCs w:val="32"/>
        </w:rPr>
        <w:t>，</w:t>
      </w:r>
      <w:r>
        <w:rPr>
          <w:rFonts w:eastAsia="仿宋_GB2312"/>
          <w:sz w:val="32"/>
          <w:szCs w:val="32"/>
        </w:rPr>
        <w:t>全市</w:t>
      </w:r>
      <w:r>
        <w:rPr>
          <w:rFonts w:eastAsia="仿宋_GB2312"/>
          <w:sz w:val="32"/>
          <w:szCs w:val="32"/>
        </w:rPr>
        <w:t>4571</w:t>
      </w:r>
      <w:r>
        <w:rPr>
          <w:rFonts w:eastAsia="仿宋_GB2312"/>
          <w:sz w:val="32"/>
          <w:szCs w:val="32"/>
        </w:rPr>
        <w:t>项政务服务事项实现</w:t>
      </w:r>
      <w:r>
        <w:rPr>
          <w:rFonts w:eastAsia="仿宋_GB2312"/>
          <w:sz w:val="32"/>
          <w:szCs w:val="32"/>
        </w:rPr>
        <w:t>“</w:t>
      </w:r>
      <w:r>
        <w:rPr>
          <w:rFonts w:eastAsia="仿宋_GB2312"/>
          <w:sz w:val="32"/>
          <w:szCs w:val="32"/>
        </w:rPr>
        <w:t>全程网办</w:t>
      </w:r>
      <w:r>
        <w:rPr>
          <w:rFonts w:eastAsia="仿宋_GB2312"/>
          <w:sz w:val="32"/>
          <w:szCs w:val="32"/>
        </w:rPr>
        <w:t>”</w:t>
      </w:r>
      <w:r>
        <w:rPr>
          <w:rFonts w:eastAsia="仿宋_GB2312"/>
          <w:sz w:val="32"/>
          <w:szCs w:val="32"/>
        </w:rPr>
        <w:t>，位居全省市州第一。</w:t>
      </w:r>
    </w:p>
    <w:p w:rsidR="00C91ED0" w:rsidRDefault="001C5ABB">
      <w:pPr>
        <w:spacing w:line="560" w:lineRule="exact"/>
        <w:ind w:firstLineChars="200" w:firstLine="643"/>
        <w:rPr>
          <w:rFonts w:eastAsia="仿宋_GB2312"/>
          <w:sz w:val="32"/>
          <w:szCs w:val="32"/>
        </w:rPr>
      </w:pPr>
      <w:r>
        <w:rPr>
          <w:rFonts w:ascii="仿宋_GB2312" w:eastAsia="仿宋_GB2312" w:hint="eastAsia"/>
          <w:b/>
          <w:sz w:val="32"/>
          <w:szCs w:val="32"/>
        </w:rPr>
        <w:t>2.开展招投标专项整治，现场监管更加有力。</w:t>
      </w:r>
      <w:r>
        <w:rPr>
          <w:rFonts w:eastAsia="仿宋_GB2312" w:hint="eastAsia"/>
          <w:sz w:val="32"/>
          <w:szCs w:val="32"/>
        </w:rPr>
        <w:t>出台《巴中市</w:t>
      </w:r>
      <w:r>
        <w:rPr>
          <w:rFonts w:eastAsia="仿宋_GB2312" w:hint="eastAsia"/>
          <w:sz w:val="32"/>
          <w:szCs w:val="32"/>
        </w:rPr>
        <w:lastRenderedPageBreak/>
        <w:t>工程建设电子评标办法》《巴中市异地远程评标实施方案》，全面</w:t>
      </w:r>
      <w:r>
        <w:rPr>
          <w:rFonts w:eastAsia="仿宋_GB2312"/>
          <w:sz w:val="32"/>
          <w:szCs w:val="32"/>
        </w:rPr>
        <w:t>建成巴中异地远程评标系统，与省中心、南充、德阳、乐山开展工程建设异地远程评标</w:t>
      </w:r>
      <w:r>
        <w:rPr>
          <w:rFonts w:eastAsia="仿宋_GB2312"/>
          <w:sz w:val="32"/>
          <w:szCs w:val="32"/>
        </w:rPr>
        <w:t>12</w:t>
      </w:r>
      <w:r>
        <w:rPr>
          <w:rFonts w:eastAsia="仿宋_GB2312"/>
          <w:sz w:val="32"/>
          <w:szCs w:val="32"/>
        </w:rPr>
        <w:t>次，探索推行市内政府采购异地远程评标。实行交易项目</w:t>
      </w:r>
      <w:r>
        <w:rPr>
          <w:rFonts w:eastAsia="仿宋_GB2312"/>
          <w:sz w:val="32"/>
          <w:szCs w:val="32"/>
        </w:rPr>
        <w:t>“</w:t>
      </w:r>
      <w:r>
        <w:rPr>
          <w:rFonts w:eastAsia="仿宋_GB2312"/>
          <w:sz w:val="32"/>
          <w:szCs w:val="32"/>
        </w:rPr>
        <w:t>一标一考核</w:t>
      </w:r>
      <w:r>
        <w:rPr>
          <w:rFonts w:eastAsia="仿宋_GB2312"/>
          <w:sz w:val="32"/>
          <w:szCs w:val="32"/>
        </w:rPr>
        <w:t>”</w:t>
      </w:r>
      <w:r>
        <w:rPr>
          <w:rFonts w:eastAsia="仿宋_GB2312"/>
          <w:sz w:val="32"/>
          <w:szCs w:val="32"/>
        </w:rPr>
        <w:t>，加强交易各方当事人考核评价，对</w:t>
      </w:r>
      <w:r>
        <w:rPr>
          <w:rFonts w:eastAsia="仿宋_GB2312"/>
          <w:sz w:val="32"/>
          <w:szCs w:val="32"/>
        </w:rPr>
        <w:t>38</w:t>
      </w:r>
      <w:r>
        <w:rPr>
          <w:rFonts w:eastAsia="仿宋_GB2312"/>
          <w:sz w:val="32"/>
          <w:szCs w:val="32"/>
        </w:rPr>
        <w:t>个交易项目、</w:t>
      </w:r>
      <w:r>
        <w:rPr>
          <w:rFonts w:eastAsia="仿宋_GB2312"/>
          <w:sz w:val="32"/>
          <w:szCs w:val="32"/>
        </w:rPr>
        <w:t>1482</w:t>
      </w:r>
      <w:r>
        <w:rPr>
          <w:rFonts w:eastAsia="仿宋_GB2312"/>
          <w:sz w:val="32"/>
          <w:szCs w:val="32"/>
        </w:rPr>
        <w:t>人进行考核评价，通报差评招标人</w:t>
      </w:r>
      <w:r>
        <w:rPr>
          <w:rFonts w:eastAsia="仿宋_GB2312"/>
          <w:sz w:val="32"/>
          <w:szCs w:val="32"/>
        </w:rPr>
        <w:t>2</w:t>
      </w:r>
      <w:r>
        <w:rPr>
          <w:rFonts w:eastAsia="仿宋_GB2312"/>
          <w:sz w:val="32"/>
          <w:szCs w:val="32"/>
        </w:rPr>
        <w:t>个、评标专家</w:t>
      </w:r>
      <w:r>
        <w:rPr>
          <w:rFonts w:eastAsia="仿宋_GB2312"/>
          <w:sz w:val="32"/>
          <w:szCs w:val="32"/>
        </w:rPr>
        <w:t>10</w:t>
      </w:r>
      <w:r>
        <w:rPr>
          <w:rFonts w:eastAsia="仿宋_GB2312"/>
          <w:sz w:val="32"/>
          <w:szCs w:val="32"/>
        </w:rPr>
        <w:t>人，倒逼依法履职、规范行权。加强公共资源交易规范化、标准化建设，开展招投标领域突出问题专项整治，出台</w:t>
      </w:r>
      <w:r>
        <w:rPr>
          <w:rFonts w:eastAsia="仿宋_GB2312"/>
          <w:sz w:val="32"/>
          <w:szCs w:val="32"/>
        </w:rPr>
        <w:t>10</w:t>
      </w:r>
      <w:r>
        <w:rPr>
          <w:rFonts w:eastAsia="仿宋_GB2312"/>
          <w:sz w:val="32"/>
          <w:szCs w:val="32"/>
        </w:rPr>
        <w:t>项制度，严格交易现场监督管理，通报项目监督人员</w:t>
      </w:r>
      <w:r>
        <w:rPr>
          <w:rFonts w:eastAsia="仿宋_GB2312"/>
          <w:sz w:val="32"/>
          <w:szCs w:val="32"/>
        </w:rPr>
        <w:t>3</w:t>
      </w:r>
      <w:r>
        <w:rPr>
          <w:rFonts w:eastAsia="仿宋_GB2312"/>
          <w:sz w:val="32"/>
          <w:szCs w:val="32"/>
        </w:rPr>
        <w:t>人次，向主管部门移交问题线索</w:t>
      </w:r>
      <w:r>
        <w:rPr>
          <w:rFonts w:eastAsia="仿宋_GB2312"/>
          <w:sz w:val="32"/>
          <w:szCs w:val="32"/>
        </w:rPr>
        <w:t>14</w:t>
      </w:r>
      <w:r>
        <w:rPr>
          <w:rFonts w:eastAsia="仿宋_GB2312"/>
          <w:sz w:val="32"/>
          <w:szCs w:val="32"/>
        </w:rPr>
        <w:t>条。</w:t>
      </w:r>
    </w:p>
    <w:p w:rsidR="00C91ED0" w:rsidRDefault="001C5ABB">
      <w:pPr>
        <w:spacing w:line="560" w:lineRule="exact"/>
        <w:ind w:firstLineChars="200" w:firstLine="643"/>
        <w:rPr>
          <w:rFonts w:eastAsia="仿宋_GB2312"/>
          <w:sz w:val="32"/>
          <w:szCs w:val="32"/>
        </w:rPr>
      </w:pPr>
      <w:r>
        <w:rPr>
          <w:rFonts w:ascii="仿宋_GB2312" w:eastAsia="仿宋_GB2312" w:hint="eastAsia"/>
          <w:b/>
          <w:sz w:val="32"/>
          <w:szCs w:val="32"/>
        </w:rPr>
        <w:t>3.创新推行“四服务”机制，营商环境持续改善。</w:t>
      </w:r>
      <w:r>
        <w:rPr>
          <w:rFonts w:eastAsia="仿宋_GB2312"/>
          <w:sz w:val="32"/>
          <w:szCs w:val="32"/>
        </w:rPr>
        <w:t>认真落实优化营商环境</w:t>
      </w:r>
      <w:r>
        <w:rPr>
          <w:rFonts w:eastAsia="仿宋_GB2312"/>
          <w:sz w:val="32"/>
          <w:szCs w:val="32"/>
        </w:rPr>
        <w:t>20</w:t>
      </w:r>
      <w:r>
        <w:rPr>
          <w:rFonts w:eastAsia="仿宋_GB2312"/>
          <w:sz w:val="32"/>
          <w:szCs w:val="32"/>
        </w:rPr>
        <w:t>条措施，开展靠前服务、预约服务、上门服务、帮办代办服务，组织召开部门联席会议</w:t>
      </w:r>
      <w:r>
        <w:rPr>
          <w:rFonts w:eastAsia="仿宋_GB2312"/>
          <w:sz w:val="32"/>
          <w:szCs w:val="32"/>
        </w:rPr>
        <w:t>6</w:t>
      </w:r>
      <w:r>
        <w:rPr>
          <w:rFonts w:eastAsia="仿宋_GB2312"/>
          <w:sz w:val="32"/>
          <w:szCs w:val="32"/>
        </w:rPr>
        <w:t>次，对全市</w:t>
      </w:r>
      <w:r>
        <w:rPr>
          <w:rFonts w:eastAsia="仿宋_GB2312"/>
          <w:sz w:val="32"/>
          <w:szCs w:val="32"/>
        </w:rPr>
        <w:t>52</w:t>
      </w:r>
      <w:r>
        <w:rPr>
          <w:rFonts w:eastAsia="仿宋_GB2312"/>
          <w:sz w:val="32"/>
          <w:szCs w:val="32"/>
        </w:rPr>
        <w:t>家重点企业开展走访服务、</w:t>
      </w:r>
      <w:r>
        <w:rPr>
          <w:rFonts w:eastAsia="仿宋_GB2312"/>
          <w:sz w:val="32"/>
          <w:szCs w:val="32"/>
        </w:rPr>
        <w:t>4</w:t>
      </w:r>
      <w:r>
        <w:rPr>
          <w:rFonts w:eastAsia="仿宋_GB2312"/>
          <w:sz w:val="32"/>
          <w:szCs w:val="32"/>
        </w:rPr>
        <w:t>个重点项目开展上门服务，为</w:t>
      </w:r>
      <w:r>
        <w:rPr>
          <w:rFonts w:eastAsia="仿宋_GB2312"/>
          <w:sz w:val="32"/>
          <w:szCs w:val="32"/>
        </w:rPr>
        <w:t>12</w:t>
      </w:r>
      <w:r>
        <w:rPr>
          <w:rFonts w:eastAsia="仿宋_GB2312"/>
          <w:sz w:val="32"/>
          <w:szCs w:val="32"/>
        </w:rPr>
        <w:t>家企业提供帮办代办服务</w:t>
      </w:r>
      <w:r>
        <w:rPr>
          <w:rFonts w:eastAsia="仿宋_GB2312"/>
          <w:sz w:val="32"/>
          <w:szCs w:val="32"/>
        </w:rPr>
        <w:t>30</w:t>
      </w:r>
      <w:r>
        <w:rPr>
          <w:rFonts w:eastAsia="仿宋_GB2312"/>
          <w:sz w:val="32"/>
          <w:szCs w:val="32"/>
        </w:rPr>
        <w:t>次，为</w:t>
      </w:r>
      <w:r>
        <w:rPr>
          <w:rFonts w:eastAsia="仿宋_GB2312"/>
          <w:sz w:val="32"/>
          <w:szCs w:val="32"/>
        </w:rPr>
        <w:t>52</w:t>
      </w:r>
      <w:r>
        <w:rPr>
          <w:rFonts w:eastAsia="仿宋_GB2312"/>
          <w:sz w:val="32"/>
          <w:szCs w:val="32"/>
        </w:rPr>
        <w:t>家企业协调解决问题</w:t>
      </w:r>
      <w:r>
        <w:rPr>
          <w:rFonts w:eastAsia="仿宋_GB2312"/>
          <w:sz w:val="32"/>
          <w:szCs w:val="32"/>
        </w:rPr>
        <w:t>17</w:t>
      </w:r>
      <w:r>
        <w:rPr>
          <w:rFonts w:eastAsia="仿宋_GB2312"/>
          <w:sz w:val="32"/>
          <w:szCs w:val="32"/>
        </w:rPr>
        <w:t>个，提前对接重大招商引资签约项目</w:t>
      </w:r>
      <w:r>
        <w:rPr>
          <w:rFonts w:eastAsia="仿宋_GB2312"/>
          <w:sz w:val="32"/>
          <w:szCs w:val="32"/>
        </w:rPr>
        <w:t>19</w:t>
      </w:r>
      <w:r>
        <w:rPr>
          <w:rFonts w:eastAsia="仿宋_GB2312"/>
          <w:sz w:val="32"/>
          <w:szCs w:val="32"/>
        </w:rPr>
        <w:t>个。扎实开展</w:t>
      </w:r>
      <w:r>
        <w:rPr>
          <w:rFonts w:eastAsia="仿宋_GB2312"/>
          <w:sz w:val="32"/>
          <w:szCs w:val="32"/>
        </w:rPr>
        <w:t>“</w:t>
      </w:r>
      <w:r>
        <w:rPr>
          <w:rFonts w:eastAsia="仿宋_GB2312"/>
          <w:sz w:val="32"/>
          <w:szCs w:val="32"/>
        </w:rPr>
        <w:t>纪企亲清行</w:t>
      </w:r>
      <w:r>
        <w:rPr>
          <w:rFonts w:eastAsia="仿宋_GB2312"/>
          <w:sz w:val="32"/>
          <w:szCs w:val="32"/>
        </w:rPr>
        <w:t>·</w:t>
      </w:r>
      <w:r>
        <w:rPr>
          <w:rFonts w:eastAsia="仿宋_GB2312"/>
          <w:sz w:val="32"/>
          <w:szCs w:val="32"/>
        </w:rPr>
        <w:t>政商面对面</w:t>
      </w:r>
      <w:r>
        <w:rPr>
          <w:rFonts w:eastAsia="仿宋_GB2312"/>
          <w:sz w:val="32"/>
          <w:szCs w:val="32"/>
        </w:rPr>
        <w:t>”</w:t>
      </w:r>
      <w:r>
        <w:rPr>
          <w:rFonts w:eastAsia="仿宋_GB2312"/>
          <w:sz w:val="32"/>
          <w:szCs w:val="32"/>
        </w:rPr>
        <w:t>活动，先后接待群众咨询</w:t>
      </w:r>
      <w:r>
        <w:rPr>
          <w:rFonts w:eastAsia="仿宋_GB2312"/>
          <w:sz w:val="32"/>
          <w:szCs w:val="32"/>
        </w:rPr>
        <w:t>2300</w:t>
      </w:r>
      <w:r>
        <w:rPr>
          <w:rFonts w:eastAsia="仿宋_GB2312"/>
          <w:sz w:val="32"/>
          <w:szCs w:val="32"/>
        </w:rPr>
        <w:t>余人次，</w:t>
      </w:r>
      <w:r>
        <w:rPr>
          <w:rFonts w:eastAsia="仿宋_GB2312"/>
          <w:sz w:val="32"/>
          <w:szCs w:val="32"/>
        </w:rPr>
        <w:t>13</w:t>
      </w:r>
      <w:r>
        <w:rPr>
          <w:rFonts w:eastAsia="仿宋_GB2312"/>
          <w:sz w:val="32"/>
          <w:szCs w:val="32"/>
        </w:rPr>
        <w:t>个部门主要领导在</w:t>
      </w:r>
      <w:r>
        <w:rPr>
          <w:rFonts w:eastAsia="仿宋_GB2312"/>
          <w:sz w:val="32"/>
          <w:szCs w:val="32"/>
        </w:rPr>
        <w:t>“</w:t>
      </w:r>
      <w:r>
        <w:rPr>
          <w:rFonts w:eastAsia="仿宋_GB2312"/>
          <w:sz w:val="32"/>
          <w:szCs w:val="32"/>
        </w:rPr>
        <w:t>局长接待日</w:t>
      </w:r>
      <w:r>
        <w:rPr>
          <w:rFonts w:eastAsia="仿宋_GB2312"/>
          <w:sz w:val="32"/>
          <w:szCs w:val="32"/>
        </w:rPr>
        <w:t>”</w:t>
      </w:r>
      <w:r>
        <w:rPr>
          <w:rFonts w:eastAsia="仿宋_GB2312"/>
          <w:sz w:val="32"/>
          <w:szCs w:val="32"/>
        </w:rPr>
        <w:t>期间现场为企业办件</w:t>
      </w:r>
      <w:r>
        <w:rPr>
          <w:rFonts w:eastAsia="仿宋_GB2312"/>
          <w:sz w:val="32"/>
          <w:szCs w:val="32"/>
        </w:rPr>
        <w:t>320</w:t>
      </w:r>
      <w:r>
        <w:rPr>
          <w:rFonts w:eastAsia="仿宋_GB2312"/>
          <w:sz w:val="32"/>
          <w:szCs w:val="32"/>
        </w:rPr>
        <w:t>件，帮助解决疑难问题</w:t>
      </w:r>
      <w:r>
        <w:rPr>
          <w:rFonts w:eastAsia="仿宋_GB2312"/>
          <w:sz w:val="32"/>
          <w:szCs w:val="32"/>
        </w:rPr>
        <w:t>13</w:t>
      </w:r>
      <w:r>
        <w:rPr>
          <w:rFonts w:eastAsia="仿宋_GB2312"/>
          <w:sz w:val="32"/>
          <w:szCs w:val="32"/>
        </w:rPr>
        <w:t>件。</w:t>
      </w:r>
      <w:r>
        <w:rPr>
          <w:rFonts w:eastAsia="仿宋_GB2312"/>
          <w:sz w:val="32"/>
          <w:szCs w:val="32"/>
        </w:rPr>
        <w:t>12345</w:t>
      </w:r>
      <w:r>
        <w:rPr>
          <w:rFonts w:eastAsia="仿宋_GB2312"/>
          <w:sz w:val="32"/>
          <w:szCs w:val="32"/>
        </w:rPr>
        <w:t>政务服务热线设置企业投资服务专席，健全政企全天候交流机制，解决企业诉求</w:t>
      </w:r>
      <w:r>
        <w:rPr>
          <w:rFonts w:eastAsia="仿宋_GB2312"/>
          <w:sz w:val="32"/>
          <w:szCs w:val="32"/>
        </w:rPr>
        <w:t>76</w:t>
      </w:r>
      <w:r>
        <w:rPr>
          <w:rFonts w:eastAsia="仿宋_GB2312"/>
          <w:sz w:val="32"/>
          <w:szCs w:val="32"/>
        </w:rPr>
        <w:t>件，企业诉求限时办结率达</w:t>
      </w:r>
      <w:r>
        <w:rPr>
          <w:rFonts w:eastAsia="仿宋_GB2312"/>
          <w:sz w:val="32"/>
          <w:szCs w:val="32"/>
        </w:rPr>
        <w:t>100%</w:t>
      </w:r>
      <w:r>
        <w:rPr>
          <w:rFonts w:eastAsia="仿宋_GB2312"/>
          <w:sz w:val="32"/>
          <w:szCs w:val="32"/>
        </w:rPr>
        <w:t>。</w:t>
      </w:r>
    </w:p>
    <w:p w:rsidR="00C91ED0" w:rsidRDefault="001C5ABB">
      <w:pPr>
        <w:pStyle w:val="a3"/>
        <w:adjustRightInd w:val="0"/>
        <w:snapToGrid w:val="0"/>
        <w:spacing w:before="93" w:line="600" w:lineRule="exact"/>
        <w:ind w:firstLineChars="210" w:firstLine="675"/>
        <w:outlineLvl w:val="2"/>
        <w:rPr>
          <w:rFonts w:ascii="仿宋" w:eastAsia="仿宋" w:hAnsi="仿宋"/>
          <w:bCs/>
          <w:color w:val="000000"/>
          <w:sz w:val="32"/>
          <w:szCs w:val="32"/>
        </w:rPr>
      </w:pPr>
      <w:r>
        <w:rPr>
          <w:rFonts w:hint="eastAsia"/>
          <w:b/>
          <w:sz w:val="32"/>
          <w:szCs w:val="32"/>
        </w:rPr>
        <w:t>4.加强督查考核评价，政务热线运转高效。</w:t>
      </w:r>
      <w:r>
        <w:rPr>
          <w:rFonts w:ascii="Times New Roman"/>
          <w:sz w:val="32"/>
          <w:szCs w:val="32"/>
        </w:rPr>
        <w:t>加强与省</w:t>
      </w:r>
      <w:r>
        <w:rPr>
          <w:rFonts w:ascii="Times New Roman"/>
          <w:sz w:val="32"/>
          <w:szCs w:val="32"/>
        </w:rPr>
        <w:t>12345</w:t>
      </w:r>
      <w:r>
        <w:rPr>
          <w:rFonts w:ascii="Times New Roman"/>
          <w:sz w:val="32"/>
          <w:szCs w:val="32"/>
        </w:rPr>
        <w:t>政务服务热线对接，落实专人接收、转办省派发工单</w:t>
      </w:r>
      <w:r>
        <w:rPr>
          <w:rFonts w:ascii="Times New Roman"/>
          <w:sz w:val="32"/>
          <w:szCs w:val="32"/>
        </w:rPr>
        <w:t>438</w:t>
      </w:r>
      <w:r>
        <w:rPr>
          <w:rFonts w:ascii="Times New Roman"/>
          <w:sz w:val="32"/>
          <w:szCs w:val="32"/>
        </w:rPr>
        <w:t>件，办</w:t>
      </w:r>
      <w:r>
        <w:rPr>
          <w:rFonts w:ascii="Times New Roman"/>
          <w:sz w:val="32"/>
          <w:szCs w:val="32"/>
        </w:rPr>
        <w:lastRenderedPageBreak/>
        <w:t>结率</w:t>
      </w:r>
      <w:r>
        <w:rPr>
          <w:rFonts w:ascii="Times New Roman"/>
          <w:sz w:val="32"/>
          <w:szCs w:val="32"/>
        </w:rPr>
        <w:t>99.7%</w:t>
      </w:r>
      <w:r>
        <w:rPr>
          <w:rFonts w:ascii="Times New Roman"/>
          <w:sz w:val="32"/>
          <w:szCs w:val="32"/>
        </w:rPr>
        <w:t>、满意率</w:t>
      </w:r>
      <w:r>
        <w:rPr>
          <w:rFonts w:ascii="Times New Roman"/>
          <w:sz w:val="32"/>
          <w:szCs w:val="32"/>
        </w:rPr>
        <w:t>100%</w:t>
      </w:r>
      <w:r>
        <w:rPr>
          <w:rFonts w:ascii="Times New Roman"/>
          <w:sz w:val="32"/>
          <w:szCs w:val="32"/>
        </w:rPr>
        <w:t>。印发《关于进一步做好</w:t>
      </w:r>
      <w:r>
        <w:rPr>
          <w:rFonts w:ascii="Times New Roman"/>
          <w:sz w:val="32"/>
          <w:szCs w:val="32"/>
        </w:rPr>
        <w:t>12345</w:t>
      </w:r>
      <w:r>
        <w:rPr>
          <w:rFonts w:ascii="Times New Roman"/>
          <w:sz w:val="32"/>
          <w:szCs w:val="32"/>
        </w:rPr>
        <w:t>政务服务热线办理工作的通知》，修订完善考核评价指标，将热线工作特别是省</w:t>
      </w:r>
      <w:r>
        <w:rPr>
          <w:rFonts w:ascii="Times New Roman"/>
          <w:sz w:val="32"/>
          <w:szCs w:val="32"/>
        </w:rPr>
        <w:t>12345</w:t>
      </w:r>
      <w:r>
        <w:rPr>
          <w:rFonts w:ascii="Times New Roman"/>
          <w:sz w:val="32"/>
          <w:szCs w:val="32"/>
        </w:rPr>
        <w:t>政务服务热线交办事项办理情况纳入考评体系，强化跟踪督办，对满意度低或存在问题单位发</w:t>
      </w:r>
      <w:r>
        <w:rPr>
          <w:rFonts w:ascii="Times New Roman"/>
          <w:sz w:val="32"/>
          <w:szCs w:val="32"/>
        </w:rPr>
        <w:t>“</w:t>
      </w:r>
      <w:r>
        <w:rPr>
          <w:rFonts w:ascii="Times New Roman"/>
          <w:sz w:val="32"/>
          <w:szCs w:val="32"/>
        </w:rPr>
        <w:t>发点球</w:t>
      </w:r>
      <w:r>
        <w:rPr>
          <w:rFonts w:ascii="Times New Roman"/>
          <w:sz w:val="32"/>
          <w:szCs w:val="32"/>
        </w:rPr>
        <w:t>”8</w:t>
      </w:r>
      <w:r>
        <w:rPr>
          <w:rFonts w:ascii="Times New Roman"/>
          <w:sz w:val="32"/>
          <w:szCs w:val="32"/>
        </w:rPr>
        <w:t>次进行专项督办，及时回应社会关切，架起政民互动连心桥。巴中</w:t>
      </w:r>
      <w:r>
        <w:rPr>
          <w:rFonts w:ascii="Times New Roman"/>
          <w:sz w:val="32"/>
          <w:szCs w:val="32"/>
        </w:rPr>
        <w:t>12345</w:t>
      </w:r>
      <w:r>
        <w:rPr>
          <w:rFonts w:ascii="Times New Roman"/>
          <w:sz w:val="32"/>
          <w:szCs w:val="32"/>
        </w:rPr>
        <w:t>政务服务热线荣获</w:t>
      </w:r>
      <w:r>
        <w:rPr>
          <w:rFonts w:ascii="Times New Roman"/>
          <w:sz w:val="32"/>
          <w:szCs w:val="32"/>
        </w:rPr>
        <w:t>“</w:t>
      </w:r>
      <w:r>
        <w:rPr>
          <w:rFonts w:ascii="Times New Roman"/>
          <w:sz w:val="32"/>
          <w:szCs w:val="32"/>
        </w:rPr>
        <w:t>全国十佳热线奖</w:t>
      </w:r>
      <w:r>
        <w:rPr>
          <w:rFonts w:ascii="Times New Roman"/>
          <w:sz w:val="32"/>
          <w:szCs w:val="32"/>
        </w:rPr>
        <w:t>”</w:t>
      </w:r>
      <w:r>
        <w:rPr>
          <w:rFonts w:ascii="Times New Roman"/>
          <w:sz w:val="32"/>
          <w:szCs w:val="32"/>
        </w:rPr>
        <w:t>。</w:t>
      </w:r>
    </w:p>
    <w:p w:rsidR="00C91ED0" w:rsidRDefault="001C5ABB">
      <w:pPr>
        <w:pStyle w:val="2"/>
        <w:ind w:firstLineChars="200" w:firstLine="640"/>
        <w:rPr>
          <w:rStyle w:val="2Char"/>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C91ED0" w:rsidRDefault="001C5ABB">
      <w:pPr>
        <w:ind w:firstLineChars="200" w:firstLine="640"/>
        <w:rPr>
          <w:rFonts w:ascii="仿宋" w:eastAsia="仿宋" w:hAnsi="仿宋"/>
          <w:sz w:val="32"/>
          <w:szCs w:val="32"/>
        </w:rPr>
      </w:pPr>
      <w:r>
        <w:rPr>
          <w:rFonts w:ascii="仿宋" w:eastAsia="仿宋" w:hAnsi="仿宋" w:hint="eastAsia"/>
          <w:sz w:val="32"/>
          <w:szCs w:val="32"/>
        </w:rPr>
        <w:t>市中心下属二级单位1个，其中行政单位0个，参照公务员法管理的事业单位</w:t>
      </w:r>
      <w:r>
        <w:rPr>
          <w:rFonts w:ascii="仿宋" w:eastAsia="仿宋" w:hAnsi="仿宋" w:hint="eastAsia"/>
          <w:bCs/>
          <w:sz w:val="32"/>
          <w:szCs w:val="32"/>
        </w:rPr>
        <w:t>0</w:t>
      </w:r>
      <w:r>
        <w:rPr>
          <w:rFonts w:ascii="仿宋" w:eastAsia="仿宋" w:hAnsi="仿宋" w:hint="eastAsia"/>
          <w:sz w:val="32"/>
          <w:szCs w:val="32"/>
        </w:rPr>
        <w:t>个，其他事业单位1个。</w:t>
      </w:r>
    </w:p>
    <w:p w:rsidR="00C91ED0" w:rsidRDefault="001C5ABB">
      <w:pPr>
        <w:spacing w:line="560" w:lineRule="exact"/>
        <w:ind w:firstLineChars="200" w:firstLine="640"/>
        <w:rPr>
          <w:rFonts w:ascii="仿宋_GB2312" w:eastAsia="仿宋_GB2312" w:hAnsi="仿宋_GB2312" w:cs="仿宋_GB2312"/>
          <w:sz w:val="32"/>
          <w:szCs w:val="32"/>
        </w:rPr>
      </w:pPr>
      <w:r>
        <w:rPr>
          <w:rFonts w:ascii="仿宋" w:eastAsia="仿宋" w:hAnsi="仿宋" w:hint="eastAsia"/>
          <w:color w:val="000000"/>
          <w:sz w:val="32"/>
          <w:szCs w:val="32"/>
        </w:rPr>
        <w:t>纳入市中心2019年度部门决算编制范围的二级预算单位包括：</w:t>
      </w:r>
      <w:bookmarkStart w:id="22" w:name="_Toc15306276"/>
      <w:bookmarkStart w:id="23" w:name="_Toc15377202"/>
      <w:bookmarkStart w:id="24" w:name="_Toc15377433"/>
      <w:bookmarkStart w:id="25" w:name="_Toc15378449"/>
    </w:p>
    <w:p w:rsidR="00C91ED0" w:rsidRDefault="001C5ABB">
      <w:pPr>
        <w:spacing w:line="560" w:lineRule="exact"/>
        <w:ind w:firstLineChars="200" w:firstLine="640"/>
        <w:rPr>
          <w:rFonts w:ascii="仿宋" w:eastAsia="仿宋" w:hAnsi="仿宋"/>
          <w:color w:val="000000"/>
          <w:sz w:val="32"/>
          <w:szCs w:val="32"/>
        </w:rPr>
      </w:pPr>
      <w:r>
        <w:rPr>
          <w:rFonts w:ascii="仿宋_GB2312" w:eastAsia="仿宋_GB2312" w:hAnsi="仿宋_GB2312" w:cs="仿宋_GB2312" w:hint="eastAsia"/>
          <w:sz w:val="32"/>
          <w:szCs w:val="32"/>
        </w:rPr>
        <w:t>1.有下属二级预算单位一个---市企业投资促进协调服务中心，未单列预算</w:t>
      </w:r>
      <w:bookmarkEnd w:id="22"/>
      <w:bookmarkEnd w:id="23"/>
      <w:bookmarkEnd w:id="24"/>
      <w:bookmarkEnd w:id="25"/>
      <w:r>
        <w:rPr>
          <w:rFonts w:ascii="仿宋" w:eastAsia="仿宋" w:hAnsi="仿宋" w:hint="eastAsia"/>
          <w:color w:val="000000"/>
          <w:sz w:val="32"/>
          <w:szCs w:val="32"/>
        </w:rPr>
        <w:t>。</w:t>
      </w:r>
    </w:p>
    <w:p w:rsidR="00C91ED0" w:rsidRDefault="001C5ABB">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C91ED0" w:rsidRDefault="001C5ABB">
      <w:pPr>
        <w:pStyle w:val="1"/>
        <w:ind w:right="440"/>
        <w:jc w:val="right"/>
        <w:rPr>
          <w:rStyle w:val="1Char"/>
          <w:rFonts w:ascii="黑体" w:eastAsia="黑体" w:hAnsi="黑体"/>
        </w:rPr>
      </w:pPr>
      <w:bookmarkStart w:id="26" w:name="_Toc15396602"/>
      <w:bookmarkStart w:id="27" w:name="_Toc15377204"/>
      <w:r>
        <w:rPr>
          <w:rFonts w:ascii="黑体" w:eastAsia="黑体" w:hAnsi="黑体" w:hint="eastAsia"/>
          <w:b w:val="0"/>
          <w:color w:val="000000"/>
        </w:rPr>
        <w:lastRenderedPageBreak/>
        <w:t>第二部分</w:t>
      </w:r>
      <w:r>
        <w:rPr>
          <w:rStyle w:val="1Char"/>
          <w:rFonts w:ascii="黑体" w:eastAsia="黑体" w:hAnsi="黑体" w:hint="eastAsia"/>
        </w:rPr>
        <w:t>2019年度部门决算情况说明</w:t>
      </w:r>
      <w:bookmarkEnd w:id="26"/>
      <w:bookmarkEnd w:id="27"/>
    </w:p>
    <w:p w:rsidR="00C91ED0" w:rsidRDefault="00C91ED0"/>
    <w:p w:rsidR="00C91ED0" w:rsidRDefault="001C5ABB">
      <w:pPr>
        <w:pStyle w:val="11"/>
        <w:numPr>
          <w:ilvl w:val="0"/>
          <w:numId w:val="1"/>
        </w:numPr>
        <w:spacing w:line="600" w:lineRule="exact"/>
        <w:ind w:firstLineChars="0"/>
        <w:outlineLvl w:val="1"/>
        <w:rPr>
          <w:rStyle w:val="2Char"/>
          <w:rFonts w:ascii="黑体" w:eastAsia="黑体" w:hAnsi="黑体"/>
          <w:b w:val="0"/>
        </w:rPr>
      </w:pPr>
      <w:bookmarkStart w:id="28" w:name="_Toc15396603"/>
      <w:bookmarkStart w:id="29"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8"/>
      <w:bookmarkEnd w:id="29"/>
    </w:p>
    <w:p w:rsidR="00C91ED0" w:rsidRDefault="001C5AB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2019年度收、支总计2428.15万元，与2018年相比，收、支总计减少599.67万元，下降19.81</w:t>
      </w:r>
      <w:r>
        <w:rPr>
          <w:rFonts w:ascii="仿宋" w:eastAsia="仿宋" w:hAnsi="仿宋"/>
          <w:color w:val="000000"/>
          <w:sz w:val="32"/>
          <w:szCs w:val="32"/>
        </w:rPr>
        <w:t>%</w:t>
      </w:r>
      <w:r>
        <w:rPr>
          <w:rFonts w:ascii="仿宋" w:eastAsia="仿宋" w:hAnsi="仿宋" w:hint="eastAsia"/>
          <w:color w:val="000000"/>
          <w:sz w:val="32"/>
          <w:szCs w:val="32"/>
        </w:rPr>
        <w:t>。主要变动原因是基建项目支出减少。</w:t>
      </w:r>
    </w:p>
    <w:p w:rsidR="00C91ED0" w:rsidRDefault="001C5ABB" w:rsidP="00CD363E">
      <w:pPr>
        <w:spacing w:line="600" w:lineRule="exact"/>
        <w:ind w:firstLineChars="150" w:firstLine="315"/>
        <w:rPr>
          <w:rFonts w:ascii="仿宋" w:eastAsia="仿宋" w:hAnsi="仿宋"/>
          <w:color w:val="000000" w:themeColor="text1"/>
          <w:sz w:val="32"/>
          <w:szCs w:val="32"/>
        </w:rPr>
      </w:pPr>
      <w:r>
        <w:rPr>
          <w:noProof/>
        </w:rPr>
        <w:drawing>
          <wp:anchor distT="0" distB="0" distL="114300" distR="114300" simplePos="0" relativeHeight="251669504" behindDoc="0" locked="0" layoutInCell="1" allowOverlap="1">
            <wp:simplePos x="0" y="0"/>
            <wp:positionH relativeFrom="column">
              <wp:posOffset>509270</wp:posOffset>
            </wp:positionH>
            <wp:positionV relativeFrom="paragraph">
              <wp:posOffset>194945</wp:posOffset>
            </wp:positionV>
            <wp:extent cx="4572000" cy="2743200"/>
            <wp:effectExtent l="4445" t="4445" r="14605" b="14605"/>
            <wp:wrapNone/>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91ED0" w:rsidRDefault="00C91ED0">
      <w:pPr>
        <w:spacing w:line="600" w:lineRule="exact"/>
        <w:ind w:firstLineChars="150" w:firstLine="480"/>
        <w:rPr>
          <w:rFonts w:ascii="仿宋" w:eastAsia="仿宋" w:hAnsi="仿宋"/>
          <w:color w:val="000000" w:themeColor="text1"/>
          <w:sz w:val="32"/>
          <w:szCs w:val="32"/>
        </w:rPr>
      </w:pPr>
    </w:p>
    <w:p w:rsidR="00C91ED0" w:rsidRDefault="00C91ED0">
      <w:pPr>
        <w:spacing w:line="600" w:lineRule="exact"/>
        <w:ind w:firstLineChars="150" w:firstLine="480"/>
        <w:rPr>
          <w:rFonts w:ascii="仿宋" w:eastAsia="仿宋" w:hAnsi="仿宋"/>
          <w:color w:val="000000" w:themeColor="text1"/>
          <w:sz w:val="32"/>
          <w:szCs w:val="32"/>
        </w:rPr>
      </w:pPr>
    </w:p>
    <w:p w:rsidR="00C91ED0" w:rsidRDefault="00C91ED0">
      <w:pPr>
        <w:spacing w:line="600" w:lineRule="exact"/>
        <w:ind w:firstLineChars="150" w:firstLine="480"/>
        <w:rPr>
          <w:rFonts w:ascii="仿宋" w:eastAsia="仿宋" w:hAnsi="仿宋"/>
          <w:color w:val="000000" w:themeColor="text1"/>
          <w:sz w:val="32"/>
          <w:szCs w:val="32"/>
        </w:rPr>
      </w:pPr>
    </w:p>
    <w:p w:rsidR="00C91ED0" w:rsidRDefault="00C91ED0">
      <w:pPr>
        <w:spacing w:line="600" w:lineRule="exact"/>
        <w:ind w:firstLineChars="150" w:firstLine="480"/>
        <w:rPr>
          <w:rFonts w:ascii="仿宋" w:eastAsia="仿宋" w:hAnsi="仿宋"/>
          <w:color w:val="000000" w:themeColor="text1"/>
          <w:sz w:val="32"/>
          <w:szCs w:val="32"/>
        </w:rPr>
      </w:pPr>
    </w:p>
    <w:p w:rsidR="00C91ED0" w:rsidRDefault="00C91ED0">
      <w:pPr>
        <w:spacing w:line="600" w:lineRule="exact"/>
        <w:ind w:firstLineChars="150" w:firstLine="480"/>
        <w:rPr>
          <w:rFonts w:ascii="仿宋" w:eastAsia="仿宋" w:hAnsi="仿宋"/>
          <w:color w:val="000000" w:themeColor="text1"/>
          <w:sz w:val="32"/>
          <w:szCs w:val="32"/>
        </w:rPr>
      </w:pPr>
    </w:p>
    <w:p w:rsidR="00C91ED0" w:rsidRDefault="00C91ED0">
      <w:pPr>
        <w:spacing w:line="600" w:lineRule="exact"/>
        <w:ind w:firstLineChars="150" w:firstLine="480"/>
        <w:rPr>
          <w:rFonts w:ascii="仿宋" w:eastAsia="仿宋" w:hAnsi="仿宋"/>
          <w:color w:val="000000" w:themeColor="text1"/>
          <w:sz w:val="32"/>
          <w:szCs w:val="32"/>
        </w:rPr>
      </w:pPr>
    </w:p>
    <w:p w:rsidR="00C91ED0" w:rsidRDefault="00C91ED0">
      <w:pPr>
        <w:spacing w:line="600" w:lineRule="exact"/>
        <w:rPr>
          <w:rFonts w:ascii="仿宋" w:eastAsia="仿宋" w:hAnsi="仿宋"/>
          <w:color w:val="000000" w:themeColor="text1"/>
          <w:sz w:val="32"/>
          <w:szCs w:val="32"/>
        </w:rPr>
      </w:pPr>
    </w:p>
    <w:p w:rsidR="00C91ED0" w:rsidRPr="00CD363E" w:rsidRDefault="001C5ABB" w:rsidP="00CD363E">
      <w:pPr>
        <w:spacing w:line="520" w:lineRule="exact"/>
        <w:ind w:firstLineChars="200" w:firstLine="640"/>
        <w:rPr>
          <w:rFonts w:ascii="仿宋" w:eastAsia="仿宋" w:hAnsi="仿宋"/>
          <w:color w:val="000000"/>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：收、支决算总计变动情况图）（柱状图）</w:t>
      </w:r>
      <w:bookmarkStart w:id="30" w:name="_Toc15377206"/>
      <w:bookmarkStart w:id="31" w:name="_Toc15396604"/>
    </w:p>
    <w:p w:rsidR="00CD363E" w:rsidRPr="00CD363E" w:rsidRDefault="001C5ABB" w:rsidP="00CD363E">
      <w:pPr>
        <w:pStyle w:val="11"/>
        <w:spacing w:line="600" w:lineRule="exact"/>
        <w:ind w:left="640" w:firstLineChars="0" w:firstLine="0"/>
        <w:outlineLvl w:val="1"/>
        <w:rPr>
          <w:rFonts w:ascii="黑体" w:eastAsia="黑体" w:hAnsi="黑体" w:cstheme="majorBidi"/>
          <w:bCs/>
          <w:sz w:val="32"/>
          <w:szCs w:val="32"/>
        </w:rPr>
      </w:pPr>
      <w:r>
        <w:rPr>
          <w:rFonts w:ascii="黑体" w:eastAsia="黑体" w:hAnsi="黑体" w:hint="eastAsia"/>
          <w:color w:val="000000"/>
          <w:sz w:val="32"/>
          <w:szCs w:val="32"/>
        </w:rPr>
        <w:t>二、收</w:t>
      </w:r>
      <w:r>
        <w:rPr>
          <w:rStyle w:val="2Char"/>
          <w:rFonts w:ascii="黑体" w:eastAsia="黑体" w:hAnsi="黑体" w:hint="eastAsia"/>
          <w:b w:val="0"/>
        </w:rPr>
        <w:t>入决算情况说明</w:t>
      </w:r>
      <w:bookmarkEnd w:id="30"/>
      <w:bookmarkEnd w:id="31"/>
    </w:p>
    <w:p w:rsidR="00CD363E" w:rsidRDefault="00CD363E" w:rsidP="00CD363E">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9年本年收入合计1992.73万元，其中：一般公共预算财政拨款收入1992.73万元，占100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；国有资本经营预算财政拨款收入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；事业收入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；经营收入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；附属</w:t>
      </w:r>
    </w:p>
    <w:p w:rsidR="00CD363E" w:rsidRPr="00CD363E" w:rsidRDefault="00CD363E" w:rsidP="00CD363E">
      <w:pPr>
        <w:spacing w:line="600" w:lineRule="exact"/>
        <w:outlineLvl w:val="1"/>
        <w:rPr>
          <w:rFonts w:ascii="仿宋" w:eastAsia="仿宋" w:hAnsi="仿宋"/>
          <w:color w:val="000000"/>
          <w:sz w:val="32"/>
          <w:szCs w:val="32"/>
        </w:rPr>
      </w:pPr>
      <w:r>
        <w:rPr>
          <w:rFonts w:ascii="仿宋" w:eastAsia="仿宋" w:hAnsi="仿宋" w:hint="eastAsia"/>
          <w:color w:val="000000"/>
          <w:sz w:val="32"/>
          <w:szCs w:val="32"/>
        </w:rPr>
        <w:t>单位上缴收入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；其他收入</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w:t>
      </w:r>
    </w:p>
    <w:p w:rsidR="00CD363E" w:rsidRDefault="00CD363E" w:rsidP="00CD363E">
      <w:pPr>
        <w:spacing w:line="600" w:lineRule="exact"/>
        <w:outlineLvl w:val="1"/>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1312" behindDoc="1" locked="0" layoutInCell="1" allowOverlap="1">
            <wp:simplePos x="0" y="0"/>
            <wp:positionH relativeFrom="column">
              <wp:posOffset>116205</wp:posOffset>
            </wp:positionH>
            <wp:positionV relativeFrom="page">
              <wp:posOffset>1524000</wp:posOffset>
            </wp:positionV>
            <wp:extent cx="5410200" cy="2943225"/>
            <wp:effectExtent l="19050" t="0" r="19050" b="0"/>
            <wp:wrapTopAndBottom/>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91ED0" w:rsidRDefault="001C5ABB" w:rsidP="00CD363E">
      <w:pPr>
        <w:spacing w:line="600" w:lineRule="exact"/>
        <w:ind w:firstLineChars="550" w:firstLine="1760"/>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（图2：收入决算结构图）（饼状图）</w:t>
      </w:r>
    </w:p>
    <w:p w:rsidR="00C91ED0" w:rsidRDefault="001C5ABB">
      <w:pPr>
        <w:pStyle w:val="11"/>
        <w:numPr>
          <w:ilvl w:val="0"/>
          <w:numId w:val="1"/>
        </w:numPr>
        <w:spacing w:line="600" w:lineRule="exact"/>
        <w:ind w:firstLineChars="0"/>
        <w:outlineLvl w:val="1"/>
        <w:rPr>
          <w:rStyle w:val="2Char"/>
          <w:rFonts w:ascii="黑体" w:eastAsia="黑体" w:hAnsi="黑体"/>
          <w:b w:val="0"/>
        </w:rPr>
      </w:pPr>
      <w:bookmarkStart w:id="32" w:name="_Toc15396605"/>
      <w:bookmarkStart w:id="33"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2"/>
      <w:bookmarkEnd w:id="33"/>
    </w:p>
    <w:p w:rsidR="00C91ED0" w:rsidRDefault="001C5ABB">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9年本年支出合计2096.09万元，其中：基本支出447.31万元，占21.34</w:t>
      </w:r>
      <w:r>
        <w:rPr>
          <w:rFonts w:ascii="仿宋" w:eastAsia="仿宋" w:hAnsi="仿宋"/>
          <w:color w:val="000000"/>
          <w:sz w:val="32"/>
          <w:szCs w:val="32"/>
        </w:rPr>
        <w:t>%</w:t>
      </w:r>
      <w:r>
        <w:rPr>
          <w:rFonts w:ascii="仿宋" w:eastAsia="仿宋" w:hAnsi="仿宋" w:hint="eastAsia"/>
          <w:color w:val="000000"/>
          <w:sz w:val="32"/>
          <w:szCs w:val="32"/>
        </w:rPr>
        <w:t>；项目支出1648.78万元，占78.66</w:t>
      </w:r>
      <w:r>
        <w:rPr>
          <w:rFonts w:ascii="仿宋" w:eastAsia="仿宋" w:hAnsi="仿宋"/>
          <w:color w:val="000000"/>
          <w:sz w:val="32"/>
          <w:szCs w:val="32"/>
        </w:rPr>
        <w:t>%</w:t>
      </w:r>
      <w:r>
        <w:rPr>
          <w:rFonts w:ascii="仿宋" w:eastAsia="仿宋" w:hAnsi="仿宋" w:hint="eastAsia"/>
          <w:color w:val="000000"/>
          <w:sz w:val="32"/>
          <w:szCs w:val="32"/>
        </w:rPr>
        <w:t>。上缴上级支出</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；经营支出</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；对附属单位补助支出</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w:t>
      </w:r>
    </w:p>
    <w:p w:rsidR="00C91ED0" w:rsidRDefault="001C5ABB" w:rsidP="00CD363E">
      <w:pPr>
        <w:spacing w:line="600" w:lineRule="exact"/>
        <w:ind w:firstLineChars="200" w:firstLine="420"/>
        <w:outlineLvl w:val="1"/>
        <w:rPr>
          <w:rFonts w:ascii="仿宋" w:eastAsia="仿宋" w:hAnsi="仿宋"/>
          <w:color w:val="000000"/>
          <w:sz w:val="32"/>
          <w:szCs w:val="32"/>
        </w:rPr>
      </w:pPr>
      <w:r>
        <w:rPr>
          <w:noProof/>
        </w:rPr>
        <w:drawing>
          <wp:anchor distT="0" distB="0" distL="114300" distR="114300" simplePos="0" relativeHeight="251667456" behindDoc="0" locked="0" layoutInCell="1" allowOverlap="1">
            <wp:simplePos x="0" y="0"/>
            <wp:positionH relativeFrom="column">
              <wp:posOffset>347345</wp:posOffset>
            </wp:positionH>
            <wp:positionV relativeFrom="paragraph">
              <wp:posOffset>-5080</wp:posOffset>
            </wp:positionV>
            <wp:extent cx="4572000" cy="2743200"/>
            <wp:effectExtent l="4445" t="4445" r="14605" b="14605"/>
            <wp:wrapNone/>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91ED0" w:rsidRDefault="00C91ED0">
      <w:pPr>
        <w:spacing w:line="600" w:lineRule="exact"/>
        <w:ind w:firstLineChars="200" w:firstLine="640"/>
        <w:outlineLvl w:val="1"/>
        <w:rPr>
          <w:rFonts w:ascii="仿宋" w:eastAsia="仿宋" w:hAnsi="仿宋"/>
          <w:color w:val="000000"/>
          <w:sz w:val="32"/>
          <w:szCs w:val="32"/>
        </w:rPr>
      </w:pPr>
    </w:p>
    <w:p w:rsidR="00C91ED0" w:rsidRDefault="00C91ED0">
      <w:pPr>
        <w:spacing w:line="600" w:lineRule="exact"/>
        <w:ind w:firstLineChars="200" w:firstLine="640"/>
        <w:rPr>
          <w:rFonts w:ascii="仿宋" w:eastAsia="仿宋" w:hAnsi="仿宋"/>
          <w:color w:val="000000" w:themeColor="text1"/>
          <w:sz w:val="32"/>
          <w:szCs w:val="32"/>
        </w:rPr>
      </w:pPr>
    </w:p>
    <w:p w:rsidR="00C91ED0" w:rsidRDefault="00C91ED0">
      <w:pPr>
        <w:spacing w:line="600" w:lineRule="exact"/>
        <w:ind w:firstLineChars="200" w:firstLine="640"/>
        <w:rPr>
          <w:rFonts w:ascii="仿宋" w:eastAsia="仿宋" w:hAnsi="仿宋"/>
          <w:color w:val="000000" w:themeColor="text1"/>
          <w:sz w:val="32"/>
          <w:szCs w:val="32"/>
        </w:rPr>
      </w:pPr>
    </w:p>
    <w:p w:rsidR="00C91ED0" w:rsidRDefault="00C91ED0">
      <w:pPr>
        <w:spacing w:line="600" w:lineRule="exact"/>
        <w:ind w:firstLineChars="200" w:firstLine="640"/>
        <w:rPr>
          <w:rFonts w:ascii="仿宋" w:eastAsia="仿宋" w:hAnsi="仿宋"/>
          <w:color w:val="000000" w:themeColor="text1"/>
          <w:sz w:val="32"/>
          <w:szCs w:val="32"/>
        </w:rPr>
      </w:pPr>
    </w:p>
    <w:p w:rsidR="00C91ED0" w:rsidRDefault="00C91ED0" w:rsidP="00E8440D">
      <w:pPr>
        <w:spacing w:line="600" w:lineRule="exact"/>
        <w:rPr>
          <w:rFonts w:ascii="仿宋" w:eastAsia="仿宋" w:hAnsi="仿宋"/>
          <w:color w:val="000000" w:themeColor="text1"/>
          <w:sz w:val="32"/>
          <w:szCs w:val="32"/>
        </w:rPr>
      </w:pPr>
    </w:p>
    <w:p w:rsidR="00C91ED0" w:rsidRDefault="001C5ABB" w:rsidP="00E8440D">
      <w:pPr>
        <w:spacing w:line="600" w:lineRule="exact"/>
        <w:ind w:firstLineChars="350" w:firstLine="112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（图3：支出决算结构图）（饼状图）</w:t>
      </w:r>
    </w:p>
    <w:p w:rsidR="00C91ED0" w:rsidRDefault="001C5ABB">
      <w:pPr>
        <w:spacing w:line="600" w:lineRule="exact"/>
        <w:ind w:firstLineChars="200" w:firstLine="640"/>
        <w:outlineLvl w:val="1"/>
        <w:rPr>
          <w:rStyle w:val="2Char"/>
          <w:rFonts w:ascii="黑体" w:eastAsia="黑体" w:hAnsi="黑体"/>
          <w:b w:val="0"/>
        </w:rPr>
      </w:pPr>
      <w:bookmarkStart w:id="34" w:name="_Toc15377208"/>
      <w:bookmarkStart w:id="35"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4"/>
      <w:bookmarkEnd w:id="35"/>
    </w:p>
    <w:p w:rsidR="00C91ED0" w:rsidRDefault="001C5ABB">
      <w:pPr>
        <w:spacing w:line="600" w:lineRule="exact"/>
        <w:ind w:firstLine="640"/>
        <w:rPr>
          <w:rFonts w:ascii="仿宋" w:eastAsia="仿宋" w:hAnsi="仿宋"/>
          <w:color w:val="000000"/>
          <w:sz w:val="32"/>
          <w:szCs w:val="32"/>
        </w:rPr>
      </w:pPr>
      <w:r>
        <w:rPr>
          <w:noProof/>
        </w:rPr>
        <w:drawing>
          <wp:anchor distT="0" distB="0" distL="114300" distR="114300" simplePos="0" relativeHeight="251670528" behindDoc="0" locked="0" layoutInCell="1" allowOverlap="1">
            <wp:simplePos x="0" y="0"/>
            <wp:positionH relativeFrom="column">
              <wp:posOffset>467995</wp:posOffset>
            </wp:positionH>
            <wp:positionV relativeFrom="paragraph">
              <wp:posOffset>1899920</wp:posOffset>
            </wp:positionV>
            <wp:extent cx="4572000" cy="2743200"/>
            <wp:effectExtent l="4445" t="4445" r="14605" b="14605"/>
            <wp:wrapNone/>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仿宋" w:eastAsia="仿宋" w:hAnsi="仿宋"/>
          <w:color w:val="000000"/>
          <w:sz w:val="32"/>
          <w:szCs w:val="32"/>
        </w:rPr>
        <w:t>201</w:t>
      </w:r>
      <w:r>
        <w:rPr>
          <w:rFonts w:ascii="仿宋" w:eastAsia="仿宋" w:hAnsi="仿宋" w:hint="eastAsia"/>
          <w:color w:val="000000"/>
          <w:sz w:val="32"/>
          <w:szCs w:val="32"/>
        </w:rPr>
        <w:t>9年财政拨款收入总计1992.73万元。与</w:t>
      </w:r>
      <w:r>
        <w:rPr>
          <w:rFonts w:ascii="仿宋" w:eastAsia="仿宋" w:hAnsi="仿宋"/>
          <w:color w:val="000000"/>
          <w:sz w:val="32"/>
          <w:szCs w:val="32"/>
        </w:rPr>
        <w:t>201</w:t>
      </w:r>
      <w:r>
        <w:rPr>
          <w:rFonts w:ascii="仿宋" w:eastAsia="仿宋" w:hAnsi="仿宋" w:hint="eastAsia"/>
          <w:color w:val="000000"/>
          <w:sz w:val="32"/>
          <w:szCs w:val="32"/>
        </w:rPr>
        <w:t>8年相比，财政拨款收入总计增加164.46万元，增长9</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color w:val="000000"/>
          <w:sz w:val="32"/>
          <w:szCs w:val="32"/>
        </w:rPr>
        <w:t>201</w:t>
      </w:r>
      <w:r>
        <w:rPr>
          <w:rFonts w:ascii="仿宋" w:eastAsia="仿宋" w:hAnsi="仿宋" w:hint="eastAsia"/>
          <w:color w:val="000000"/>
          <w:sz w:val="32"/>
          <w:szCs w:val="32"/>
        </w:rPr>
        <w:t>9年财政拨款支出总计2096.09万元。与</w:t>
      </w:r>
      <w:r>
        <w:rPr>
          <w:rFonts w:ascii="仿宋" w:eastAsia="仿宋" w:hAnsi="仿宋"/>
          <w:color w:val="000000"/>
          <w:sz w:val="32"/>
          <w:szCs w:val="32"/>
        </w:rPr>
        <w:t>201</w:t>
      </w:r>
      <w:r>
        <w:rPr>
          <w:rFonts w:ascii="仿宋" w:eastAsia="仿宋" w:hAnsi="仿宋" w:hint="eastAsia"/>
          <w:color w:val="000000"/>
          <w:sz w:val="32"/>
          <w:szCs w:val="32"/>
        </w:rPr>
        <w:t>8年相比，财政拨款支出总计减少391.24万元，下降15.73</w:t>
      </w:r>
      <w:r>
        <w:rPr>
          <w:rFonts w:ascii="仿宋" w:eastAsia="仿宋" w:hAnsi="仿宋"/>
          <w:color w:val="000000"/>
          <w:sz w:val="32"/>
          <w:szCs w:val="32"/>
        </w:rPr>
        <w:t>%</w:t>
      </w:r>
      <w:r>
        <w:rPr>
          <w:rFonts w:ascii="仿宋" w:eastAsia="仿宋" w:hAnsi="仿宋" w:hint="eastAsia"/>
          <w:color w:val="000000"/>
          <w:sz w:val="32"/>
          <w:szCs w:val="32"/>
        </w:rPr>
        <w:t>，主要变动原因是基建项目支出减少。</w:t>
      </w:r>
    </w:p>
    <w:p w:rsidR="00C91ED0" w:rsidRDefault="00C91ED0">
      <w:pPr>
        <w:spacing w:line="600" w:lineRule="exact"/>
        <w:ind w:firstLine="640"/>
        <w:rPr>
          <w:rFonts w:ascii="仿宋" w:eastAsia="仿宋" w:hAnsi="仿宋"/>
          <w:color w:val="000000"/>
          <w:sz w:val="32"/>
          <w:szCs w:val="32"/>
        </w:rPr>
      </w:pPr>
    </w:p>
    <w:p w:rsidR="00C91ED0" w:rsidRDefault="00C91ED0">
      <w:pPr>
        <w:spacing w:line="600" w:lineRule="exact"/>
        <w:ind w:firstLine="640"/>
        <w:rPr>
          <w:rFonts w:ascii="仿宋" w:eastAsia="仿宋" w:hAnsi="仿宋"/>
          <w:color w:val="000000"/>
          <w:sz w:val="32"/>
          <w:szCs w:val="32"/>
        </w:rPr>
      </w:pPr>
    </w:p>
    <w:p w:rsidR="00C91ED0" w:rsidRDefault="00C91ED0">
      <w:pPr>
        <w:spacing w:line="600" w:lineRule="exact"/>
        <w:ind w:firstLine="640"/>
        <w:rPr>
          <w:rFonts w:ascii="仿宋" w:eastAsia="仿宋" w:hAnsi="仿宋"/>
          <w:color w:val="000000"/>
          <w:sz w:val="32"/>
          <w:szCs w:val="32"/>
        </w:rPr>
      </w:pPr>
    </w:p>
    <w:p w:rsidR="00C91ED0" w:rsidRDefault="00C91ED0">
      <w:pPr>
        <w:spacing w:line="600" w:lineRule="exact"/>
        <w:ind w:firstLine="640"/>
        <w:rPr>
          <w:rFonts w:ascii="仿宋" w:eastAsia="仿宋" w:hAnsi="仿宋"/>
          <w:color w:val="000000"/>
          <w:sz w:val="32"/>
          <w:szCs w:val="32"/>
        </w:rPr>
      </w:pPr>
    </w:p>
    <w:p w:rsidR="00C91ED0" w:rsidRDefault="00C91ED0">
      <w:pPr>
        <w:spacing w:line="600" w:lineRule="exact"/>
        <w:ind w:firstLine="640"/>
        <w:rPr>
          <w:rFonts w:ascii="仿宋" w:eastAsia="仿宋" w:hAnsi="仿宋"/>
          <w:color w:val="000000"/>
          <w:sz w:val="32"/>
          <w:szCs w:val="32"/>
        </w:rPr>
      </w:pPr>
    </w:p>
    <w:p w:rsidR="00C91ED0" w:rsidRDefault="00C91ED0">
      <w:pPr>
        <w:spacing w:line="600" w:lineRule="exact"/>
        <w:ind w:firstLine="640"/>
        <w:rPr>
          <w:rFonts w:ascii="仿宋" w:eastAsia="仿宋" w:hAnsi="仿宋"/>
          <w:color w:val="000000"/>
          <w:sz w:val="32"/>
          <w:szCs w:val="32"/>
        </w:rPr>
      </w:pPr>
    </w:p>
    <w:p w:rsidR="00C91ED0" w:rsidRDefault="00C91ED0">
      <w:pPr>
        <w:spacing w:line="600" w:lineRule="exact"/>
        <w:rPr>
          <w:rFonts w:ascii="仿宋" w:eastAsia="仿宋" w:hAnsi="仿宋"/>
          <w:color w:val="000000" w:themeColor="text1"/>
          <w:sz w:val="32"/>
          <w:szCs w:val="32"/>
        </w:rPr>
      </w:pPr>
    </w:p>
    <w:p w:rsidR="00C91ED0" w:rsidRDefault="001C5ABB">
      <w:pPr>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（图4：财政拨款收、支决算总计变动情况）（柱状图）</w:t>
      </w:r>
    </w:p>
    <w:p w:rsidR="00C91ED0" w:rsidRDefault="001C5ABB">
      <w:pPr>
        <w:spacing w:line="600" w:lineRule="exact"/>
        <w:ind w:firstLineChars="200" w:firstLine="640"/>
        <w:outlineLvl w:val="1"/>
        <w:rPr>
          <w:rStyle w:val="2Char"/>
          <w:rFonts w:ascii="黑体" w:eastAsia="黑体" w:hAnsi="黑体"/>
          <w:b w:val="0"/>
        </w:rPr>
      </w:pPr>
      <w:bookmarkStart w:id="36" w:name="_Toc15396607"/>
      <w:bookmarkStart w:id="37"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6"/>
      <w:bookmarkEnd w:id="37"/>
    </w:p>
    <w:p w:rsidR="00C91ED0" w:rsidRDefault="001C5ABB">
      <w:pPr>
        <w:spacing w:line="600" w:lineRule="exact"/>
        <w:ind w:firstLineChars="200" w:firstLine="643"/>
        <w:outlineLvl w:val="2"/>
        <w:rPr>
          <w:rFonts w:ascii="仿宋" w:eastAsia="仿宋" w:hAnsi="仿宋"/>
          <w:b/>
          <w:color w:val="000000"/>
          <w:sz w:val="32"/>
          <w:szCs w:val="32"/>
        </w:rPr>
      </w:pPr>
      <w:bookmarkStart w:id="38" w:name="_Toc15377210"/>
      <w:r>
        <w:rPr>
          <w:rFonts w:ascii="楷体_GB2312" w:eastAsia="楷体_GB2312" w:hAnsi="楷体_GB2312" w:cs="楷体_GB2312" w:hint="eastAsia"/>
          <w:b/>
          <w:bCs/>
          <w:color w:val="000000"/>
          <w:sz w:val="32"/>
          <w:szCs w:val="32"/>
          <w:shd w:val="clear" w:color="auto" w:fill="FFFFFF"/>
        </w:rPr>
        <w:t>(一)一般公共预算财政拨款支出决算总体情况</w:t>
      </w:r>
      <w:bookmarkEnd w:id="38"/>
    </w:p>
    <w:p w:rsidR="00C91ED0" w:rsidRDefault="001C5ABB">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9年一般公共预算财政拨款支出2019.52万元，占本年支出合计的96.35</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8年相比，一般公共预算财政拨款减少393.29万元，下降16.3</w:t>
      </w:r>
      <w:r>
        <w:rPr>
          <w:rFonts w:ascii="仿宋" w:eastAsia="仿宋" w:hAnsi="仿宋"/>
          <w:color w:val="000000"/>
          <w:sz w:val="32"/>
          <w:szCs w:val="32"/>
        </w:rPr>
        <w:t>%</w:t>
      </w:r>
      <w:r>
        <w:rPr>
          <w:rFonts w:ascii="仿宋" w:eastAsia="仿宋" w:hAnsi="仿宋" w:hint="eastAsia"/>
          <w:color w:val="000000"/>
          <w:sz w:val="32"/>
          <w:szCs w:val="32"/>
        </w:rPr>
        <w:t>。主要变动原因是减少基本建设支出。</w:t>
      </w:r>
    </w:p>
    <w:p w:rsidR="00C91ED0" w:rsidRDefault="001C5ABB" w:rsidP="00CD363E">
      <w:pPr>
        <w:spacing w:line="600" w:lineRule="exact"/>
        <w:ind w:firstLineChars="200" w:firstLine="420"/>
        <w:rPr>
          <w:rFonts w:ascii="仿宋" w:eastAsia="仿宋" w:hAnsi="仿宋"/>
          <w:color w:val="000000"/>
          <w:sz w:val="32"/>
          <w:szCs w:val="32"/>
        </w:rPr>
      </w:pPr>
      <w:r>
        <w:rPr>
          <w:noProof/>
        </w:rPr>
        <w:lastRenderedPageBreak/>
        <w:drawing>
          <wp:anchor distT="0" distB="0" distL="114300" distR="114300" simplePos="0" relativeHeight="251671552" behindDoc="0" locked="0" layoutInCell="1" allowOverlap="1">
            <wp:simplePos x="0" y="0"/>
            <wp:positionH relativeFrom="column">
              <wp:posOffset>518795</wp:posOffset>
            </wp:positionH>
            <wp:positionV relativeFrom="paragraph">
              <wp:posOffset>109220</wp:posOffset>
            </wp:positionV>
            <wp:extent cx="4572000" cy="2743200"/>
            <wp:effectExtent l="4445" t="4445" r="14605" b="14605"/>
            <wp:wrapNone/>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91ED0" w:rsidRDefault="00C91ED0">
      <w:pPr>
        <w:spacing w:line="600" w:lineRule="exact"/>
        <w:ind w:firstLineChars="200" w:firstLine="640"/>
        <w:rPr>
          <w:rFonts w:ascii="仿宋" w:eastAsia="仿宋" w:hAnsi="仿宋"/>
          <w:color w:val="000000"/>
          <w:sz w:val="32"/>
          <w:szCs w:val="32"/>
        </w:rPr>
      </w:pPr>
    </w:p>
    <w:p w:rsidR="00C91ED0" w:rsidRDefault="00C91ED0">
      <w:pPr>
        <w:spacing w:line="600" w:lineRule="exact"/>
        <w:ind w:firstLineChars="200" w:firstLine="640"/>
        <w:rPr>
          <w:rFonts w:ascii="仿宋" w:eastAsia="仿宋" w:hAnsi="仿宋"/>
          <w:color w:val="000000"/>
          <w:sz w:val="32"/>
          <w:szCs w:val="32"/>
        </w:rPr>
      </w:pPr>
    </w:p>
    <w:p w:rsidR="00C91ED0" w:rsidRDefault="00C91ED0">
      <w:pPr>
        <w:spacing w:line="600" w:lineRule="exact"/>
        <w:ind w:firstLineChars="200" w:firstLine="640"/>
        <w:rPr>
          <w:rFonts w:ascii="仿宋" w:eastAsia="仿宋" w:hAnsi="仿宋"/>
          <w:color w:val="000000"/>
          <w:sz w:val="32"/>
          <w:szCs w:val="32"/>
        </w:rPr>
      </w:pPr>
    </w:p>
    <w:p w:rsidR="00C91ED0" w:rsidRDefault="00C91ED0">
      <w:pPr>
        <w:spacing w:line="600" w:lineRule="exact"/>
        <w:ind w:firstLineChars="200" w:firstLine="640"/>
        <w:rPr>
          <w:rFonts w:ascii="仿宋" w:eastAsia="仿宋" w:hAnsi="仿宋"/>
          <w:color w:val="000000"/>
          <w:sz w:val="32"/>
          <w:szCs w:val="32"/>
        </w:rPr>
      </w:pPr>
    </w:p>
    <w:p w:rsidR="00C91ED0" w:rsidRDefault="00C91ED0">
      <w:pPr>
        <w:spacing w:line="600" w:lineRule="exact"/>
        <w:ind w:firstLineChars="200" w:firstLine="640"/>
        <w:rPr>
          <w:rFonts w:ascii="仿宋" w:eastAsia="仿宋" w:hAnsi="仿宋"/>
          <w:color w:val="000000"/>
          <w:sz w:val="32"/>
          <w:szCs w:val="32"/>
        </w:rPr>
      </w:pPr>
    </w:p>
    <w:p w:rsidR="00C91ED0" w:rsidRDefault="00C91ED0">
      <w:pPr>
        <w:spacing w:line="600" w:lineRule="exact"/>
        <w:ind w:firstLineChars="200" w:firstLine="640"/>
        <w:rPr>
          <w:rFonts w:ascii="仿宋" w:eastAsia="仿宋" w:hAnsi="仿宋"/>
          <w:color w:val="000000"/>
          <w:sz w:val="32"/>
          <w:szCs w:val="32"/>
        </w:rPr>
      </w:pPr>
    </w:p>
    <w:p w:rsidR="00C91ED0" w:rsidRDefault="00C91ED0">
      <w:pPr>
        <w:spacing w:line="600" w:lineRule="exact"/>
        <w:ind w:firstLineChars="200" w:firstLine="640"/>
        <w:rPr>
          <w:rFonts w:ascii="仿宋" w:eastAsia="仿宋" w:hAnsi="仿宋"/>
          <w:color w:val="000000" w:themeColor="text1"/>
          <w:sz w:val="32"/>
          <w:szCs w:val="32"/>
        </w:rPr>
      </w:pPr>
    </w:p>
    <w:p w:rsidR="00C91ED0" w:rsidRDefault="001C5ABB" w:rsidP="00E569D0">
      <w:pPr>
        <w:spacing w:line="600" w:lineRule="exact"/>
        <w:rPr>
          <w:rFonts w:ascii="仿宋" w:eastAsia="仿宋" w:hAnsi="仿宋"/>
          <w:color w:val="000000" w:themeColor="text1"/>
          <w:sz w:val="32"/>
          <w:szCs w:val="32"/>
        </w:rPr>
      </w:pPr>
      <w:r>
        <w:rPr>
          <w:rFonts w:ascii="仿宋" w:eastAsia="仿宋" w:hAnsi="仿宋" w:hint="eastAsia"/>
          <w:color w:val="000000" w:themeColor="text1"/>
          <w:sz w:val="32"/>
          <w:szCs w:val="32"/>
        </w:rPr>
        <w:t>（图5：一般公共预算财政拨款支出决算变动情况）（柱状图）</w:t>
      </w:r>
    </w:p>
    <w:p w:rsidR="00C91ED0" w:rsidRDefault="001C5ABB">
      <w:pPr>
        <w:spacing w:line="600" w:lineRule="exact"/>
        <w:ind w:firstLineChars="200" w:firstLine="643"/>
        <w:outlineLvl w:val="2"/>
        <w:rPr>
          <w:rFonts w:ascii="楷体_GB2312" w:eastAsia="楷体_GB2312" w:hAnsi="楷体_GB2312" w:cs="楷体_GB2312"/>
          <w:b/>
          <w:bCs/>
          <w:color w:val="000000"/>
          <w:sz w:val="32"/>
          <w:szCs w:val="32"/>
          <w:shd w:val="clear" w:color="auto" w:fill="FFFFFF"/>
        </w:rPr>
      </w:pPr>
      <w:bookmarkStart w:id="39" w:name="_Toc15377211"/>
      <w:r>
        <w:rPr>
          <w:rFonts w:ascii="楷体_GB2312" w:eastAsia="楷体_GB2312" w:hAnsi="楷体_GB2312" w:cs="楷体_GB2312" w:hint="eastAsia"/>
          <w:b/>
          <w:bCs/>
          <w:color w:val="000000"/>
          <w:sz w:val="32"/>
          <w:szCs w:val="32"/>
          <w:shd w:val="clear" w:color="auto" w:fill="FFFFFF"/>
        </w:rPr>
        <w:t>(二)一般公共预算财政拨款支出决算结构情况</w:t>
      </w:r>
      <w:bookmarkEnd w:id="39"/>
    </w:p>
    <w:p w:rsidR="00C91ED0" w:rsidRDefault="001C5ABB">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政拨款支出2096.09万元，主要用于以下方面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支出2019.52万元，占96.35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教育支出（类）</w:t>
      </w:r>
      <w:r>
        <w:rPr>
          <w:rFonts w:ascii="仿宋" w:eastAsia="仿宋" w:hAnsi="仿宋" w:hint="eastAsia"/>
          <w:color w:val="000000" w:themeColor="text1"/>
          <w:sz w:val="32"/>
          <w:szCs w:val="32"/>
        </w:rPr>
        <w:t>4.47万元，占0.21</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支出33.11万元，占1.58</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卫生健康支出</w:t>
      </w:r>
      <w:r>
        <w:rPr>
          <w:rFonts w:ascii="仿宋" w:eastAsia="仿宋" w:hAnsi="仿宋" w:hint="eastAsia"/>
          <w:color w:val="000000" w:themeColor="text1"/>
          <w:sz w:val="32"/>
          <w:szCs w:val="32"/>
        </w:rPr>
        <w:t>16.08万元，占0.77</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住房保障支出</w:t>
      </w:r>
      <w:r>
        <w:rPr>
          <w:rFonts w:ascii="仿宋" w:eastAsia="仿宋" w:hAnsi="仿宋" w:hint="eastAsia"/>
          <w:color w:val="000000" w:themeColor="text1"/>
          <w:sz w:val="32"/>
          <w:szCs w:val="32"/>
        </w:rPr>
        <w:t>22.91万元，占1.09</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C91ED0" w:rsidRDefault="001C5ABB" w:rsidP="00CD363E">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72576" behindDoc="0" locked="0" layoutInCell="1" allowOverlap="1">
            <wp:simplePos x="0" y="0"/>
            <wp:positionH relativeFrom="column">
              <wp:posOffset>499745</wp:posOffset>
            </wp:positionH>
            <wp:positionV relativeFrom="paragraph">
              <wp:posOffset>118745</wp:posOffset>
            </wp:positionV>
            <wp:extent cx="4573905" cy="2887345"/>
            <wp:effectExtent l="4445" t="4445" r="12700" b="22860"/>
            <wp:wrapNone/>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C91ED0" w:rsidRDefault="00C91ED0">
      <w:pPr>
        <w:spacing w:line="600" w:lineRule="exact"/>
        <w:ind w:firstLineChars="200" w:firstLine="640"/>
        <w:rPr>
          <w:rFonts w:ascii="仿宋" w:eastAsia="仿宋" w:hAnsi="仿宋"/>
          <w:color w:val="000000"/>
          <w:sz w:val="32"/>
          <w:szCs w:val="32"/>
        </w:rPr>
      </w:pPr>
    </w:p>
    <w:p w:rsidR="00C91ED0" w:rsidRDefault="00C91ED0">
      <w:pPr>
        <w:spacing w:line="600" w:lineRule="exact"/>
        <w:ind w:firstLineChars="200" w:firstLine="640"/>
        <w:rPr>
          <w:rFonts w:ascii="仿宋" w:eastAsia="仿宋" w:hAnsi="仿宋"/>
          <w:color w:val="000000"/>
          <w:sz w:val="32"/>
          <w:szCs w:val="32"/>
        </w:rPr>
      </w:pPr>
    </w:p>
    <w:p w:rsidR="00C91ED0" w:rsidRDefault="00C91ED0">
      <w:pPr>
        <w:spacing w:line="600" w:lineRule="exact"/>
        <w:ind w:firstLineChars="200" w:firstLine="640"/>
        <w:rPr>
          <w:rFonts w:ascii="仿宋" w:eastAsia="仿宋" w:hAnsi="仿宋"/>
          <w:color w:val="000000"/>
          <w:sz w:val="32"/>
          <w:szCs w:val="32"/>
        </w:rPr>
      </w:pPr>
    </w:p>
    <w:p w:rsidR="00C91ED0" w:rsidRDefault="00C91ED0">
      <w:pPr>
        <w:spacing w:line="600" w:lineRule="exact"/>
        <w:rPr>
          <w:rFonts w:ascii="仿宋" w:eastAsia="仿宋" w:hAnsi="仿宋"/>
          <w:color w:val="000000"/>
          <w:sz w:val="32"/>
          <w:szCs w:val="32"/>
        </w:rPr>
      </w:pPr>
    </w:p>
    <w:p w:rsidR="00E569D0" w:rsidRDefault="00E569D0">
      <w:pPr>
        <w:spacing w:line="600" w:lineRule="exact"/>
        <w:ind w:firstLineChars="200" w:firstLine="640"/>
        <w:rPr>
          <w:rFonts w:ascii="仿宋" w:eastAsia="仿宋" w:hAnsi="仿宋"/>
          <w:color w:val="000000"/>
          <w:sz w:val="32"/>
          <w:szCs w:val="32"/>
        </w:rPr>
      </w:pPr>
    </w:p>
    <w:p w:rsidR="00C91ED0" w:rsidRDefault="001C5ABB">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（图6：一般公共预算财政拨款支出决算结构）（饼状图）</w:t>
      </w:r>
      <w:bookmarkStart w:id="40" w:name="_Toc15377212"/>
    </w:p>
    <w:p w:rsidR="00C91ED0" w:rsidRDefault="001C5ABB">
      <w:pPr>
        <w:spacing w:line="600" w:lineRule="exact"/>
        <w:ind w:firstLineChars="200" w:firstLine="643"/>
        <w:outlineLvl w:val="2"/>
        <w:rPr>
          <w:rFonts w:ascii="仿宋" w:eastAsia="仿宋" w:hAnsi="仿宋"/>
          <w:b/>
          <w:color w:val="000000"/>
          <w:sz w:val="32"/>
          <w:szCs w:val="32"/>
        </w:rPr>
      </w:pPr>
      <w:r>
        <w:rPr>
          <w:rFonts w:ascii="楷体_GB2312" w:eastAsia="楷体_GB2312" w:hAnsi="楷体_GB2312" w:cs="楷体_GB2312" w:hint="eastAsia"/>
          <w:b/>
          <w:bCs/>
          <w:color w:val="000000"/>
          <w:sz w:val="32"/>
          <w:szCs w:val="32"/>
          <w:shd w:val="clear" w:color="auto" w:fill="FFFFFF"/>
        </w:rPr>
        <w:t>(三)一般公共预算财政拨款支出决算具体情况</w:t>
      </w:r>
      <w:bookmarkEnd w:id="40"/>
    </w:p>
    <w:p w:rsidR="00C91ED0" w:rsidRDefault="001C5ABB">
      <w:pPr>
        <w:spacing w:line="600" w:lineRule="exact"/>
        <w:ind w:firstLineChars="200" w:firstLine="643"/>
        <w:outlineLvl w:val="2"/>
        <w:rPr>
          <w:rFonts w:ascii="仿宋" w:eastAsia="仿宋" w:hAnsi="仿宋"/>
          <w:color w:val="FF0000"/>
          <w:sz w:val="32"/>
          <w:szCs w:val="32"/>
        </w:rPr>
      </w:pPr>
      <w:bookmarkStart w:id="41" w:name="_Toc15377213"/>
      <w:bookmarkStart w:id="42" w:name="_Toc15378460"/>
      <w:bookmarkStart w:id="43" w:name="_Toc15377444"/>
      <w:r>
        <w:rPr>
          <w:rFonts w:ascii="仿宋" w:eastAsia="仿宋" w:hAnsi="仿宋" w:hint="eastAsia"/>
          <w:b/>
          <w:color w:val="000000" w:themeColor="text1"/>
          <w:sz w:val="32"/>
          <w:szCs w:val="32"/>
        </w:rPr>
        <w:t>2019年一般公共预算支出决算数为2096.09</w:t>
      </w:r>
      <w:r>
        <w:rPr>
          <w:rFonts w:ascii="仿宋" w:eastAsia="仿宋" w:hAnsi="仿宋" w:hint="eastAsia"/>
          <w:color w:val="000000" w:themeColor="text1"/>
          <w:sz w:val="32"/>
          <w:szCs w:val="32"/>
        </w:rPr>
        <w:t>，</w:t>
      </w:r>
      <w:r>
        <w:rPr>
          <w:rStyle w:val="a9"/>
          <w:rFonts w:ascii="仿宋" w:eastAsia="仿宋" w:hAnsi="仿宋" w:hint="eastAsia"/>
          <w:bCs/>
          <w:color w:val="000000" w:themeColor="text1"/>
          <w:sz w:val="32"/>
          <w:szCs w:val="32"/>
        </w:rPr>
        <w:t>完成</w:t>
      </w:r>
      <w:r>
        <w:rPr>
          <w:rStyle w:val="a9"/>
          <w:rFonts w:ascii="仿宋" w:eastAsia="仿宋" w:hAnsi="仿宋" w:hint="eastAsia"/>
          <w:bCs/>
          <w:color w:val="000000"/>
          <w:sz w:val="32"/>
          <w:szCs w:val="32"/>
        </w:rPr>
        <w:t>预算86.32</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。其中：</w:t>
      </w:r>
      <w:bookmarkEnd w:id="41"/>
      <w:bookmarkEnd w:id="42"/>
      <w:bookmarkEnd w:id="43"/>
    </w:p>
    <w:p w:rsidR="00C91ED0" w:rsidRDefault="001C5ABB">
      <w:pPr>
        <w:spacing w:line="560" w:lineRule="exact"/>
        <w:ind w:firstLineChars="200" w:firstLine="643"/>
        <w:rPr>
          <w:rFonts w:ascii="仿宋_GB2312" w:eastAsia="仿宋_GB2312"/>
          <w:sz w:val="32"/>
          <w:szCs w:val="32"/>
        </w:rPr>
      </w:pPr>
      <w:r>
        <w:rPr>
          <w:rStyle w:val="a9"/>
          <w:rFonts w:ascii="仿宋" w:eastAsia="仿宋" w:hAnsi="仿宋" w:hint="eastAsia"/>
          <w:bCs/>
          <w:color w:val="000000"/>
          <w:sz w:val="32"/>
          <w:szCs w:val="32"/>
        </w:rPr>
        <w:t>1.一般公共服务（类）政府办公厅（室）及相关机构事务（款）事业运行（项）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支出决算为2019.52万元，完成预算86.06</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，决算数小于预算数的主要原因是</w:t>
      </w:r>
      <w:r>
        <w:rPr>
          <w:rFonts w:ascii="仿宋_GB2312" w:eastAsia="仿宋_GB2312" w:hAnsi="楷体_GB2312" w:cs="楷体_GB2312" w:hint="eastAsia"/>
          <w:bCs/>
          <w:sz w:val="32"/>
          <w:szCs w:val="32"/>
          <w:shd w:val="clear" w:color="auto" w:fill="FFFFFF"/>
        </w:rPr>
        <w:t>大厅运行保障经费结余159.67万元，地下停车场装修项目结余30万元，大厅窗口评价仪结余1.68万元，工程建设项目审批管理系统结余112.36万元，网络维护费结余18.48万元。</w:t>
      </w:r>
    </w:p>
    <w:p w:rsidR="00C91ED0" w:rsidRDefault="001C5ABB">
      <w:pPr>
        <w:spacing w:line="600" w:lineRule="exact"/>
        <w:ind w:firstLineChars="200" w:firstLine="643"/>
        <w:rPr>
          <w:rFonts w:ascii="仿宋" w:eastAsia="仿宋" w:hAnsi="仿宋"/>
          <w:b/>
          <w:color w:val="000000"/>
          <w:sz w:val="32"/>
          <w:szCs w:val="32"/>
        </w:rPr>
      </w:pPr>
      <w:r>
        <w:rPr>
          <w:rStyle w:val="a9"/>
          <w:rFonts w:ascii="仿宋" w:eastAsia="仿宋" w:hAnsi="仿宋"/>
          <w:bCs/>
          <w:color w:val="000000"/>
          <w:sz w:val="32"/>
          <w:szCs w:val="32"/>
        </w:rPr>
        <w:t>2.</w:t>
      </w:r>
      <w:r>
        <w:rPr>
          <w:rStyle w:val="a9"/>
          <w:rFonts w:ascii="仿宋" w:eastAsia="仿宋" w:hAnsi="仿宋" w:hint="eastAsia"/>
          <w:bCs/>
          <w:color w:val="000000"/>
          <w:sz w:val="32"/>
          <w:szCs w:val="32"/>
        </w:rPr>
        <w:t>教育（类）进修及培训（款）培训支出（项）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支出决算为4.47万元，完成预算99.33</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，决算数小于预算数的主要原因是压缩经费开支。</w:t>
      </w:r>
    </w:p>
    <w:p w:rsidR="00C91ED0" w:rsidRDefault="001C5ABB">
      <w:pPr>
        <w:spacing w:line="600" w:lineRule="exact"/>
        <w:ind w:firstLineChars="200" w:firstLine="643"/>
        <w:rPr>
          <w:rFonts w:ascii="仿宋" w:eastAsia="仿宋" w:hAnsi="仿宋"/>
          <w:b/>
          <w:color w:val="000000"/>
          <w:sz w:val="32"/>
          <w:szCs w:val="32"/>
        </w:rPr>
      </w:pPr>
      <w:r>
        <w:rPr>
          <w:rStyle w:val="a9"/>
          <w:rFonts w:ascii="仿宋" w:eastAsia="仿宋" w:hAnsi="仿宋" w:hint="eastAsia"/>
          <w:bCs/>
          <w:color w:val="000000"/>
          <w:sz w:val="32"/>
          <w:szCs w:val="32"/>
        </w:rPr>
        <w:t>3</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社会保障和就业（类）行政事业单位离退休（款）机关事业单位基本养老保险缴费支出（项）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支出决算为33.11万元，完成预算86.89</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，决算数小于预算数的主要原因是人员减少。</w:t>
      </w:r>
    </w:p>
    <w:p w:rsidR="00C91ED0" w:rsidRDefault="001C5ABB">
      <w:pPr>
        <w:spacing w:line="600" w:lineRule="exact"/>
        <w:ind w:firstLineChars="200" w:firstLine="643"/>
        <w:rPr>
          <w:rStyle w:val="a9"/>
          <w:rFonts w:ascii="仿宋" w:eastAsia="仿宋" w:hAnsi="仿宋"/>
          <w:b w:val="0"/>
          <w:bCs/>
          <w:color w:val="000000"/>
          <w:sz w:val="32"/>
          <w:szCs w:val="32"/>
        </w:rPr>
      </w:pPr>
      <w:r>
        <w:rPr>
          <w:rStyle w:val="a9"/>
          <w:rFonts w:ascii="仿宋" w:eastAsia="仿宋" w:hAnsi="仿宋" w:hint="eastAsia"/>
          <w:bCs/>
          <w:color w:val="000000"/>
          <w:sz w:val="32"/>
          <w:szCs w:val="32"/>
        </w:rPr>
        <w:t>4</w:t>
      </w:r>
      <w:r>
        <w:rPr>
          <w:rStyle w:val="a9"/>
          <w:rFonts w:ascii="仿宋" w:eastAsia="仿宋" w:hAnsi="仿宋"/>
          <w:bCs/>
          <w:color w:val="000000"/>
          <w:sz w:val="32"/>
          <w:szCs w:val="32"/>
        </w:rPr>
        <w:t>.</w:t>
      </w:r>
      <w:r>
        <w:rPr>
          <w:rFonts w:ascii="仿宋" w:eastAsia="仿宋" w:hAnsi="仿宋" w:hint="eastAsia"/>
          <w:b/>
          <w:bCs/>
          <w:color w:val="000000" w:themeColor="text1"/>
          <w:sz w:val="32"/>
          <w:szCs w:val="32"/>
        </w:rPr>
        <w:t>卫生健康</w:t>
      </w:r>
      <w:r>
        <w:rPr>
          <w:rStyle w:val="a9"/>
          <w:rFonts w:ascii="仿宋" w:eastAsia="仿宋" w:hAnsi="仿宋" w:hint="eastAsia"/>
          <w:bCs/>
          <w:color w:val="000000"/>
          <w:sz w:val="32"/>
          <w:szCs w:val="32"/>
        </w:rPr>
        <w:t>（类）行政事业单位医疗（款）事业单位医疗（项）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支出决算为16.08万元，完成预算100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，决算数等于预算数。</w:t>
      </w:r>
    </w:p>
    <w:p w:rsidR="00C91ED0" w:rsidRDefault="001C5ABB">
      <w:pPr>
        <w:spacing w:line="600" w:lineRule="exact"/>
        <w:ind w:firstLineChars="200" w:firstLine="643"/>
        <w:rPr>
          <w:rFonts w:ascii="仿宋" w:eastAsia="仿宋" w:hAnsi="仿宋"/>
          <w:b/>
          <w:color w:val="000000"/>
          <w:sz w:val="32"/>
          <w:szCs w:val="32"/>
        </w:rPr>
      </w:pPr>
      <w:r>
        <w:rPr>
          <w:rStyle w:val="a9"/>
          <w:rFonts w:ascii="仿宋" w:eastAsia="仿宋" w:hAnsi="仿宋" w:hint="eastAsia"/>
          <w:bCs/>
          <w:color w:val="000000"/>
          <w:sz w:val="32"/>
          <w:szCs w:val="32"/>
        </w:rPr>
        <w:t>5</w:t>
      </w:r>
      <w:r>
        <w:rPr>
          <w:rStyle w:val="a9"/>
          <w:rFonts w:ascii="仿宋" w:eastAsia="仿宋" w:hAnsi="仿宋"/>
          <w:bCs/>
          <w:color w:val="000000"/>
          <w:sz w:val="32"/>
          <w:szCs w:val="32"/>
        </w:rPr>
        <w:t>.</w:t>
      </w:r>
      <w:r>
        <w:rPr>
          <w:rFonts w:ascii="仿宋" w:eastAsia="仿宋" w:hAnsi="仿宋" w:hint="eastAsia"/>
          <w:b/>
          <w:bCs/>
          <w:color w:val="000000" w:themeColor="text1"/>
          <w:sz w:val="32"/>
          <w:szCs w:val="32"/>
        </w:rPr>
        <w:t>住房保障</w:t>
      </w:r>
      <w:r>
        <w:rPr>
          <w:rStyle w:val="a9"/>
          <w:rFonts w:ascii="仿宋" w:eastAsia="仿宋" w:hAnsi="仿宋" w:hint="eastAsia"/>
          <w:bCs/>
          <w:color w:val="000000"/>
          <w:sz w:val="32"/>
          <w:szCs w:val="32"/>
        </w:rPr>
        <w:t>（类）住房改革支出（款）住房公积金（项）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支出决算为22.91万元，完成预算100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，决算数等于预算数。</w:t>
      </w:r>
    </w:p>
    <w:p w:rsidR="00C91ED0" w:rsidRDefault="001C5ABB">
      <w:pPr>
        <w:tabs>
          <w:tab w:val="right" w:pos="8306"/>
        </w:tabs>
        <w:spacing w:line="600" w:lineRule="exact"/>
        <w:ind w:firstLine="640"/>
        <w:outlineLvl w:val="1"/>
        <w:rPr>
          <w:rStyle w:val="2Char"/>
        </w:rPr>
      </w:pPr>
      <w:bookmarkStart w:id="44" w:name="_Toc15377214"/>
      <w:bookmarkStart w:id="45"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4"/>
      <w:bookmarkEnd w:id="45"/>
      <w:r>
        <w:rPr>
          <w:rStyle w:val="2Char"/>
          <w:rFonts w:ascii="黑体" w:eastAsia="黑体" w:hAnsi="黑体"/>
          <w:b w:val="0"/>
        </w:rPr>
        <w:tab/>
      </w:r>
    </w:p>
    <w:p w:rsidR="00C91ED0" w:rsidRDefault="001C5ABB">
      <w:pPr>
        <w:spacing w:line="600" w:lineRule="exact"/>
        <w:ind w:firstLine="645"/>
        <w:rPr>
          <w:rFonts w:ascii="仿宋" w:eastAsia="仿宋" w:hAnsi="仿宋"/>
          <w:color w:val="000000"/>
          <w:sz w:val="32"/>
          <w:szCs w:val="32"/>
        </w:rPr>
      </w:pPr>
      <w:r>
        <w:rPr>
          <w:rFonts w:ascii="仿宋" w:eastAsia="仿宋" w:hAnsi="仿宋"/>
          <w:color w:val="000000"/>
          <w:sz w:val="32"/>
          <w:szCs w:val="32"/>
        </w:rPr>
        <w:lastRenderedPageBreak/>
        <w:t>201</w:t>
      </w:r>
      <w:r>
        <w:rPr>
          <w:rFonts w:ascii="仿宋" w:eastAsia="仿宋" w:hAnsi="仿宋" w:hint="eastAsia"/>
          <w:color w:val="000000"/>
          <w:sz w:val="32"/>
          <w:szCs w:val="32"/>
        </w:rPr>
        <w:t>9年一般公共预算财政拨款基本支出447.31万元，其中：</w:t>
      </w:r>
    </w:p>
    <w:p w:rsidR="00C91ED0" w:rsidRDefault="001C5ABB">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435.41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11.9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C91ED0" w:rsidRDefault="001C5ABB">
      <w:pPr>
        <w:spacing w:line="600" w:lineRule="exact"/>
        <w:ind w:firstLine="640"/>
        <w:outlineLvl w:val="1"/>
        <w:rPr>
          <w:rStyle w:val="2Char"/>
          <w:rFonts w:ascii="黑体" w:eastAsia="黑体" w:hAnsi="黑体"/>
          <w:b w:val="0"/>
        </w:rPr>
      </w:pPr>
      <w:bookmarkStart w:id="46" w:name="_Toc15377215"/>
      <w:bookmarkStart w:id="47"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6"/>
      <w:bookmarkEnd w:id="47"/>
    </w:p>
    <w:p w:rsidR="00C91ED0" w:rsidRDefault="001C5ABB">
      <w:pPr>
        <w:spacing w:line="600" w:lineRule="exact"/>
        <w:ind w:firstLine="640"/>
        <w:outlineLvl w:val="2"/>
        <w:rPr>
          <w:rFonts w:ascii="仿宋" w:eastAsia="仿宋" w:hAnsi="仿宋"/>
          <w:b/>
          <w:color w:val="000000"/>
          <w:sz w:val="32"/>
          <w:szCs w:val="32"/>
        </w:rPr>
      </w:pPr>
      <w:bookmarkStart w:id="48" w:name="_Toc15377216"/>
      <w:r>
        <w:rPr>
          <w:rFonts w:ascii="楷体_GB2312" w:eastAsia="楷体_GB2312" w:hAnsi="楷体_GB2312" w:cs="楷体_GB2312" w:hint="eastAsia"/>
          <w:b/>
          <w:bCs/>
          <w:color w:val="000000"/>
          <w:sz w:val="32"/>
          <w:szCs w:val="32"/>
          <w:shd w:val="clear" w:color="auto" w:fill="FFFFFF"/>
        </w:rPr>
        <w:t>(一)“三公”经费财政拨款支出决算总体情况说明</w:t>
      </w:r>
      <w:bookmarkEnd w:id="48"/>
    </w:p>
    <w:p w:rsidR="00C91ED0" w:rsidRDefault="001C5ABB">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9年“三公”经费财政拨款支出决算为5.48万元，完成预算72.11</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，决算数小于预算数的主要原因是2019年度</w:t>
      </w:r>
      <w:r>
        <w:rPr>
          <w:rFonts w:ascii="仿宋_GB2312" w:eastAsia="仿宋_GB2312" w:hAnsi="宋体" w:cs="宋体" w:hint="eastAsia"/>
          <w:snapToGrid w:val="0"/>
          <w:sz w:val="32"/>
          <w:szCs w:val="32"/>
        </w:rPr>
        <w:t>严格执行中央八项、省</w:t>
      </w:r>
      <w:r w:rsidR="00921162">
        <w:rPr>
          <w:rFonts w:ascii="仿宋_GB2312" w:eastAsia="仿宋_GB2312" w:hAnsi="宋体" w:cs="宋体" w:hint="eastAsia"/>
          <w:snapToGrid w:val="0"/>
          <w:sz w:val="32"/>
          <w:szCs w:val="32"/>
        </w:rPr>
        <w:t>委省政府</w:t>
      </w:r>
      <w:r>
        <w:rPr>
          <w:rFonts w:ascii="仿宋_GB2312" w:eastAsia="仿宋_GB2312" w:hAnsi="宋体" w:cs="宋体" w:hint="eastAsia"/>
          <w:snapToGrid w:val="0"/>
          <w:sz w:val="32"/>
          <w:szCs w:val="32"/>
        </w:rPr>
        <w:t>九项</w:t>
      </w:r>
      <w:r w:rsidR="00442F8B">
        <w:rPr>
          <w:rFonts w:ascii="仿宋_GB2312" w:eastAsia="仿宋_GB2312" w:hAnsi="宋体" w:cs="宋体" w:hint="eastAsia"/>
          <w:snapToGrid w:val="0"/>
          <w:sz w:val="32"/>
          <w:szCs w:val="32"/>
        </w:rPr>
        <w:t>和</w:t>
      </w:r>
      <w:r>
        <w:rPr>
          <w:rFonts w:ascii="仿宋_GB2312" w:eastAsia="仿宋_GB2312" w:hAnsi="宋体" w:cs="宋体" w:hint="eastAsia"/>
          <w:snapToGrid w:val="0"/>
          <w:sz w:val="32"/>
          <w:szCs w:val="32"/>
        </w:rPr>
        <w:t>市</w:t>
      </w:r>
      <w:r w:rsidR="00921162">
        <w:rPr>
          <w:rFonts w:ascii="仿宋_GB2312" w:eastAsia="仿宋_GB2312" w:hAnsi="宋体" w:cs="宋体" w:hint="eastAsia"/>
          <w:snapToGrid w:val="0"/>
          <w:sz w:val="32"/>
          <w:szCs w:val="32"/>
        </w:rPr>
        <w:t>委市政府十项规定</w:t>
      </w:r>
      <w:r w:rsidR="00442F8B">
        <w:rPr>
          <w:rFonts w:ascii="仿宋_GB2312" w:eastAsia="仿宋_GB2312" w:hAnsi="宋体" w:cs="宋体" w:hint="eastAsia"/>
          <w:snapToGrid w:val="0"/>
          <w:sz w:val="32"/>
          <w:szCs w:val="32"/>
        </w:rPr>
        <w:t>及其</w:t>
      </w:r>
      <w:r w:rsidR="00921162">
        <w:rPr>
          <w:rFonts w:ascii="仿宋_GB2312" w:eastAsia="仿宋_GB2312" w:hAnsi="宋体" w:cs="宋体" w:hint="eastAsia"/>
          <w:snapToGrid w:val="0"/>
          <w:sz w:val="32"/>
          <w:szCs w:val="32"/>
        </w:rPr>
        <w:t>实施细则，</w:t>
      </w:r>
      <w:r>
        <w:rPr>
          <w:rFonts w:ascii="仿宋_GB2312" w:eastAsia="仿宋_GB2312" w:hAnsi="宋体" w:cs="宋体" w:hint="eastAsia"/>
          <w:snapToGrid w:val="0"/>
          <w:sz w:val="32"/>
          <w:szCs w:val="32"/>
        </w:rPr>
        <w:t>严格接待标准，厉行节约</w:t>
      </w:r>
      <w:r>
        <w:rPr>
          <w:rFonts w:ascii="仿宋" w:eastAsia="仿宋" w:hAnsi="仿宋" w:hint="eastAsia"/>
          <w:color w:val="000000"/>
          <w:sz w:val="32"/>
          <w:szCs w:val="32"/>
        </w:rPr>
        <w:t>。</w:t>
      </w:r>
    </w:p>
    <w:p w:rsidR="00C91ED0" w:rsidRDefault="001C5ABB">
      <w:pPr>
        <w:spacing w:line="600" w:lineRule="exact"/>
        <w:ind w:firstLine="640"/>
        <w:outlineLvl w:val="2"/>
        <w:rPr>
          <w:rFonts w:ascii="仿宋" w:eastAsia="仿宋" w:hAnsi="仿宋"/>
          <w:b/>
          <w:color w:val="000000"/>
          <w:sz w:val="32"/>
          <w:szCs w:val="32"/>
        </w:rPr>
      </w:pPr>
      <w:bookmarkStart w:id="49" w:name="_Toc15377217"/>
      <w:r>
        <w:rPr>
          <w:rFonts w:ascii="楷体_GB2312" w:eastAsia="楷体_GB2312" w:hAnsi="楷体_GB2312" w:cs="楷体_GB2312" w:hint="eastAsia"/>
          <w:b/>
          <w:bCs/>
          <w:color w:val="000000"/>
          <w:sz w:val="32"/>
          <w:szCs w:val="32"/>
          <w:shd w:val="clear" w:color="auto" w:fill="FFFFFF"/>
        </w:rPr>
        <w:t>(二) “三公”经费财政拨款支出决算具体情况说明</w:t>
      </w:r>
      <w:bookmarkEnd w:id="49"/>
    </w:p>
    <w:p w:rsidR="00C91ED0" w:rsidRDefault="001C5ABB">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w:t>
      </w:r>
      <w:r>
        <w:rPr>
          <w:rFonts w:ascii="仿宋" w:eastAsia="仿宋" w:hAnsi="仿宋" w:hint="eastAsia"/>
          <w:color w:val="000000"/>
          <w:sz w:val="32"/>
          <w:szCs w:val="32"/>
        </w:rPr>
        <w:lastRenderedPageBreak/>
        <w:t>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；公务用车购置及运行维护费支出决算4万元，占73</w:t>
      </w:r>
      <w:r>
        <w:rPr>
          <w:rFonts w:ascii="仿宋" w:eastAsia="仿宋" w:hAnsi="仿宋"/>
          <w:color w:val="000000"/>
          <w:sz w:val="32"/>
          <w:szCs w:val="32"/>
        </w:rPr>
        <w:t>%</w:t>
      </w:r>
      <w:r>
        <w:rPr>
          <w:rFonts w:ascii="仿宋" w:eastAsia="仿宋" w:hAnsi="仿宋" w:hint="eastAsia"/>
          <w:color w:val="000000"/>
          <w:sz w:val="32"/>
          <w:szCs w:val="32"/>
        </w:rPr>
        <w:t>；公务接待费支出决算1.48万元，占27</w:t>
      </w:r>
      <w:r>
        <w:rPr>
          <w:rFonts w:ascii="仿宋" w:eastAsia="仿宋" w:hAnsi="仿宋"/>
          <w:color w:val="000000"/>
          <w:sz w:val="32"/>
          <w:szCs w:val="32"/>
        </w:rPr>
        <w:t>%</w:t>
      </w:r>
      <w:r>
        <w:rPr>
          <w:rFonts w:ascii="仿宋" w:eastAsia="仿宋" w:hAnsi="仿宋" w:hint="eastAsia"/>
          <w:color w:val="000000"/>
          <w:sz w:val="32"/>
          <w:szCs w:val="32"/>
        </w:rPr>
        <w:t>。具体情况如下：</w:t>
      </w:r>
    </w:p>
    <w:p w:rsidR="00C91ED0" w:rsidRDefault="001C5ABB">
      <w:pPr>
        <w:spacing w:line="600" w:lineRule="exact"/>
        <w:ind w:firstLine="640"/>
        <w:rPr>
          <w:rFonts w:ascii="仿宋" w:eastAsia="仿宋" w:hAnsi="仿宋"/>
          <w:color w:val="000000"/>
          <w:sz w:val="32"/>
          <w:szCs w:val="32"/>
        </w:rPr>
      </w:pPr>
      <w:r>
        <w:rPr>
          <w:noProof/>
        </w:rPr>
        <w:drawing>
          <wp:anchor distT="0" distB="0" distL="114300" distR="114300" simplePos="0" relativeHeight="251668480" behindDoc="0" locked="0" layoutInCell="1" allowOverlap="1">
            <wp:simplePos x="0" y="0"/>
            <wp:positionH relativeFrom="column">
              <wp:posOffset>611505</wp:posOffset>
            </wp:positionH>
            <wp:positionV relativeFrom="paragraph">
              <wp:posOffset>106045</wp:posOffset>
            </wp:positionV>
            <wp:extent cx="4572000" cy="2743200"/>
            <wp:effectExtent l="19050" t="0" r="1905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C91ED0" w:rsidRDefault="00C91ED0">
      <w:pPr>
        <w:spacing w:line="600" w:lineRule="exact"/>
        <w:ind w:firstLine="640"/>
        <w:rPr>
          <w:rFonts w:ascii="仿宋" w:eastAsia="仿宋" w:hAnsi="仿宋"/>
          <w:color w:val="000000"/>
          <w:sz w:val="32"/>
          <w:szCs w:val="32"/>
        </w:rPr>
      </w:pPr>
    </w:p>
    <w:p w:rsidR="00C91ED0" w:rsidRDefault="00C91ED0">
      <w:pPr>
        <w:spacing w:line="600" w:lineRule="exact"/>
        <w:ind w:firstLine="640"/>
        <w:rPr>
          <w:rFonts w:ascii="仿宋" w:eastAsia="仿宋" w:hAnsi="仿宋"/>
          <w:color w:val="000000"/>
          <w:sz w:val="32"/>
          <w:szCs w:val="32"/>
        </w:rPr>
      </w:pPr>
    </w:p>
    <w:p w:rsidR="00C91ED0" w:rsidRDefault="00C91ED0">
      <w:pPr>
        <w:spacing w:line="600" w:lineRule="exact"/>
        <w:ind w:firstLine="640"/>
        <w:rPr>
          <w:rFonts w:ascii="仿宋" w:eastAsia="仿宋" w:hAnsi="仿宋"/>
          <w:color w:val="000000"/>
          <w:sz w:val="32"/>
          <w:szCs w:val="32"/>
        </w:rPr>
      </w:pPr>
    </w:p>
    <w:p w:rsidR="00C91ED0" w:rsidRDefault="00C91ED0">
      <w:pPr>
        <w:spacing w:line="600" w:lineRule="exact"/>
        <w:ind w:firstLine="640"/>
        <w:rPr>
          <w:rFonts w:ascii="仿宋" w:eastAsia="仿宋" w:hAnsi="仿宋"/>
          <w:color w:val="000000"/>
          <w:sz w:val="32"/>
          <w:szCs w:val="32"/>
        </w:rPr>
      </w:pPr>
    </w:p>
    <w:p w:rsidR="00C91ED0" w:rsidRDefault="00C91ED0">
      <w:pPr>
        <w:spacing w:line="600" w:lineRule="exact"/>
        <w:ind w:firstLine="640"/>
        <w:rPr>
          <w:rFonts w:ascii="仿宋" w:eastAsia="仿宋" w:hAnsi="仿宋"/>
          <w:color w:val="000000"/>
          <w:sz w:val="32"/>
          <w:szCs w:val="32"/>
        </w:rPr>
      </w:pPr>
    </w:p>
    <w:p w:rsidR="00C91ED0" w:rsidRDefault="00C91ED0">
      <w:pPr>
        <w:spacing w:line="600" w:lineRule="exact"/>
        <w:ind w:firstLine="640"/>
        <w:rPr>
          <w:rFonts w:ascii="仿宋" w:eastAsia="仿宋" w:hAnsi="仿宋"/>
          <w:color w:val="000000"/>
          <w:sz w:val="32"/>
          <w:szCs w:val="32"/>
        </w:rPr>
      </w:pPr>
    </w:p>
    <w:p w:rsidR="00C91ED0" w:rsidRDefault="00C91ED0">
      <w:pPr>
        <w:spacing w:line="600" w:lineRule="exact"/>
        <w:rPr>
          <w:rFonts w:ascii="仿宋" w:eastAsia="仿宋" w:hAnsi="仿宋"/>
          <w:color w:val="000000"/>
          <w:sz w:val="32"/>
          <w:szCs w:val="32"/>
        </w:rPr>
      </w:pPr>
    </w:p>
    <w:p w:rsidR="00C91ED0" w:rsidRDefault="001C5ABB">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（图7：“三公”经费财政拨款支出结构）（饼状图）</w:t>
      </w:r>
    </w:p>
    <w:p w:rsidR="00C91ED0" w:rsidRDefault="001C5ABB">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color w:val="000000"/>
          <w:sz w:val="32"/>
          <w:szCs w:val="32"/>
        </w:rPr>
        <w:t>0万元，</w:t>
      </w:r>
      <w:r>
        <w:rPr>
          <w:rStyle w:val="a9"/>
          <w:rFonts w:ascii="仿宋" w:eastAsia="仿宋" w:hAnsi="仿宋" w:hint="eastAsia"/>
          <w:b w:val="0"/>
          <w:bCs/>
          <w:color w:val="000000"/>
          <w:sz w:val="32"/>
          <w:szCs w:val="32"/>
        </w:rPr>
        <w:t>完成预算0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C91ED0" w:rsidRDefault="001C5ABB">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rPr>
        <w:t>4万元,</w:t>
      </w:r>
      <w:r>
        <w:rPr>
          <w:rStyle w:val="a9"/>
          <w:rFonts w:ascii="仿宋" w:eastAsia="仿宋" w:hAnsi="仿宋" w:hint="eastAsia"/>
          <w:b w:val="0"/>
          <w:bCs/>
          <w:color w:val="000000"/>
          <w:sz w:val="32"/>
          <w:szCs w:val="32"/>
        </w:rPr>
        <w:t>完成预算100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8年减少8万元，下降66.67</w:t>
      </w:r>
      <w:r>
        <w:rPr>
          <w:rFonts w:ascii="仿宋_GB2312" w:eastAsia="仿宋_GB2312"/>
          <w:color w:val="000000"/>
          <w:sz w:val="32"/>
          <w:szCs w:val="32"/>
        </w:rPr>
        <w:t>%</w:t>
      </w:r>
      <w:r>
        <w:rPr>
          <w:rFonts w:ascii="仿宋_GB2312" w:eastAsia="仿宋_GB2312" w:hint="eastAsia"/>
          <w:color w:val="000000"/>
          <w:sz w:val="32"/>
          <w:szCs w:val="32"/>
        </w:rPr>
        <w:t>。主要原因是减少一辆轿车和一辆越野车。</w:t>
      </w:r>
    </w:p>
    <w:p w:rsidR="00C91ED0" w:rsidRDefault="001C5AB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hint="eastAsia"/>
          <w:color w:val="000000"/>
          <w:sz w:val="32"/>
          <w:szCs w:val="32"/>
        </w:rPr>
        <w:t>0万元。全年按规定更新购置公务用车0辆，金额0</w:t>
      </w:r>
      <w:r>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月底，单位共有公务用车1辆，其中：主要领导干部用车1辆。</w:t>
      </w:r>
    </w:p>
    <w:p w:rsidR="00C91ED0" w:rsidRDefault="001C5ABB">
      <w:pPr>
        <w:spacing w:line="520" w:lineRule="exact"/>
        <w:ind w:firstLineChars="200" w:firstLine="643"/>
        <w:rPr>
          <w:rFonts w:ascii="仿宋_GB2312" w:eastAsia="仿宋_GB2312" w:hAnsi="宋体" w:cs="宋体"/>
          <w:snapToGrid w:val="0"/>
          <w:sz w:val="32"/>
          <w:szCs w:val="32"/>
        </w:rPr>
      </w:pP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rPr>
        <w:t>4万元。主要用于</w:t>
      </w:r>
      <w:r>
        <w:rPr>
          <w:rFonts w:ascii="仿宋_GB2312" w:eastAsia="仿宋_GB2312" w:hAnsi="宋体" w:cs="宋体" w:hint="eastAsia"/>
          <w:snapToGrid w:val="0"/>
          <w:sz w:val="32"/>
          <w:szCs w:val="32"/>
        </w:rPr>
        <w:t>政务服务、交易服务、驻村帮扶、县（区）业务工作指导及考核、乡镇便民服务</w:t>
      </w:r>
      <w:r>
        <w:rPr>
          <w:rFonts w:ascii="仿宋_GB2312" w:eastAsia="仿宋_GB2312" w:hAnsi="宋体" w:cs="宋体" w:hint="eastAsia"/>
          <w:snapToGrid w:val="0"/>
          <w:sz w:val="32"/>
          <w:szCs w:val="32"/>
        </w:rPr>
        <w:lastRenderedPageBreak/>
        <w:t>中心督导</w:t>
      </w:r>
      <w:r w:rsidR="001869B9">
        <w:rPr>
          <w:rFonts w:ascii="仿宋_GB2312" w:eastAsia="仿宋_GB2312" w:hAnsi="宋体" w:cs="宋体" w:hint="eastAsia"/>
          <w:snapToGrid w:val="0"/>
          <w:sz w:val="32"/>
          <w:szCs w:val="32"/>
        </w:rPr>
        <w:t>社区包保工作</w:t>
      </w:r>
      <w:r>
        <w:rPr>
          <w:rFonts w:ascii="仿宋_GB2312" w:eastAsia="仿宋_GB2312" w:hint="eastAsia"/>
          <w:color w:val="000000"/>
          <w:sz w:val="32"/>
          <w:szCs w:val="32"/>
        </w:rPr>
        <w:t>等所需的公务用车燃料费、维修费、过路过桥费、保险费等支出。</w:t>
      </w:r>
    </w:p>
    <w:p w:rsidR="00C91ED0" w:rsidRDefault="001C5ABB">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color w:val="000000"/>
          <w:sz w:val="32"/>
          <w:szCs w:val="32"/>
        </w:rPr>
        <w:t>1.48万元，</w:t>
      </w:r>
      <w:r>
        <w:rPr>
          <w:rStyle w:val="a9"/>
          <w:rFonts w:ascii="仿宋" w:eastAsia="仿宋" w:hAnsi="仿宋" w:hint="eastAsia"/>
          <w:b w:val="0"/>
          <w:bCs/>
          <w:color w:val="000000"/>
          <w:sz w:val="32"/>
          <w:szCs w:val="32"/>
        </w:rPr>
        <w:t>完成预算41.11</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8年减少1.17万元，下降44.45</w:t>
      </w:r>
      <w:r>
        <w:rPr>
          <w:rFonts w:ascii="仿宋_GB2312" w:eastAsia="仿宋_GB2312"/>
          <w:color w:val="000000"/>
          <w:sz w:val="32"/>
          <w:szCs w:val="32"/>
        </w:rPr>
        <w:t>%</w:t>
      </w:r>
      <w:r>
        <w:rPr>
          <w:rFonts w:ascii="仿宋_GB2312" w:eastAsia="仿宋_GB2312" w:hint="eastAsia"/>
          <w:color w:val="000000"/>
          <w:sz w:val="32"/>
          <w:szCs w:val="32"/>
        </w:rPr>
        <w:t>。主要原因是压缩经费，节约开支。其中：</w:t>
      </w:r>
    </w:p>
    <w:p w:rsidR="00C91ED0" w:rsidRDefault="001C5ABB">
      <w:pPr>
        <w:spacing w:line="520" w:lineRule="exact"/>
        <w:ind w:firstLineChars="200" w:firstLine="643"/>
        <w:rPr>
          <w:rFonts w:ascii="仿宋_GB2312" w:eastAsia="仿宋_GB2312" w:hAnsi="宋体" w:cs="宋体"/>
          <w:snapToGrid w:val="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1.48</w:t>
      </w:r>
      <w:r>
        <w:rPr>
          <w:rFonts w:ascii="仿宋_GB2312" w:eastAsia="仿宋_GB2312" w:hint="eastAsia"/>
          <w:color w:val="000000"/>
          <w:sz w:val="32"/>
          <w:szCs w:val="32"/>
        </w:rPr>
        <w:t>万元，</w:t>
      </w:r>
      <w:r>
        <w:rPr>
          <w:rFonts w:ascii="仿宋_GB2312" w:eastAsia="仿宋_GB2312" w:hAnsi="宋体" w:cs="宋体" w:hint="eastAsia"/>
          <w:snapToGrid w:val="0"/>
          <w:sz w:val="32"/>
          <w:szCs w:val="32"/>
        </w:rPr>
        <w:t>主要用于执行公务、开展业务活动开支的交通费、住宿费、用餐费等。国内公务接待19批次，150人次，共计支出1.48万元，具体内容包括：三办改革学习，交易电子化学习，12345市民热线工作培训学习，乡镇便民服务交流学习等。</w:t>
      </w:r>
      <w:r>
        <w:rPr>
          <w:rFonts w:ascii="仿宋_GB2312" w:eastAsia="仿宋_GB2312" w:hAnsi="宋体" w:cs="宋体" w:hint="eastAsia"/>
          <w:snapToGrid w:val="0"/>
          <w:sz w:val="32"/>
          <w:szCs w:val="32"/>
        </w:rPr>
        <w:t> </w:t>
      </w:r>
    </w:p>
    <w:p w:rsidR="00C91ED0" w:rsidRDefault="001C5ABB">
      <w:pPr>
        <w:spacing w:line="600" w:lineRule="exact"/>
        <w:ind w:firstLine="640"/>
        <w:outlineLvl w:val="1"/>
        <w:rPr>
          <w:rStyle w:val="2Char"/>
          <w:rFonts w:ascii="黑体" w:eastAsia="黑体" w:hAnsi="黑体"/>
        </w:rPr>
      </w:pPr>
      <w:bookmarkStart w:id="50" w:name="_Toc15396610"/>
      <w:bookmarkStart w:id="51" w:name="_Toc15377218"/>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50"/>
      <w:bookmarkEnd w:id="51"/>
    </w:p>
    <w:p w:rsidR="00C91ED0" w:rsidRDefault="001C5ABB">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9年政府性基金预算拨款支出0万元。</w:t>
      </w:r>
    </w:p>
    <w:p w:rsidR="00C91ED0" w:rsidRDefault="001C5ABB">
      <w:pPr>
        <w:numPr>
          <w:ilvl w:val="0"/>
          <w:numId w:val="2"/>
        </w:numPr>
        <w:spacing w:line="600" w:lineRule="exact"/>
        <w:ind w:firstLine="640"/>
        <w:outlineLvl w:val="1"/>
        <w:rPr>
          <w:rStyle w:val="2Char"/>
          <w:rFonts w:ascii="黑体" w:eastAsia="黑体" w:hAnsi="黑体"/>
          <w:b w:val="0"/>
        </w:rPr>
      </w:pPr>
      <w:bookmarkStart w:id="52" w:name="_Toc15396611"/>
      <w:bookmarkStart w:id="53" w:name="_Toc15377219"/>
      <w:r>
        <w:rPr>
          <w:rStyle w:val="2Char"/>
          <w:rFonts w:ascii="黑体" w:eastAsia="黑体" w:hAnsi="黑体" w:hint="eastAsia"/>
          <w:b w:val="0"/>
        </w:rPr>
        <w:t>国有资本经营预算支出决算情况说明</w:t>
      </w:r>
      <w:bookmarkEnd w:id="52"/>
      <w:bookmarkEnd w:id="53"/>
    </w:p>
    <w:p w:rsidR="00C91ED0" w:rsidRDefault="001C5ABB">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9年国有资本经营预算拨款支出0万元。</w:t>
      </w:r>
    </w:p>
    <w:p w:rsidR="00C91ED0" w:rsidRDefault="001C5ABB">
      <w:pPr>
        <w:spacing w:line="600" w:lineRule="exact"/>
        <w:ind w:firstLineChars="250" w:firstLine="800"/>
        <w:outlineLvl w:val="1"/>
        <w:rPr>
          <w:rStyle w:val="2Char"/>
          <w:rFonts w:ascii="黑体" w:eastAsia="黑体" w:hAnsi="黑体"/>
        </w:rPr>
      </w:pPr>
      <w:bookmarkStart w:id="54" w:name="_Toc15377221"/>
      <w:bookmarkStart w:id="55" w:name="_Toc15396612"/>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4"/>
      <w:bookmarkEnd w:id="55"/>
    </w:p>
    <w:p w:rsidR="00C91ED0" w:rsidRDefault="001C5ABB">
      <w:pPr>
        <w:spacing w:line="600" w:lineRule="exact"/>
        <w:ind w:firstLineChars="200" w:firstLine="643"/>
        <w:outlineLvl w:val="2"/>
        <w:rPr>
          <w:rFonts w:ascii="仿宋" w:eastAsia="仿宋" w:hAnsi="仿宋"/>
          <w:color w:val="000000"/>
          <w:sz w:val="32"/>
          <w:szCs w:val="32"/>
        </w:rPr>
      </w:pPr>
      <w:bookmarkStart w:id="56" w:name="_Toc15377222"/>
      <w:r>
        <w:rPr>
          <w:rFonts w:ascii="楷体_GB2312" w:eastAsia="楷体_GB2312" w:hAnsi="楷体_GB2312" w:cs="楷体_GB2312" w:hint="eastAsia"/>
          <w:b/>
          <w:bCs/>
          <w:color w:val="000000"/>
          <w:sz w:val="32"/>
          <w:szCs w:val="32"/>
          <w:shd w:val="clear" w:color="auto" w:fill="FFFFFF"/>
        </w:rPr>
        <w:t>(一)机关运行经费支出情况</w:t>
      </w:r>
      <w:bookmarkEnd w:id="56"/>
    </w:p>
    <w:p w:rsidR="00C91ED0" w:rsidRDefault="001C5ABB">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9年，市中心机关运行经费支出0万元，与</w:t>
      </w:r>
      <w:r>
        <w:rPr>
          <w:rFonts w:ascii="仿宋_GB2312" w:eastAsia="仿宋_GB2312"/>
          <w:color w:val="000000"/>
          <w:sz w:val="32"/>
          <w:szCs w:val="32"/>
        </w:rPr>
        <w:t>201</w:t>
      </w:r>
      <w:r>
        <w:rPr>
          <w:rFonts w:ascii="仿宋_GB2312" w:eastAsia="仿宋_GB2312" w:hint="eastAsia"/>
          <w:color w:val="000000"/>
          <w:sz w:val="32"/>
          <w:szCs w:val="32"/>
        </w:rPr>
        <w:t>8年决算数持平。</w:t>
      </w:r>
    </w:p>
    <w:p w:rsidR="00C91ED0" w:rsidRDefault="001C5AB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7" w:name="_Toc15377223"/>
      <w:r>
        <w:rPr>
          <w:rFonts w:ascii="楷体_GB2312" w:eastAsia="楷体_GB2312" w:hAnsi="楷体_GB2312" w:cs="楷体_GB2312" w:hint="eastAsia"/>
          <w:b/>
          <w:bCs/>
          <w:color w:val="000000"/>
          <w:sz w:val="32"/>
          <w:szCs w:val="32"/>
          <w:shd w:val="clear" w:color="auto" w:fill="FFFFFF"/>
        </w:rPr>
        <w:t>(二)政府采购支出情况</w:t>
      </w:r>
      <w:bookmarkEnd w:id="57"/>
    </w:p>
    <w:p w:rsidR="00C91ED0" w:rsidRDefault="001C5ABB">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9年，市中心政府采购支出总额36.78万元，其中：政府采购货物支出5.28万元、政府采购服务支出31.5万元。主要用于采购日常办公设备支出。授予中小企业合同金额0万元，占</w:t>
      </w:r>
      <w:r>
        <w:rPr>
          <w:rFonts w:ascii="仿宋_GB2312" w:eastAsia="仿宋_GB2312" w:hint="eastAsia"/>
          <w:color w:val="000000"/>
          <w:sz w:val="32"/>
          <w:szCs w:val="32"/>
        </w:rPr>
        <w:lastRenderedPageBreak/>
        <w:t>政府采购支出总额的0</w:t>
      </w:r>
      <w:r>
        <w:rPr>
          <w:rFonts w:ascii="仿宋_GB2312" w:eastAsia="仿宋_GB2312"/>
          <w:color w:val="000000"/>
          <w:sz w:val="32"/>
          <w:szCs w:val="32"/>
        </w:rPr>
        <w:t>%</w:t>
      </w:r>
      <w:r>
        <w:rPr>
          <w:rFonts w:ascii="仿宋_GB2312" w:eastAsia="仿宋_GB2312" w:hint="eastAsia"/>
          <w:color w:val="000000"/>
          <w:sz w:val="32"/>
          <w:szCs w:val="32"/>
        </w:rPr>
        <w:t>。</w:t>
      </w:r>
    </w:p>
    <w:p w:rsidR="00C91ED0" w:rsidRDefault="001C5AB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8" w:name="_Toc15377224"/>
      <w:r>
        <w:rPr>
          <w:rFonts w:ascii="楷体_GB2312" w:eastAsia="楷体_GB2312" w:hAnsi="楷体_GB2312" w:cs="楷体_GB2312" w:hint="eastAsia"/>
          <w:b/>
          <w:bCs/>
          <w:color w:val="000000"/>
          <w:sz w:val="32"/>
          <w:szCs w:val="32"/>
          <w:shd w:val="clear" w:color="auto" w:fill="FFFFFF"/>
        </w:rPr>
        <w:t>(三)国有资产占有使用情况</w:t>
      </w:r>
      <w:bookmarkEnd w:id="58"/>
    </w:p>
    <w:p w:rsidR="00C91ED0" w:rsidRDefault="001C5ABB">
      <w:pPr>
        <w:spacing w:line="520" w:lineRule="exact"/>
        <w:ind w:firstLineChars="200" w:firstLine="640"/>
        <w:rPr>
          <w:rFonts w:ascii="仿宋_GB2312" w:eastAsia="仿宋_GB2312" w:hAnsi="宋体" w:cs="宋体"/>
          <w:snapToGrid w:val="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日，市中心共有车辆1辆，其中：其他用车1辆，</w:t>
      </w:r>
      <w:r>
        <w:rPr>
          <w:rFonts w:ascii="仿宋_GB2312" w:eastAsia="仿宋_GB2312" w:hint="eastAsia"/>
          <w:color w:val="000000" w:themeColor="text1"/>
          <w:sz w:val="32"/>
          <w:szCs w:val="32"/>
        </w:rPr>
        <w:t>主要是用于</w:t>
      </w:r>
      <w:r>
        <w:rPr>
          <w:rFonts w:ascii="仿宋_GB2312" w:eastAsia="仿宋_GB2312" w:hAnsi="宋体" w:cs="宋体" w:hint="eastAsia"/>
          <w:snapToGrid w:val="0"/>
          <w:sz w:val="32"/>
          <w:szCs w:val="32"/>
        </w:rPr>
        <w:t>政务服务、交易服务、驻村帮扶、新中心建设、县（区）业务工作指导及考核、乡镇便民服务中心督导等中心日常工作开展。</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万元以上通用设备0台（套），单价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万元以上专用设备0台（套）。</w:t>
      </w:r>
    </w:p>
    <w:p w:rsidR="00C91ED0" w:rsidRDefault="001C5ABB">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楷体_GB2312" w:eastAsia="楷体_GB2312" w:hAnsi="楷体_GB2312" w:cs="楷体_GB2312" w:hint="eastAsia"/>
          <w:b/>
          <w:bCs/>
          <w:color w:val="000000"/>
          <w:sz w:val="32"/>
          <w:szCs w:val="32"/>
          <w:shd w:val="clear" w:color="auto" w:fill="FFFFFF"/>
        </w:rPr>
        <w:t>(四)预算绩效管理情况。</w:t>
      </w:r>
    </w:p>
    <w:p w:rsidR="00C91ED0" w:rsidRDefault="001C5A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在年初预算编制阶段，组织对运转类和发展类项目开展了预算事前绩效评估，对20个项目编制了绩效目标，预算执行过程中，选取5个项目开展绩效监控，年终执行完毕后，对5个项目开展了绩效目标完成情况自评。</w:t>
      </w:r>
    </w:p>
    <w:p w:rsidR="00C91ED0" w:rsidRDefault="001C5A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本部门按要求对2019年部门整体支出开展绩效自评，从评价情况来看市重心</w:t>
      </w:r>
      <w:r>
        <w:rPr>
          <w:rFonts w:ascii="仿宋_GB2312" w:eastAsia="仿宋_GB2312" w:hAnsi="仿宋_GB2312" w:cs="仿宋_GB2312" w:hint="eastAsia"/>
          <w:kern w:val="0"/>
          <w:sz w:val="32"/>
          <w:szCs w:val="32"/>
        </w:rPr>
        <w:t>2019年整体支出绩效评价为优秀</w:t>
      </w:r>
      <w:r>
        <w:rPr>
          <w:rFonts w:ascii="仿宋_GB2312" w:eastAsia="仿宋_GB2312" w:hAnsi="仿宋_GB2312" w:cs="仿宋_GB2312" w:hint="eastAsia"/>
          <w:sz w:val="32"/>
          <w:szCs w:val="32"/>
        </w:rPr>
        <w:t>。本部门还自行组织了5个项目支出绩效评价，从评价情况来看</w:t>
      </w:r>
      <w:r>
        <w:rPr>
          <w:rFonts w:ascii="仿宋_GB2312" w:eastAsia="仿宋_GB2312" w:hAnsi="仿宋_GB2312" w:cs="仿宋_GB2312" w:hint="eastAsia"/>
          <w:kern w:val="0"/>
          <w:sz w:val="32"/>
          <w:szCs w:val="32"/>
        </w:rPr>
        <w:t>2019年整体支出绩效评价为优秀。</w:t>
      </w:r>
    </w:p>
    <w:p w:rsidR="00C91ED0" w:rsidRDefault="001C5ABB">
      <w:pPr>
        <w:spacing w:line="560" w:lineRule="exact"/>
        <w:ind w:firstLineChars="200" w:firstLine="643"/>
        <w:rPr>
          <w:rFonts w:ascii="仿宋_GB2312" w:eastAsia="仿宋_GB2312" w:hAnsi="仿宋_GB2312" w:cs="仿宋_GB2312"/>
          <w:sz w:val="32"/>
          <w:szCs w:val="32"/>
        </w:rPr>
      </w:pPr>
      <w:r>
        <w:rPr>
          <w:rFonts w:ascii="仿宋_GB2312" w:eastAsia="仿宋_GB2312" w:hAnsi="楷体_GB2312" w:cs="楷体_GB2312" w:hint="eastAsia"/>
          <w:b/>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本部门在2019年度部门决算中反映“标识标牌制作”、</w:t>
      </w:r>
    </w:p>
    <w:p w:rsidR="00C91ED0" w:rsidRDefault="001C5AB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楷体_GB2312" w:cs="楷体_GB2312" w:hint="eastAsia"/>
          <w:bCs/>
          <w:sz w:val="32"/>
          <w:szCs w:val="32"/>
        </w:rPr>
        <w:t>窗帘制作”、“地下停车场装修”、</w:t>
      </w:r>
      <w:r>
        <w:rPr>
          <w:rFonts w:ascii="仿宋_GB2312" w:eastAsia="仿宋_GB2312" w:hAnsi="宋体" w:cs="楷体_GB2312" w:hint="eastAsia"/>
          <w:bCs/>
          <w:color w:val="000000"/>
          <w:sz w:val="32"/>
          <w:szCs w:val="32"/>
          <w:shd w:val="clear" w:color="auto" w:fill="FFFFFF"/>
        </w:rPr>
        <w:t>“12345市民热线平台运行维护费”、</w:t>
      </w:r>
      <w:r>
        <w:rPr>
          <w:rFonts w:ascii="仿宋_GB2312" w:eastAsia="仿宋_GB2312" w:hAnsi="楷体_GB2312" w:cs="楷体_GB2312" w:hint="eastAsia"/>
          <w:bCs/>
          <w:sz w:val="32"/>
          <w:szCs w:val="32"/>
        </w:rPr>
        <w:t>“并联审批工作经费”</w:t>
      </w:r>
      <w:r>
        <w:rPr>
          <w:rFonts w:ascii="仿宋_GB2312" w:eastAsia="仿宋_GB2312" w:hAnsi="仿宋_GB2312" w:cs="仿宋_GB2312" w:hint="eastAsia"/>
          <w:sz w:val="32"/>
          <w:szCs w:val="32"/>
        </w:rPr>
        <w:t xml:space="preserve"> 5个项目绩效目标实际完成情况。</w:t>
      </w:r>
    </w:p>
    <w:p w:rsidR="00C91ED0" w:rsidRDefault="001C5ABB">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（1）标识标牌制作项目绩效目标完成情况综述</w:t>
      </w:r>
      <w:r>
        <w:rPr>
          <w:rFonts w:ascii="仿宋_GB2312" w:eastAsia="仿宋_GB2312" w:hAnsi="仿宋_GB2312" w:cs="仿宋_GB2312" w:hint="eastAsia"/>
          <w:sz w:val="32"/>
          <w:szCs w:val="32"/>
        </w:rPr>
        <w:t>。项目全年预算数30万元，执行数为30万元，完成预算的100%。通过项</w:t>
      </w:r>
      <w:r>
        <w:rPr>
          <w:rFonts w:ascii="仿宋_GB2312" w:eastAsia="仿宋_GB2312" w:hAnsi="仿宋_GB2312" w:cs="仿宋_GB2312" w:hint="eastAsia"/>
          <w:sz w:val="32"/>
          <w:szCs w:val="32"/>
        </w:rPr>
        <w:lastRenderedPageBreak/>
        <w:t>目实施，为办事企业和群众提供清晰指引，更加方便群众办事。发现的主要问题：预算执行</w:t>
      </w:r>
      <w:r>
        <w:rPr>
          <w:rFonts w:ascii="仿宋_GB2312" w:eastAsia="仿宋_GB2312" w:hAnsi="仿宋_GB2312" w:cs="仿宋_GB2312"/>
          <w:sz w:val="32"/>
          <w:szCs w:val="32"/>
        </w:rPr>
        <w:t>进度</w:t>
      </w:r>
      <w:r>
        <w:rPr>
          <w:rFonts w:ascii="仿宋_GB2312" w:eastAsia="仿宋_GB2312" w:hAnsi="仿宋_GB2312" w:cs="仿宋_GB2312" w:hint="eastAsia"/>
          <w:sz w:val="32"/>
          <w:szCs w:val="32"/>
        </w:rPr>
        <w:t>偏慢。下一步改进措施：加快资金</w:t>
      </w:r>
      <w:r>
        <w:rPr>
          <w:rFonts w:ascii="仿宋_GB2312" w:eastAsia="仿宋_GB2312" w:hAnsi="仿宋_GB2312" w:cs="仿宋_GB2312"/>
          <w:sz w:val="32"/>
          <w:szCs w:val="32"/>
        </w:rPr>
        <w:t>支付进度，</w:t>
      </w:r>
      <w:r>
        <w:rPr>
          <w:rFonts w:ascii="仿宋_GB2312" w:eastAsia="仿宋_GB2312" w:hAnsi="仿宋_GB2312" w:cs="仿宋_GB2312" w:hint="eastAsia"/>
          <w:sz w:val="32"/>
          <w:szCs w:val="32"/>
        </w:rPr>
        <w:t>提高</w:t>
      </w:r>
      <w:r>
        <w:rPr>
          <w:rFonts w:ascii="仿宋_GB2312" w:eastAsia="仿宋_GB2312" w:hAnsi="仿宋_GB2312" w:cs="仿宋_GB2312"/>
          <w:sz w:val="32"/>
          <w:szCs w:val="32"/>
        </w:rPr>
        <w:t>资金使用效益。</w:t>
      </w:r>
    </w:p>
    <w:p w:rsidR="00C91ED0" w:rsidRDefault="001C5ABB">
      <w:pPr>
        <w:tabs>
          <w:tab w:val="left" w:pos="312"/>
        </w:tabs>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（2）窗帘制作项目绩效目标完成情况综述。</w:t>
      </w:r>
      <w:r>
        <w:rPr>
          <w:rFonts w:ascii="仿宋_GB2312" w:eastAsia="仿宋_GB2312" w:hAnsi="仿宋_GB2312" w:cs="仿宋_GB2312" w:hint="eastAsia"/>
          <w:sz w:val="32"/>
          <w:szCs w:val="32"/>
        </w:rPr>
        <w:t>项目全年预算数15.77万元，执行数为15.77万元，完成预算的100%。通过项目实施，</w:t>
      </w:r>
      <w:r>
        <w:rPr>
          <w:rFonts w:ascii="仿宋_GB2312" w:eastAsia="仿宋_GB2312" w:hAnsi="楷体_GB2312" w:cs="楷体_GB2312" w:hint="eastAsia"/>
          <w:bCs/>
          <w:sz w:val="32"/>
          <w:szCs w:val="32"/>
        </w:rPr>
        <w:t>为办事企业群众和窗口工作人员提供良好的办公和服务环境</w:t>
      </w:r>
      <w:r>
        <w:rPr>
          <w:rFonts w:ascii="仿宋_GB2312" w:eastAsia="仿宋_GB2312" w:hAnsi="仿宋_GB2312" w:cs="仿宋_GB2312" w:hint="eastAsia"/>
          <w:sz w:val="32"/>
          <w:szCs w:val="32"/>
        </w:rPr>
        <w:t>。</w:t>
      </w:r>
    </w:p>
    <w:p w:rsidR="00C91ED0" w:rsidRDefault="001C5AB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（3）地下停车场装修项目绩效目标完成情况综述。</w:t>
      </w:r>
      <w:r>
        <w:rPr>
          <w:rFonts w:ascii="仿宋_GB2312" w:eastAsia="仿宋_GB2312" w:hAnsi="仿宋_GB2312" w:cs="仿宋_GB2312" w:hint="eastAsia"/>
          <w:sz w:val="32"/>
          <w:szCs w:val="32"/>
        </w:rPr>
        <w:t>项目全年预算数30万元，执行数为0万元，完成预算的0%。</w:t>
      </w:r>
      <w:r>
        <w:rPr>
          <w:rFonts w:ascii="仿宋_GB2312" w:eastAsia="仿宋_GB2312" w:hAnsi="楷体_GB2312" w:cs="楷体_GB2312" w:hint="eastAsia"/>
          <w:bCs/>
          <w:sz w:val="32"/>
          <w:szCs w:val="32"/>
        </w:rPr>
        <w:t xml:space="preserve"> “市民之家”地下停车场装修项目，需完成“市民之家”4600平方米的地下停车场铺设地胶，安装照明指示系统和安全设施，需跨年度实施。</w:t>
      </w:r>
      <w:r>
        <w:rPr>
          <w:rFonts w:ascii="仿宋_GB2312" w:eastAsia="仿宋_GB2312" w:hAnsi="仿宋_GB2312" w:cs="仿宋_GB2312" w:hint="eastAsia"/>
          <w:sz w:val="32"/>
          <w:szCs w:val="32"/>
        </w:rPr>
        <w:t>发现的主要问题：跨年度实施。下一步改进措施：</w:t>
      </w:r>
      <w:r>
        <w:rPr>
          <w:rFonts w:ascii="仿宋_GB2312" w:eastAsia="仿宋_GB2312" w:hAnsi="楷体_GB2312" w:cs="楷体_GB2312" w:hint="eastAsia"/>
          <w:bCs/>
          <w:sz w:val="32"/>
          <w:szCs w:val="32"/>
        </w:rPr>
        <w:t>加快项目实施进度，及时办理支付结算手续。</w:t>
      </w:r>
    </w:p>
    <w:p w:rsidR="00C91ED0" w:rsidRDefault="001C5ABB">
      <w:pPr>
        <w:shd w:val="clear" w:color="auto" w:fill="FFFFFF"/>
        <w:spacing w:line="560" w:lineRule="exact"/>
        <w:ind w:firstLine="645"/>
        <w:rPr>
          <w:rFonts w:ascii="仿宋_GB2312" w:eastAsia="仿宋_GB2312" w:hAnsi="宋体" w:cs="楷体_GB2312"/>
          <w:bCs/>
          <w:color w:val="000000"/>
          <w:sz w:val="32"/>
          <w:szCs w:val="32"/>
          <w:shd w:val="clear" w:color="auto" w:fill="FFFFFF"/>
        </w:rPr>
      </w:pPr>
      <w:r>
        <w:rPr>
          <w:rFonts w:ascii="仿宋_GB2312" w:eastAsia="仿宋_GB2312" w:hAnsi="仿宋_GB2312" w:cs="仿宋_GB2312" w:hint="eastAsia"/>
          <w:b/>
          <w:sz w:val="32"/>
          <w:szCs w:val="32"/>
        </w:rPr>
        <w:t>（4）“12345”市民热线平台运行维护费项目绩效目标完成情况综述。</w:t>
      </w:r>
      <w:r>
        <w:rPr>
          <w:rFonts w:ascii="仿宋_GB2312" w:eastAsia="仿宋_GB2312" w:hAnsi="仿宋_GB2312" w:cs="仿宋_GB2312" w:hint="eastAsia"/>
          <w:sz w:val="32"/>
          <w:szCs w:val="32"/>
        </w:rPr>
        <w:t>项目全年预算数300万元，执行数为300万元，完成预算的100%。通过项目实施，</w:t>
      </w:r>
      <w:r>
        <w:rPr>
          <w:rFonts w:ascii="仿宋_GB2312" w:eastAsia="仿宋_GB2312" w:hAnsi="宋体" w:cs="楷体_GB2312" w:hint="eastAsia"/>
          <w:bCs/>
          <w:color w:val="000000"/>
          <w:sz w:val="32"/>
          <w:szCs w:val="32"/>
          <w:shd w:val="clear" w:color="auto" w:fill="FFFFFF"/>
        </w:rPr>
        <w:t>打造了“12345”市民热线品牌，充分发挥服务热线的功能和作用，听民声、集民智、察民情、解民忧、帮民困，为群众提供高效便捷的政务服务。</w:t>
      </w:r>
      <w:r>
        <w:rPr>
          <w:rFonts w:ascii="仿宋_GB2312" w:eastAsia="仿宋_GB2312" w:hAnsi="仿宋_GB2312" w:cs="仿宋_GB2312" w:hint="eastAsia"/>
          <w:sz w:val="32"/>
          <w:szCs w:val="32"/>
        </w:rPr>
        <w:t>发现的主要问题：支付进度慢。下一步改进措施：严格按照合同规定的时间节点支付资金。</w:t>
      </w:r>
    </w:p>
    <w:p w:rsidR="00C91ED0" w:rsidRDefault="001C5ABB" w:rsidP="00694E54">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（5）并联审批工作经费项目绩效目标完成情况综述。</w:t>
      </w:r>
      <w:r>
        <w:rPr>
          <w:rFonts w:ascii="仿宋_GB2312" w:eastAsia="仿宋_GB2312" w:hAnsi="仿宋_GB2312" w:cs="仿宋_GB2312" w:hint="eastAsia"/>
          <w:sz w:val="32"/>
          <w:szCs w:val="32"/>
        </w:rPr>
        <w:t>项目全年预算数5万元，执行数为5万元，完成预算的100%。通过</w:t>
      </w:r>
      <w:r>
        <w:rPr>
          <w:rFonts w:ascii="仿宋_GB2312" w:eastAsia="仿宋_GB2312" w:hAnsi="仿宋_GB2312" w:cs="仿宋_GB2312" w:hint="eastAsia"/>
          <w:sz w:val="32"/>
          <w:szCs w:val="32"/>
        </w:rPr>
        <w:lastRenderedPageBreak/>
        <w:t>项目实施，保障并联审批工作的有序推进。</w:t>
      </w:r>
    </w:p>
    <w:tbl>
      <w:tblPr>
        <w:tblpPr w:leftFromText="180" w:rightFromText="180" w:vertAnchor="text" w:horzAnchor="page" w:tblpXSpec="center" w:tblpY="423"/>
        <w:tblOverlap w:val="never"/>
        <w:tblW w:w="9803" w:type="dxa"/>
        <w:jc w:val="center"/>
        <w:tblLayout w:type="fixed"/>
        <w:tblCellMar>
          <w:left w:w="0" w:type="dxa"/>
          <w:right w:w="0" w:type="dxa"/>
        </w:tblCellMar>
        <w:tblLook w:val="04A0"/>
      </w:tblPr>
      <w:tblGrid>
        <w:gridCol w:w="567"/>
        <w:gridCol w:w="229"/>
        <w:gridCol w:w="804"/>
        <w:gridCol w:w="1025"/>
        <w:gridCol w:w="1643"/>
        <w:gridCol w:w="2977"/>
        <w:gridCol w:w="166"/>
        <w:gridCol w:w="2392"/>
      </w:tblGrid>
      <w:tr w:rsidR="00C91ED0" w:rsidTr="00694E54">
        <w:trPr>
          <w:trHeight w:val="1034"/>
          <w:jc w:val="center"/>
        </w:trPr>
        <w:tc>
          <w:tcPr>
            <w:tcW w:w="9803" w:type="dxa"/>
            <w:gridSpan w:val="8"/>
            <w:tcBorders>
              <w:top w:val="nil"/>
              <w:left w:val="nil"/>
              <w:bottom w:val="nil"/>
              <w:right w:val="nil"/>
            </w:tcBorders>
            <w:tcMar>
              <w:top w:w="15" w:type="dxa"/>
              <w:left w:w="15" w:type="dxa"/>
              <w:right w:w="15" w:type="dxa"/>
            </w:tcMar>
            <w:vAlign w:val="center"/>
          </w:tcPr>
          <w:p w:rsidR="00C91ED0" w:rsidRDefault="001C5ABB" w:rsidP="00694E54">
            <w:pPr>
              <w:widowControl/>
              <w:jc w:val="center"/>
              <w:textAlignment w:val="center"/>
              <w:rPr>
                <w:rFonts w:ascii="宋体" w:hAnsi="宋体" w:cs="宋体"/>
                <w:color w:val="000000"/>
                <w:sz w:val="36"/>
                <w:szCs w:val="36"/>
              </w:rPr>
            </w:pPr>
            <w:r>
              <w:rPr>
                <w:rFonts w:ascii="方正小标宋_GBK" w:eastAsia="方正小标宋_GBK"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楷体_GB2312" w:eastAsia="楷体_GB2312" w:hAnsi="宋体" w:cs="宋体" w:hint="eastAsia"/>
                <w:b/>
                <w:color w:val="000000"/>
                <w:kern w:val="0"/>
                <w:sz w:val="36"/>
                <w:szCs w:val="36"/>
              </w:rPr>
              <w:t>(</w:t>
            </w:r>
            <w:r>
              <w:rPr>
                <w:rFonts w:ascii="楷体_GB2312" w:eastAsia="楷体_GB2312" w:hAnsi="宋体" w:cs="宋体" w:hint="eastAsia"/>
                <w:color w:val="000000"/>
                <w:kern w:val="0"/>
                <w:sz w:val="36"/>
                <w:szCs w:val="36"/>
              </w:rPr>
              <w:t>2019 年度)</w:t>
            </w:r>
          </w:p>
        </w:tc>
      </w:tr>
      <w:tr w:rsidR="00C91ED0" w:rsidRPr="00E94709" w:rsidTr="00513E96">
        <w:trPr>
          <w:trHeight w:val="275"/>
          <w:jc w:val="center"/>
        </w:trPr>
        <w:tc>
          <w:tcPr>
            <w:tcW w:w="262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rsidP="00325269">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“市民之家”</w:t>
            </w:r>
            <w:r w:rsidR="00325269">
              <w:rPr>
                <w:rFonts w:ascii="仿宋_GB2312" w:eastAsia="仿宋_GB2312" w:hAnsi="宋体" w:cs="宋体" w:hint="eastAsia"/>
                <w:color w:val="000000"/>
                <w:sz w:val="24"/>
              </w:rPr>
              <w:t>标识标牌</w:t>
            </w:r>
            <w:r w:rsidRPr="00E94709">
              <w:rPr>
                <w:rFonts w:ascii="仿宋_GB2312" w:eastAsia="仿宋_GB2312" w:hAnsi="宋体" w:cs="宋体" w:hint="eastAsia"/>
                <w:color w:val="000000"/>
                <w:sz w:val="24"/>
              </w:rPr>
              <w:t>制作费</w:t>
            </w:r>
          </w:p>
        </w:tc>
      </w:tr>
      <w:tr w:rsidR="00C91ED0" w:rsidRPr="00E94709" w:rsidTr="00694E54">
        <w:trPr>
          <w:trHeight w:val="276"/>
          <w:jc w:val="center"/>
        </w:trPr>
        <w:tc>
          <w:tcPr>
            <w:tcW w:w="262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巴中市政务服务和公共资源交易服务中心</w:t>
            </w:r>
          </w:p>
        </w:tc>
      </w:tr>
      <w:tr w:rsidR="00C91ED0" w:rsidRPr="00E94709" w:rsidTr="00694E54">
        <w:trPr>
          <w:trHeight w:val="276"/>
          <w:jc w:val="center"/>
        </w:trPr>
        <w:tc>
          <w:tcPr>
            <w:tcW w:w="79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spacing w:line="360" w:lineRule="exact"/>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预算执行情况(万元)</w:t>
            </w:r>
          </w:p>
        </w:tc>
        <w:tc>
          <w:tcPr>
            <w:tcW w:w="18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bookmarkStart w:id="59" w:name="_GoBack"/>
            <w:bookmarkEnd w:id="59"/>
            <w:r w:rsidRPr="00E94709">
              <w:rPr>
                <w:rFonts w:ascii="仿宋_GB2312" w:eastAsia="仿宋_GB2312" w:hAnsi="宋体" w:cs="宋体" w:hint="eastAsia"/>
                <w:color w:val="000000"/>
                <w:kern w:val="0"/>
                <w:sz w:val="24"/>
              </w:rPr>
              <w:t>预算数:</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325269">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30</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执行数:</w:t>
            </w:r>
          </w:p>
        </w:tc>
        <w:tc>
          <w:tcPr>
            <w:tcW w:w="25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30</w:t>
            </w:r>
          </w:p>
        </w:tc>
      </w:tr>
      <w:tr w:rsidR="00C91ED0" w:rsidRPr="00E94709" w:rsidTr="00694E54">
        <w:trPr>
          <w:trHeight w:val="445"/>
          <w:jc w:val="center"/>
        </w:trPr>
        <w:tc>
          <w:tcPr>
            <w:tcW w:w="7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C91ED0">
            <w:pPr>
              <w:jc w:val="center"/>
              <w:rPr>
                <w:rFonts w:ascii="仿宋_GB2312" w:eastAsia="仿宋_GB2312" w:hAnsi="宋体" w:cs="宋体"/>
                <w:color w:val="000000"/>
                <w:sz w:val="24"/>
              </w:rPr>
            </w:pPr>
          </w:p>
        </w:tc>
        <w:tc>
          <w:tcPr>
            <w:tcW w:w="18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其中-财政拨款:</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325269">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30</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其中-财政拨款:</w:t>
            </w:r>
          </w:p>
        </w:tc>
        <w:tc>
          <w:tcPr>
            <w:tcW w:w="25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30</w:t>
            </w:r>
          </w:p>
        </w:tc>
      </w:tr>
      <w:tr w:rsidR="00C91ED0" w:rsidRPr="00E94709" w:rsidTr="00694E54">
        <w:trPr>
          <w:trHeight w:val="238"/>
          <w:jc w:val="center"/>
        </w:trPr>
        <w:tc>
          <w:tcPr>
            <w:tcW w:w="7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C91ED0">
            <w:pPr>
              <w:jc w:val="center"/>
              <w:rPr>
                <w:rFonts w:ascii="仿宋_GB2312" w:eastAsia="仿宋_GB2312" w:hAnsi="宋体" w:cs="宋体"/>
                <w:color w:val="000000"/>
                <w:sz w:val="24"/>
              </w:rPr>
            </w:pPr>
          </w:p>
        </w:tc>
        <w:tc>
          <w:tcPr>
            <w:tcW w:w="18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其它资金:</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0</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其它资金:</w:t>
            </w:r>
          </w:p>
        </w:tc>
        <w:tc>
          <w:tcPr>
            <w:tcW w:w="25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jc w:val="center"/>
              <w:rPr>
                <w:rFonts w:ascii="仿宋_GB2312" w:eastAsia="仿宋_GB2312" w:hAnsi="宋体" w:cs="宋体"/>
                <w:color w:val="000000"/>
                <w:sz w:val="24"/>
              </w:rPr>
            </w:pPr>
            <w:r w:rsidRPr="00E94709">
              <w:rPr>
                <w:rFonts w:ascii="仿宋_GB2312" w:eastAsia="仿宋_GB2312" w:hAnsi="宋体" w:cs="宋体" w:hint="eastAsia"/>
                <w:color w:val="000000"/>
                <w:sz w:val="24"/>
              </w:rPr>
              <w:t>0</w:t>
            </w:r>
          </w:p>
        </w:tc>
      </w:tr>
      <w:tr w:rsidR="00C91ED0" w:rsidRPr="00E94709" w:rsidTr="00694E54">
        <w:trPr>
          <w:trHeight w:val="55"/>
          <w:jc w:val="center"/>
        </w:trPr>
        <w:tc>
          <w:tcPr>
            <w:tcW w:w="79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年度目标完成情况</w:t>
            </w:r>
          </w:p>
        </w:tc>
        <w:tc>
          <w:tcPr>
            <w:tcW w:w="347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预期目标</w:t>
            </w:r>
          </w:p>
        </w:tc>
        <w:tc>
          <w:tcPr>
            <w:tcW w:w="55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实际完成目标</w:t>
            </w:r>
          </w:p>
        </w:tc>
      </w:tr>
      <w:tr w:rsidR="00C91ED0" w:rsidRPr="00E94709" w:rsidTr="00B5762F">
        <w:trPr>
          <w:trHeight w:val="947"/>
          <w:jc w:val="center"/>
        </w:trPr>
        <w:tc>
          <w:tcPr>
            <w:tcW w:w="7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C91ED0">
            <w:pPr>
              <w:jc w:val="center"/>
              <w:rPr>
                <w:rFonts w:ascii="仿宋_GB2312" w:eastAsia="仿宋_GB2312" w:hAnsi="宋体" w:cs="宋体"/>
                <w:color w:val="000000"/>
                <w:sz w:val="24"/>
              </w:rPr>
            </w:pPr>
          </w:p>
        </w:tc>
        <w:tc>
          <w:tcPr>
            <w:tcW w:w="347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市民之家标识标牌制作</w:t>
            </w:r>
          </w:p>
        </w:tc>
        <w:tc>
          <w:tcPr>
            <w:tcW w:w="55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在“市民之家”制作大型标识牌、总平面展示、楼层索引、标识标牌、地下停车场指示等256个，为办事企业和群众提供清晰指引，更加方便群众办事。</w:t>
            </w:r>
          </w:p>
        </w:tc>
      </w:tr>
      <w:tr w:rsidR="00C91ED0" w:rsidRPr="00E94709" w:rsidTr="00694E54">
        <w:trPr>
          <w:trHeight w:val="833"/>
          <w:jc w:val="center"/>
        </w:trPr>
        <w:tc>
          <w:tcPr>
            <w:tcW w:w="5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绩效指标完成情况</w:t>
            </w: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二级指标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三级指标</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实际完成指标值(包含数字及文字描述)</w:t>
            </w:r>
          </w:p>
        </w:tc>
      </w:tr>
      <w:tr w:rsidR="00C91ED0" w:rsidRPr="00E94709" w:rsidTr="00694E54">
        <w:trPr>
          <w:trHeight w:val="585"/>
          <w:jc w:val="center"/>
        </w:trPr>
        <w:tc>
          <w:tcPr>
            <w:tcW w:w="567" w:type="dxa"/>
            <w:vMerge/>
            <w:tcBorders>
              <w:left w:val="single" w:sz="4" w:space="0" w:color="000000"/>
              <w:right w:val="single" w:sz="4" w:space="0" w:color="000000"/>
            </w:tcBorders>
            <w:tcMar>
              <w:top w:w="15" w:type="dxa"/>
              <w:left w:w="15" w:type="dxa"/>
              <w:right w:w="15" w:type="dxa"/>
            </w:tcMar>
            <w:vAlign w:val="center"/>
          </w:tcPr>
          <w:p w:rsidR="00C91ED0" w:rsidRPr="00E94709" w:rsidRDefault="00C91ED0">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3391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数量指标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3391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大型标识</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3391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1个（高16米）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3391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1个（高16米）</w:t>
            </w:r>
          </w:p>
        </w:tc>
      </w:tr>
      <w:tr w:rsidR="00C91ED0" w:rsidRPr="00E94709" w:rsidTr="00B5762F">
        <w:trPr>
          <w:trHeight w:val="587"/>
          <w:jc w:val="center"/>
        </w:trPr>
        <w:tc>
          <w:tcPr>
            <w:tcW w:w="567" w:type="dxa"/>
            <w:vMerge/>
            <w:tcBorders>
              <w:left w:val="single" w:sz="4" w:space="0" w:color="000000"/>
              <w:right w:val="single" w:sz="4" w:space="0" w:color="000000"/>
            </w:tcBorders>
            <w:tcMar>
              <w:top w:w="15" w:type="dxa"/>
              <w:left w:w="15" w:type="dxa"/>
              <w:right w:w="15" w:type="dxa"/>
            </w:tcMar>
            <w:vAlign w:val="center"/>
          </w:tcPr>
          <w:p w:rsidR="00C91ED0" w:rsidRPr="00E94709" w:rsidRDefault="00C91ED0">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3391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数量指标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3391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总平面图</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3391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1个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3391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1个</w:t>
            </w:r>
          </w:p>
        </w:tc>
      </w:tr>
      <w:tr w:rsidR="00C91ED0" w:rsidRPr="00E94709" w:rsidTr="00694E54">
        <w:trPr>
          <w:trHeight w:val="711"/>
          <w:jc w:val="center"/>
        </w:trPr>
        <w:tc>
          <w:tcPr>
            <w:tcW w:w="567" w:type="dxa"/>
            <w:vMerge/>
            <w:tcBorders>
              <w:left w:val="single" w:sz="4" w:space="0" w:color="000000"/>
              <w:right w:val="single" w:sz="4" w:space="0" w:color="000000"/>
            </w:tcBorders>
            <w:tcMar>
              <w:top w:w="15" w:type="dxa"/>
              <w:left w:w="15" w:type="dxa"/>
              <w:right w:w="15" w:type="dxa"/>
            </w:tcMar>
            <w:vAlign w:val="center"/>
          </w:tcPr>
          <w:p w:rsidR="00C91ED0" w:rsidRPr="00E94709" w:rsidRDefault="00C91ED0">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3391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数量指标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33913" w:rsidP="00D3391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停车指示</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3391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2个（进出口各1个）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3391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2个（进出口各1个）</w:t>
            </w:r>
          </w:p>
        </w:tc>
      </w:tr>
      <w:tr w:rsidR="00C91ED0" w:rsidRPr="00E94709" w:rsidTr="00694E54">
        <w:trPr>
          <w:trHeight w:val="539"/>
          <w:jc w:val="center"/>
        </w:trPr>
        <w:tc>
          <w:tcPr>
            <w:tcW w:w="567" w:type="dxa"/>
            <w:vMerge/>
            <w:tcBorders>
              <w:left w:val="single" w:sz="4" w:space="0" w:color="000000"/>
              <w:right w:val="single" w:sz="4" w:space="0" w:color="000000"/>
            </w:tcBorders>
            <w:tcMar>
              <w:top w:w="15" w:type="dxa"/>
              <w:left w:w="15" w:type="dxa"/>
              <w:right w:w="15" w:type="dxa"/>
            </w:tcMar>
            <w:vAlign w:val="center"/>
          </w:tcPr>
          <w:p w:rsidR="00C91ED0" w:rsidRPr="00E94709" w:rsidRDefault="00C91ED0">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kern w:val="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3391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数量指标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4910A1">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楼层索引</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4910A1">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252个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4910A1">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252个</w:t>
            </w:r>
          </w:p>
        </w:tc>
      </w:tr>
      <w:tr w:rsidR="00C91ED0" w:rsidRPr="00E94709" w:rsidTr="00694E54">
        <w:trPr>
          <w:trHeight w:val="747"/>
          <w:jc w:val="center"/>
        </w:trPr>
        <w:tc>
          <w:tcPr>
            <w:tcW w:w="567" w:type="dxa"/>
            <w:vMerge/>
            <w:tcBorders>
              <w:left w:val="single" w:sz="4" w:space="0" w:color="000000"/>
              <w:right w:val="single" w:sz="4" w:space="0" w:color="000000"/>
            </w:tcBorders>
            <w:tcMar>
              <w:top w:w="15" w:type="dxa"/>
              <w:left w:w="15" w:type="dxa"/>
              <w:right w:w="15" w:type="dxa"/>
            </w:tcMar>
            <w:vAlign w:val="center"/>
          </w:tcPr>
          <w:p w:rsidR="00C91ED0" w:rsidRPr="00E94709" w:rsidRDefault="00C91ED0">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4910A1">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质量指标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4910A1" w:rsidP="004910A1">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合格率、颜色</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4910A1">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质量合格率100%，标识标牌颜色清晰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4910A1" w:rsidP="004910A1">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质量合格率100%，标识标牌颜色醒目，边缘整齐</w:t>
            </w:r>
          </w:p>
        </w:tc>
      </w:tr>
      <w:tr w:rsidR="00C91ED0" w:rsidRPr="00E94709" w:rsidTr="00694E54">
        <w:trPr>
          <w:trHeight w:val="550"/>
          <w:jc w:val="center"/>
        </w:trPr>
        <w:tc>
          <w:tcPr>
            <w:tcW w:w="567" w:type="dxa"/>
            <w:vMerge/>
            <w:tcBorders>
              <w:left w:val="single" w:sz="4" w:space="0" w:color="000000"/>
              <w:right w:val="single" w:sz="4" w:space="0" w:color="000000"/>
            </w:tcBorders>
            <w:tcMar>
              <w:top w:w="15" w:type="dxa"/>
              <w:left w:w="15" w:type="dxa"/>
              <w:right w:w="15" w:type="dxa"/>
            </w:tcMar>
            <w:vAlign w:val="center"/>
          </w:tcPr>
          <w:p w:rsidR="00C91ED0" w:rsidRPr="00E94709" w:rsidRDefault="00C91ED0">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E90518">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E90518">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时效指标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E90518">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按时完成</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E90518">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安装美观大方，按时完成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E90518">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美观大方，按时完成率100%</w:t>
            </w:r>
          </w:p>
        </w:tc>
      </w:tr>
      <w:tr w:rsidR="00C91ED0" w:rsidRPr="00E94709" w:rsidTr="00694E54">
        <w:trPr>
          <w:trHeight w:val="601"/>
          <w:jc w:val="center"/>
        </w:trPr>
        <w:tc>
          <w:tcPr>
            <w:tcW w:w="567" w:type="dxa"/>
            <w:vMerge/>
            <w:tcBorders>
              <w:left w:val="single" w:sz="4" w:space="0" w:color="000000"/>
              <w:right w:val="single" w:sz="4" w:space="0" w:color="000000"/>
            </w:tcBorders>
            <w:tcMar>
              <w:top w:w="15" w:type="dxa"/>
              <w:left w:w="15" w:type="dxa"/>
              <w:right w:w="15" w:type="dxa"/>
            </w:tcMar>
            <w:vAlign w:val="center"/>
          </w:tcPr>
          <w:p w:rsidR="00C91ED0" w:rsidRPr="00E94709" w:rsidRDefault="00C91ED0">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A30DE9">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社会效益</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A30DE9">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服务标准</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A30DE9">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为企业群众办事提供更清晰的指引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A30DE9">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方便企业群众办事，提高效率</w:t>
            </w:r>
          </w:p>
        </w:tc>
      </w:tr>
      <w:tr w:rsidR="00C91ED0" w:rsidRPr="00E94709" w:rsidTr="00B5762F">
        <w:trPr>
          <w:trHeight w:val="684"/>
          <w:jc w:val="center"/>
        </w:trPr>
        <w:tc>
          <w:tcPr>
            <w:tcW w:w="5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C91ED0">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22F6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服务对象满意</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22F6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满意度</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22F6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办事企业群众和窗口人员满意度达到98%以上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91ED0" w:rsidRPr="00E94709" w:rsidRDefault="00D22F63">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办事企业群众和窗口人员满意度达到了98%以上</w:t>
            </w:r>
          </w:p>
        </w:tc>
      </w:tr>
    </w:tbl>
    <w:p w:rsidR="00342E85" w:rsidRPr="00694E54" w:rsidRDefault="00342E85" w:rsidP="00694E54">
      <w:pPr>
        <w:spacing w:line="580" w:lineRule="exact"/>
        <w:rPr>
          <w:rFonts w:ascii="楷体_GB2312" w:eastAsia="楷体_GB2312" w:hAnsi="楷体_GB2312" w:cs="楷体_GB2312"/>
          <w:b/>
          <w:sz w:val="32"/>
          <w:szCs w:val="32"/>
        </w:rPr>
      </w:pPr>
    </w:p>
    <w:tbl>
      <w:tblPr>
        <w:tblpPr w:leftFromText="180" w:rightFromText="180" w:vertAnchor="text" w:horzAnchor="page" w:tblpXSpec="center" w:tblpY="423"/>
        <w:tblOverlap w:val="never"/>
        <w:tblW w:w="9803" w:type="dxa"/>
        <w:jc w:val="center"/>
        <w:tblLayout w:type="fixed"/>
        <w:tblCellMar>
          <w:left w:w="0" w:type="dxa"/>
          <w:right w:w="0" w:type="dxa"/>
        </w:tblCellMar>
        <w:tblLook w:val="04A0"/>
      </w:tblPr>
      <w:tblGrid>
        <w:gridCol w:w="567"/>
        <w:gridCol w:w="229"/>
        <w:gridCol w:w="804"/>
        <w:gridCol w:w="1025"/>
        <w:gridCol w:w="1643"/>
        <w:gridCol w:w="2977"/>
        <w:gridCol w:w="166"/>
        <w:gridCol w:w="2392"/>
      </w:tblGrid>
      <w:tr w:rsidR="00694E54" w:rsidTr="001C5ABB">
        <w:trPr>
          <w:trHeight w:val="1034"/>
          <w:jc w:val="center"/>
        </w:trPr>
        <w:tc>
          <w:tcPr>
            <w:tcW w:w="9803" w:type="dxa"/>
            <w:gridSpan w:val="8"/>
            <w:tcBorders>
              <w:top w:val="nil"/>
              <w:left w:val="nil"/>
              <w:bottom w:val="nil"/>
              <w:right w:val="nil"/>
            </w:tcBorders>
            <w:tcMar>
              <w:top w:w="15" w:type="dxa"/>
              <w:left w:w="15" w:type="dxa"/>
              <w:right w:w="15" w:type="dxa"/>
            </w:tcMar>
            <w:vAlign w:val="center"/>
          </w:tcPr>
          <w:p w:rsidR="00694E54" w:rsidRDefault="00694E54" w:rsidP="00AA540B">
            <w:pPr>
              <w:widowControl/>
              <w:jc w:val="center"/>
              <w:textAlignment w:val="center"/>
              <w:rPr>
                <w:rFonts w:ascii="宋体" w:hAnsi="宋体" w:cs="宋体"/>
                <w:color w:val="000000"/>
                <w:sz w:val="36"/>
                <w:szCs w:val="36"/>
              </w:rPr>
            </w:pPr>
            <w:r>
              <w:rPr>
                <w:rFonts w:ascii="方正小标宋_GBK" w:eastAsia="方正小标宋_GBK" w:hAnsi="宋体" w:cs="宋体" w:hint="eastAsia"/>
                <w:b/>
                <w:bCs/>
                <w:color w:val="000000"/>
                <w:kern w:val="0"/>
                <w:sz w:val="36"/>
                <w:szCs w:val="36"/>
              </w:rPr>
              <w:lastRenderedPageBreak/>
              <w:t>项目绩效目标完成情况表</w:t>
            </w:r>
            <w:r>
              <w:rPr>
                <w:rFonts w:ascii="宋体" w:hAnsi="宋体" w:cs="宋体" w:hint="eastAsia"/>
                <w:b/>
                <w:bCs/>
                <w:color w:val="000000"/>
                <w:kern w:val="0"/>
                <w:sz w:val="36"/>
                <w:szCs w:val="36"/>
              </w:rPr>
              <w:br/>
            </w:r>
            <w:r>
              <w:rPr>
                <w:rFonts w:ascii="楷体_GB2312" w:eastAsia="楷体_GB2312" w:hAnsi="宋体" w:cs="宋体" w:hint="eastAsia"/>
                <w:b/>
                <w:color w:val="000000"/>
                <w:kern w:val="0"/>
                <w:sz w:val="36"/>
                <w:szCs w:val="36"/>
              </w:rPr>
              <w:t>(</w:t>
            </w:r>
            <w:r>
              <w:rPr>
                <w:rFonts w:ascii="楷体_GB2312" w:eastAsia="楷体_GB2312" w:hAnsi="宋体" w:cs="宋体" w:hint="eastAsia"/>
                <w:color w:val="000000"/>
                <w:kern w:val="0"/>
                <w:sz w:val="36"/>
                <w:szCs w:val="36"/>
              </w:rPr>
              <w:t>2019 年度)</w:t>
            </w:r>
          </w:p>
        </w:tc>
      </w:tr>
      <w:tr w:rsidR="00694E54" w:rsidRPr="00E94709" w:rsidTr="001C5ABB">
        <w:trPr>
          <w:trHeight w:val="417"/>
          <w:jc w:val="center"/>
        </w:trPr>
        <w:tc>
          <w:tcPr>
            <w:tcW w:w="262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2E4B2F">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“市民之家”</w:t>
            </w:r>
            <w:r w:rsidR="002E4B2F">
              <w:rPr>
                <w:rFonts w:ascii="仿宋_GB2312" w:eastAsia="仿宋_GB2312" w:hAnsi="宋体" w:cs="宋体" w:hint="eastAsia"/>
                <w:color w:val="000000"/>
                <w:sz w:val="24"/>
              </w:rPr>
              <w:t>窗帘</w:t>
            </w:r>
            <w:r w:rsidRPr="00E94709">
              <w:rPr>
                <w:rFonts w:ascii="仿宋_GB2312" w:eastAsia="仿宋_GB2312" w:hAnsi="宋体" w:cs="宋体" w:hint="eastAsia"/>
                <w:color w:val="000000"/>
                <w:sz w:val="24"/>
              </w:rPr>
              <w:t>制作费</w:t>
            </w:r>
          </w:p>
        </w:tc>
      </w:tr>
      <w:tr w:rsidR="00694E54" w:rsidRPr="00E94709" w:rsidTr="001C5ABB">
        <w:trPr>
          <w:trHeight w:val="276"/>
          <w:jc w:val="center"/>
        </w:trPr>
        <w:tc>
          <w:tcPr>
            <w:tcW w:w="262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巴中市政务服务和公共资源交易服务中心</w:t>
            </w:r>
          </w:p>
        </w:tc>
      </w:tr>
      <w:tr w:rsidR="00694E54" w:rsidRPr="00E94709" w:rsidTr="001C5ABB">
        <w:trPr>
          <w:trHeight w:val="276"/>
          <w:jc w:val="center"/>
        </w:trPr>
        <w:tc>
          <w:tcPr>
            <w:tcW w:w="79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spacing w:line="360" w:lineRule="exact"/>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预算执行情况(万元)</w:t>
            </w:r>
          </w:p>
        </w:tc>
        <w:tc>
          <w:tcPr>
            <w:tcW w:w="18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预算数:</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2E4B2F"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18</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执行数:</w:t>
            </w:r>
          </w:p>
        </w:tc>
        <w:tc>
          <w:tcPr>
            <w:tcW w:w="25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2E4B2F"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15.77</w:t>
            </w:r>
          </w:p>
        </w:tc>
      </w:tr>
      <w:tr w:rsidR="00694E54" w:rsidRPr="00E94709" w:rsidTr="001C5ABB">
        <w:trPr>
          <w:trHeight w:val="445"/>
          <w:jc w:val="center"/>
        </w:trPr>
        <w:tc>
          <w:tcPr>
            <w:tcW w:w="7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jc w:val="center"/>
              <w:rPr>
                <w:rFonts w:ascii="仿宋_GB2312" w:eastAsia="仿宋_GB2312" w:hAnsi="宋体" w:cs="宋体"/>
                <w:color w:val="000000"/>
                <w:sz w:val="24"/>
              </w:rPr>
            </w:pPr>
          </w:p>
        </w:tc>
        <w:tc>
          <w:tcPr>
            <w:tcW w:w="18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其中-财政拨款:</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2E4B2F"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15.77</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其中-财政拨款:</w:t>
            </w:r>
          </w:p>
        </w:tc>
        <w:tc>
          <w:tcPr>
            <w:tcW w:w="25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2E4B2F"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15.77</w:t>
            </w:r>
          </w:p>
        </w:tc>
      </w:tr>
      <w:tr w:rsidR="00694E54" w:rsidRPr="00E94709" w:rsidTr="001C5ABB">
        <w:trPr>
          <w:trHeight w:val="238"/>
          <w:jc w:val="center"/>
        </w:trPr>
        <w:tc>
          <w:tcPr>
            <w:tcW w:w="7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jc w:val="center"/>
              <w:rPr>
                <w:rFonts w:ascii="仿宋_GB2312" w:eastAsia="仿宋_GB2312" w:hAnsi="宋体" w:cs="宋体"/>
                <w:color w:val="000000"/>
                <w:sz w:val="24"/>
              </w:rPr>
            </w:pPr>
          </w:p>
        </w:tc>
        <w:tc>
          <w:tcPr>
            <w:tcW w:w="18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其它资金:</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0</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其它资金:</w:t>
            </w:r>
          </w:p>
        </w:tc>
        <w:tc>
          <w:tcPr>
            <w:tcW w:w="25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jc w:val="center"/>
              <w:rPr>
                <w:rFonts w:ascii="仿宋_GB2312" w:eastAsia="仿宋_GB2312" w:hAnsi="宋体" w:cs="宋体"/>
                <w:color w:val="000000"/>
                <w:sz w:val="24"/>
              </w:rPr>
            </w:pPr>
            <w:r w:rsidRPr="00E94709">
              <w:rPr>
                <w:rFonts w:ascii="仿宋_GB2312" w:eastAsia="仿宋_GB2312" w:hAnsi="宋体" w:cs="宋体" w:hint="eastAsia"/>
                <w:color w:val="000000"/>
                <w:sz w:val="24"/>
              </w:rPr>
              <w:t>0</w:t>
            </w:r>
          </w:p>
        </w:tc>
      </w:tr>
      <w:tr w:rsidR="00694E54" w:rsidRPr="00E94709" w:rsidTr="001C5ABB">
        <w:trPr>
          <w:trHeight w:val="55"/>
          <w:jc w:val="center"/>
        </w:trPr>
        <w:tc>
          <w:tcPr>
            <w:tcW w:w="79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年度目标完成情况</w:t>
            </w:r>
          </w:p>
        </w:tc>
        <w:tc>
          <w:tcPr>
            <w:tcW w:w="347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预期目标</w:t>
            </w:r>
          </w:p>
        </w:tc>
        <w:tc>
          <w:tcPr>
            <w:tcW w:w="55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实际完成目标</w:t>
            </w:r>
          </w:p>
        </w:tc>
      </w:tr>
      <w:tr w:rsidR="00694E54" w:rsidRPr="00E94709" w:rsidTr="001C5ABB">
        <w:trPr>
          <w:trHeight w:val="1268"/>
          <w:jc w:val="center"/>
        </w:trPr>
        <w:tc>
          <w:tcPr>
            <w:tcW w:w="7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jc w:val="center"/>
              <w:rPr>
                <w:rFonts w:ascii="仿宋_GB2312" w:eastAsia="仿宋_GB2312" w:hAnsi="宋体" w:cs="宋体"/>
                <w:color w:val="000000"/>
                <w:sz w:val="24"/>
              </w:rPr>
            </w:pPr>
          </w:p>
        </w:tc>
        <w:tc>
          <w:tcPr>
            <w:tcW w:w="347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D77FC">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市民之家</w:t>
            </w:r>
            <w:r w:rsidR="001D77FC">
              <w:rPr>
                <w:rFonts w:ascii="仿宋_GB2312" w:eastAsia="仿宋_GB2312" w:hAnsi="宋体" w:cs="宋体" w:hint="eastAsia"/>
                <w:color w:val="000000"/>
                <w:sz w:val="24"/>
              </w:rPr>
              <w:t>安装窗帘235幅</w:t>
            </w:r>
          </w:p>
        </w:tc>
        <w:tc>
          <w:tcPr>
            <w:tcW w:w="55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1D77FC"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安装窗帘235幅，为办事群众和窗口工作人员提供良好的办公和服务环境</w:t>
            </w:r>
          </w:p>
        </w:tc>
      </w:tr>
      <w:tr w:rsidR="00694E54" w:rsidRPr="00E94709" w:rsidTr="001C5ABB">
        <w:trPr>
          <w:trHeight w:val="833"/>
          <w:jc w:val="center"/>
        </w:trPr>
        <w:tc>
          <w:tcPr>
            <w:tcW w:w="5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绩效指标完成情况</w:t>
            </w: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二级指标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三级指标</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实际完成指标值(包含数字及文字描述)</w:t>
            </w:r>
          </w:p>
        </w:tc>
      </w:tr>
      <w:tr w:rsidR="00694E54" w:rsidRPr="00E94709" w:rsidTr="001C5ABB">
        <w:trPr>
          <w:trHeight w:val="585"/>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数量指标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8976A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窗帘</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8976A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235幅</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8976A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235幅</w:t>
            </w:r>
          </w:p>
        </w:tc>
      </w:tr>
      <w:tr w:rsidR="00694E54" w:rsidRPr="00E94709" w:rsidTr="001C5ABB">
        <w:trPr>
          <w:trHeight w:val="727"/>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8976A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质量指标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8976A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合格率</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8976A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质量合格率达到100%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8976A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质量合格率达到100%</w:t>
            </w:r>
          </w:p>
        </w:tc>
      </w:tr>
      <w:tr w:rsidR="00694E54" w:rsidRPr="00E94709" w:rsidTr="001C5ABB">
        <w:trPr>
          <w:trHeight w:val="711"/>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8976A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质量</w:t>
            </w:r>
            <w:r w:rsidR="00694E54" w:rsidRPr="00E94709">
              <w:rPr>
                <w:rFonts w:ascii="仿宋_GB2312" w:eastAsia="仿宋_GB2312" w:hAnsi="宋体" w:cs="宋体" w:hint="eastAsia"/>
                <w:color w:val="000000"/>
                <w:sz w:val="24"/>
              </w:rPr>
              <w:t>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8976A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遮光隔热</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8976A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遮光性、隔热性能达到国家标准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8976A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遮光性、隔热性能达到国家标准</w:t>
            </w:r>
          </w:p>
        </w:tc>
      </w:tr>
      <w:tr w:rsidR="00694E54" w:rsidRPr="00E94709" w:rsidTr="001C5ABB">
        <w:trPr>
          <w:trHeight w:val="747"/>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F31A75"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成本指标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F31A75"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窗帘布</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F31A75"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小于等于70元每米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78189B"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大约60元每米</w:t>
            </w:r>
          </w:p>
        </w:tc>
      </w:tr>
      <w:tr w:rsidR="00694E54" w:rsidRPr="00E94709" w:rsidTr="001C5ABB">
        <w:trPr>
          <w:trHeight w:val="550"/>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时效指标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8976AA">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按时完成</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8976A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按时完成100%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按时完成率100%</w:t>
            </w:r>
            <w:r w:rsidR="008976AA">
              <w:rPr>
                <w:rFonts w:ascii="仿宋_GB2312" w:eastAsia="仿宋_GB2312" w:hAnsi="宋体" w:cs="宋体" w:hint="eastAsia"/>
                <w:color w:val="000000"/>
                <w:sz w:val="24"/>
              </w:rPr>
              <w:t>并长期使用</w:t>
            </w:r>
          </w:p>
        </w:tc>
      </w:tr>
      <w:tr w:rsidR="00694E54" w:rsidRPr="00E94709" w:rsidTr="001C5ABB">
        <w:trPr>
          <w:trHeight w:val="601"/>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社会效益</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F31A75"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形象展示</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F31A75"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优化环境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F31A75"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优化环境，营造良好的办事环境</w:t>
            </w:r>
          </w:p>
        </w:tc>
      </w:tr>
      <w:tr w:rsidR="00694E54" w:rsidRPr="00E94709" w:rsidTr="001C5ABB">
        <w:trPr>
          <w:trHeight w:val="826"/>
          <w:jc w:val="center"/>
        </w:trPr>
        <w:tc>
          <w:tcPr>
            <w:tcW w:w="5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服务对象满意</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满意度</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办事企业群众和窗口人员满意度达到98%以上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办事企业群众和窗口人员满意度达到了98%以上</w:t>
            </w:r>
          </w:p>
        </w:tc>
      </w:tr>
    </w:tbl>
    <w:p w:rsidR="00694E54" w:rsidRPr="00C36B19" w:rsidRDefault="00694E54" w:rsidP="00AA540B">
      <w:pPr>
        <w:spacing w:line="580" w:lineRule="exact"/>
        <w:rPr>
          <w:rFonts w:ascii="仿宋_GB2312" w:eastAsia="仿宋_GB2312" w:hAnsi="宋体" w:cs="宋体"/>
          <w:color w:val="000000"/>
          <w:sz w:val="24"/>
        </w:rPr>
      </w:pPr>
    </w:p>
    <w:tbl>
      <w:tblPr>
        <w:tblpPr w:leftFromText="180" w:rightFromText="180" w:vertAnchor="text" w:horzAnchor="page" w:tblpXSpec="center" w:tblpY="423"/>
        <w:tblOverlap w:val="never"/>
        <w:tblW w:w="9803" w:type="dxa"/>
        <w:jc w:val="center"/>
        <w:tblLayout w:type="fixed"/>
        <w:tblCellMar>
          <w:left w:w="0" w:type="dxa"/>
          <w:right w:w="0" w:type="dxa"/>
        </w:tblCellMar>
        <w:tblLook w:val="04A0"/>
      </w:tblPr>
      <w:tblGrid>
        <w:gridCol w:w="567"/>
        <w:gridCol w:w="229"/>
        <w:gridCol w:w="804"/>
        <w:gridCol w:w="1025"/>
        <w:gridCol w:w="1643"/>
        <w:gridCol w:w="2977"/>
        <w:gridCol w:w="166"/>
        <w:gridCol w:w="2392"/>
      </w:tblGrid>
      <w:tr w:rsidR="00694E54" w:rsidRPr="00C36B19" w:rsidTr="001C5ABB">
        <w:trPr>
          <w:trHeight w:val="1034"/>
          <w:jc w:val="center"/>
        </w:trPr>
        <w:tc>
          <w:tcPr>
            <w:tcW w:w="9803" w:type="dxa"/>
            <w:gridSpan w:val="8"/>
            <w:tcBorders>
              <w:top w:val="nil"/>
              <w:left w:val="nil"/>
              <w:bottom w:val="nil"/>
              <w:right w:val="nil"/>
            </w:tcBorders>
            <w:tcMar>
              <w:top w:w="15" w:type="dxa"/>
              <w:left w:w="15" w:type="dxa"/>
              <w:right w:w="15" w:type="dxa"/>
            </w:tcMar>
            <w:vAlign w:val="center"/>
          </w:tcPr>
          <w:p w:rsidR="00694E54" w:rsidRPr="00C36B19" w:rsidRDefault="00694E54" w:rsidP="00AA540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lastRenderedPageBreak/>
              <w:t>项目绩效目标完成情况表</w:t>
            </w:r>
            <w:r w:rsidRPr="00C36B19">
              <w:rPr>
                <w:rFonts w:ascii="仿宋_GB2312" w:eastAsia="仿宋_GB2312" w:hAnsi="宋体" w:cs="宋体" w:hint="eastAsia"/>
                <w:color w:val="000000"/>
                <w:sz w:val="24"/>
              </w:rPr>
              <w:br/>
              <w:t>(2019 年度)</w:t>
            </w:r>
          </w:p>
        </w:tc>
      </w:tr>
      <w:tr w:rsidR="00694E54" w:rsidRPr="00E94709" w:rsidTr="001C5ABB">
        <w:trPr>
          <w:trHeight w:val="417"/>
          <w:jc w:val="center"/>
        </w:trPr>
        <w:tc>
          <w:tcPr>
            <w:tcW w:w="262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046A91" w:rsidP="00A46F6F">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服务外来投资企业及开展项目帮代办费用</w:t>
            </w:r>
          </w:p>
        </w:tc>
      </w:tr>
      <w:tr w:rsidR="00694E54" w:rsidRPr="00E94709" w:rsidTr="001C5ABB">
        <w:trPr>
          <w:trHeight w:val="276"/>
          <w:jc w:val="center"/>
        </w:trPr>
        <w:tc>
          <w:tcPr>
            <w:tcW w:w="262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巴中市政务服务和公共资源交易服务中心</w:t>
            </w:r>
          </w:p>
        </w:tc>
      </w:tr>
      <w:tr w:rsidR="00694E54" w:rsidRPr="00E94709" w:rsidTr="001C5ABB">
        <w:trPr>
          <w:trHeight w:val="276"/>
          <w:jc w:val="center"/>
        </w:trPr>
        <w:tc>
          <w:tcPr>
            <w:tcW w:w="79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spacing w:line="360" w:lineRule="exact"/>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预算执行情况(万元)</w:t>
            </w:r>
          </w:p>
        </w:tc>
        <w:tc>
          <w:tcPr>
            <w:tcW w:w="18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预算数:</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046A91"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5</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执行数:</w:t>
            </w:r>
          </w:p>
        </w:tc>
        <w:tc>
          <w:tcPr>
            <w:tcW w:w="25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046A91"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5</w:t>
            </w:r>
          </w:p>
        </w:tc>
      </w:tr>
      <w:tr w:rsidR="00694E54" w:rsidRPr="00E94709" w:rsidTr="001C5ABB">
        <w:trPr>
          <w:trHeight w:val="445"/>
          <w:jc w:val="center"/>
        </w:trPr>
        <w:tc>
          <w:tcPr>
            <w:tcW w:w="7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jc w:val="center"/>
              <w:rPr>
                <w:rFonts w:ascii="仿宋_GB2312" w:eastAsia="仿宋_GB2312" w:hAnsi="宋体" w:cs="宋体"/>
                <w:color w:val="000000"/>
                <w:sz w:val="24"/>
              </w:rPr>
            </w:pPr>
          </w:p>
        </w:tc>
        <w:tc>
          <w:tcPr>
            <w:tcW w:w="18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其中-财政拨款:</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046A91"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5</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其中-财政拨款:</w:t>
            </w:r>
          </w:p>
        </w:tc>
        <w:tc>
          <w:tcPr>
            <w:tcW w:w="25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046A91"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5</w:t>
            </w:r>
          </w:p>
        </w:tc>
      </w:tr>
      <w:tr w:rsidR="00694E54" w:rsidRPr="00E94709" w:rsidTr="001C5ABB">
        <w:trPr>
          <w:trHeight w:val="238"/>
          <w:jc w:val="center"/>
        </w:trPr>
        <w:tc>
          <w:tcPr>
            <w:tcW w:w="7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jc w:val="center"/>
              <w:rPr>
                <w:rFonts w:ascii="仿宋_GB2312" w:eastAsia="仿宋_GB2312" w:hAnsi="宋体" w:cs="宋体"/>
                <w:color w:val="000000"/>
                <w:sz w:val="24"/>
              </w:rPr>
            </w:pPr>
          </w:p>
        </w:tc>
        <w:tc>
          <w:tcPr>
            <w:tcW w:w="18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其它资金:</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0</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其它资金:</w:t>
            </w:r>
          </w:p>
        </w:tc>
        <w:tc>
          <w:tcPr>
            <w:tcW w:w="25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jc w:val="center"/>
              <w:rPr>
                <w:rFonts w:ascii="仿宋_GB2312" w:eastAsia="仿宋_GB2312" w:hAnsi="宋体" w:cs="宋体"/>
                <w:color w:val="000000"/>
                <w:sz w:val="24"/>
              </w:rPr>
            </w:pPr>
            <w:r w:rsidRPr="00E94709">
              <w:rPr>
                <w:rFonts w:ascii="仿宋_GB2312" w:eastAsia="仿宋_GB2312" w:hAnsi="宋体" w:cs="宋体" w:hint="eastAsia"/>
                <w:color w:val="000000"/>
                <w:sz w:val="24"/>
              </w:rPr>
              <w:t>0</w:t>
            </w:r>
          </w:p>
        </w:tc>
      </w:tr>
      <w:tr w:rsidR="00694E54" w:rsidRPr="00E94709" w:rsidTr="001C5ABB">
        <w:trPr>
          <w:trHeight w:val="55"/>
          <w:jc w:val="center"/>
        </w:trPr>
        <w:tc>
          <w:tcPr>
            <w:tcW w:w="79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年度目标完成情况</w:t>
            </w:r>
          </w:p>
        </w:tc>
        <w:tc>
          <w:tcPr>
            <w:tcW w:w="347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预期目标</w:t>
            </w:r>
          </w:p>
        </w:tc>
        <w:tc>
          <w:tcPr>
            <w:tcW w:w="55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实际完成目标</w:t>
            </w:r>
          </w:p>
        </w:tc>
      </w:tr>
      <w:tr w:rsidR="00694E54" w:rsidRPr="00E94709" w:rsidTr="001C5ABB">
        <w:trPr>
          <w:trHeight w:val="1268"/>
          <w:jc w:val="center"/>
        </w:trPr>
        <w:tc>
          <w:tcPr>
            <w:tcW w:w="7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jc w:val="center"/>
              <w:rPr>
                <w:rFonts w:ascii="仿宋_GB2312" w:eastAsia="仿宋_GB2312" w:hAnsi="宋体" w:cs="宋体"/>
                <w:color w:val="000000"/>
                <w:sz w:val="24"/>
              </w:rPr>
            </w:pPr>
          </w:p>
        </w:tc>
        <w:tc>
          <w:tcPr>
            <w:tcW w:w="347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046A91"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推进行政审批、金融信贷、公共服务等一站式服务</w:t>
            </w:r>
          </w:p>
        </w:tc>
        <w:tc>
          <w:tcPr>
            <w:tcW w:w="55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046A91"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推进行政审批、金融信贷、公共服务等一站式服务，快速协调解决项目落地困难和问题</w:t>
            </w:r>
          </w:p>
        </w:tc>
      </w:tr>
      <w:tr w:rsidR="00694E54" w:rsidRPr="00E94709" w:rsidTr="001C5ABB">
        <w:trPr>
          <w:trHeight w:val="833"/>
          <w:jc w:val="center"/>
        </w:trPr>
        <w:tc>
          <w:tcPr>
            <w:tcW w:w="5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绩效指标完成情况</w:t>
            </w: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二级指标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三级指标</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实际完成指标值(包含数字及文字描述)</w:t>
            </w:r>
          </w:p>
        </w:tc>
      </w:tr>
      <w:tr w:rsidR="00694E54" w:rsidRPr="00E94709" w:rsidTr="001C5ABB">
        <w:trPr>
          <w:trHeight w:val="585"/>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数量指标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D37E8"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代办事项</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6D37E8" w:rsidRDefault="006D37E8"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为投资企业开展项目帮办代办不少于500项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9D679E"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为投资企业开展项目帮办代办不少于500项</w:t>
            </w:r>
          </w:p>
        </w:tc>
      </w:tr>
      <w:tr w:rsidR="00694E54" w:rsidRPr="00E94709" w:rsidTr="001C5ABB">
        <w:trPr>
          <w:trHeight w:val="727"/>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C36B19">
              <w:rPr>
                <w:rFonts w:ascii="仿宋_GB2312" w:eastAsia="仿宋_GB2312" w:hAnsi="宋体" w:cs="宋体" w:hint="eastAsia"/>
                <w:color w:val="00000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3850D3"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数量</w:t>
            </w:r>
            <w:r w:rsidR="00C36B19">
              <w:rPr>
                <w:rFonts w:ascii="仿宋_GB2312" w:eastAsia="仿宋_GB2312" w:hAnsi="宋体" w:cs="宋体" w:hint="eastAsia"/>
                <w:color w:val="000000"/>
                <w:sz w:val="24"/>
              </w:rPr>
              <w:t>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025EC"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接待率</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C36B19" w:rsidP="006025EC">
            <w:pPr>
              <w:widowControl/>
              <w:jc w:val="center"/>
              <w:textAlignment w:val="center"/>
              <w:rPr>
                <w:rFonts w:ascii="仿宋_GB2312" w:eastAsia="仿宋_GB2312" w:hAnsi="宋体" w:cs="宋体"/>
                <w:color w:val="000000"/>
                <w:sz w:val="24"/>
              </w:rPr>
            </w:pPr>
            <w:r w:rsidRPr="00C36B19">
              <w:rPr>
                <w:rFonts w:ascii="仿宋_GB2312" w:eastAsia="仿宋_GB2312" w:hAnsi="宋体" w:cs="宋体"/>
                <w:color w:val="000000"/>
                <w:sz w:val="24"/>
              </w:rPr>
              <w:t>接待群众咨询</w:t>
            </w:r>
            <w:r w:rsidR="006025EC">
              <w:rPr>
                <w:rFonts w:ascii="仿宋_GB2312" w:eastAsia="仿宋_GB2312" w:hAnsi="宋体" w:cs="宋体" w:hint="eastAsia"/>
                <w:color w:val="000000"/>
                <w:sz w:val="24"/>
              </w:rPr>
              <w:t>不少于</w:t>
            </w:r>
            <w:r w:rsidRPr="00C36B19">
              <w:rPr>
                <w:rFonts w:ascii="仿宋_GB2312" w:eastAsia="仿宋_GB2312" w:hAnsi="宋体" w:cs="宋体"/>
                <w:color w:val="000000"/>
                <w:sz w:val="24"/>
              </w:rPr>
              <w:t>2</w:t>
            </w:r>
            <w:r w:rsidR="006025EC">
              <w:rPr>
                <w:rFonts w:ascii="仿宋_GB2312" w:eastAsia="仿宋_GB2312" w:hAnsi="宋体" w:cs="宋体" w:hint="eastAsia"/>
                <w:color w:val="000000"/>
                <w:sz w:val="24"/>
              </w:rPr>
              <w:t>000</w:t>
            </w:r>
            <w:r w:rsidRPr="00C36B19">
              <w:rPr>
                <w:rFonts w:ascii="仿宋_GB2312" w:eastAsia="仿宋_GB2312" w:hAnsi="宋体" w:cs="宋体"/>
                <w:color w:val="000000"/>
                <w:sz w:val="24"/>
              </w:rPr>
              <w:t>余人次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025EC"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2300余人次</w:t>
            </w:r>
          </w:p>
        </w:tc>
      </w:tr>
      <w:tr w:rsidR="00694E54" w:rsidRPr="00E94709" w:rsidTr="001C5ABB">
        <w:trPr>
          <w:trHeight w:val="711"/>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C36B19"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时效</w:t>
            </w:r>
            <w:r w:rsidR="00694E54" w:rsidRPr="00E94709">
              <w:rPr>
                <w:rFonts w:ascii="仿宋_GB2312" w:eastAsia="仿宋_GB2312" w:hAnsi="宋体" w:cs="宋体" w:hint="eastAsia"/>
                <w:color w:val="000000"/>
                <w:sz w:val="24"/>
              </w:rPr>
              <w:t>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C36B19"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简单事项</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C36B19"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马上办</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C36B19"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马上办，不超过2小时</w:t>
            </w:r>
          </w:p>
        </w:tc>
      </w:tr>
      <w:tr w:rsidR="00694E54" w:rsidRPr="00E94709" w:rsidTr="001C5ABB">
        <w:trPr>
          <w:trHeight w:val="539"/>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kern w:val="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C36B19"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经济效益</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C36B19"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企业减负</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C36B19"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免费代办</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C36B19"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免费代办，为企业减少办事成本</w:t>
            </w:r>
          </w:p>
        </w:tc>
      </w:tr>
      <w:tr w:rsidR="00694E54" w:rsidRPr="00E94709" w:rsidTr="001C5ABB">
        <w:trPr>
          <w:trHeight w:val="550"/>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D51648"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社会效益</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DD46F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审批提速</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DD46F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减少投资企业项目审批制度交易性成本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DD46F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较少企业审批成本，助推企业快速落地投产</w:t>
            </w:r>
          </w:p>
        </w:tc>
      </w:tr>
      <w:tr w:rsidR="00694E54" w:rsidRPr="00E94709" w:rsidTr="001C5ABB">
        <w:trPr>
          <w:trHeight w:val="601"/>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9B6F25"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可持续影响</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9B6F25"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营商环境</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38356B"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持续优化我市投资营商环境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2373A8" w:rsidP="002373A8">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加大招商引资力度</w:t>
            </w:r>
          </w:p>
        </w:tc>
      </w:tr>
      <w:tr w:rsidR="00694E54" w:rsidRPr="00E94709" w:rsidTr="001C5ABB">
        <w:trPr>
          <w:trHeight w:val="826"/>
          <w:jc w:val="center"/>
        </w:trPr>
        <w:tc>
          <w:tcPr>
            <w:tcW w:w="5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服务对象满意</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满意度</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办事企业群众和窗口人员满意度达到98%以上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F83041">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办事企业群众和窗口人员满意度达到了9</w:t>
            </w:r>
            <w:r w:rsidR="00F83041">
              <w:rPr>
                <w:rFonts w:ascii="仿宋_GB2312" w:eastAsia="仿宋_GB2312" w:hAnsi="宋体" w:cs="宋体" w:hint="eastAsia"/>
                <w:color w:val="000000"/>
                <w:sz w:val="24"/>
              </w:rPr>
              <w:t>8</w:t>
            </w:r>
            <w:r w:rsidRPr="00E94709">
              <w:rPr>
                <w:rFonts w:ascii="仿宋_GB2312" w:eastAsia="仿宋_GB2312" w:hAnsi="宋体" w:cs="宋体" w:hint="eastAsia"/>
                <w:color w:val="000000"/>
                <w:sz w:val="24"/>
              </w:rPr>
              <w:t>%以上</w:t>
            </w:r>
          </w:p>
        </w:tc>
      </w:tr>
    </w:tbl>
    <w:p w:rsidR="00694E54" w:rsidRDefault="00694E54">
      <w:pPr>
        <w:spacing w:line="580" w:lineRule="exact"/>
        <w:ind w:left="630"/>
        <w:rPr>
          <w:rFonts w:ascii="楷体_GB2312" w:eastAsia="楷体_GB2312" w:hAnsi="楷体_GB2312" w:cs="楷体_GB2312"/>
          <w:b/>
          <w:sz w:val="32"/>
          <w:szCs w:val="32"/>
        </w:rPr>
      </w:pPr>
    </w:p>
    <w:tbl>
      <w:tblPr>
        <w:tblpPr w:leftFromText="180" w:rightFromText="180" w:vertAnchor="text" w:horzAnchor="page" w:tblpXSpec="center" w:tblpY="423"/>
        <w:tblOverlap w:val="never"/>
        <w:tblW w:w="9803" w:type="dxa"/>
        <w:jc w:val="center"/>
        <w:tblLayout w:type="fixed"/>
        <w:tblCellMar>
          <w:left w:w="0" w:type="dxa"/>
          <w:right w:w="0" w:type="dxa"/>
        </w:tblCellMar>
        <w:tblLook w:val="04A0"/>
      </w:tblPr>
      <w:tblGrid>
        <w:gridCol w:w="567"/>
        <w:gridCol w:w="229"/>
        <w:gridCol w:w="804"/>
        <w:gridCol w:w="1025"/>
        <w:gridCol w:w="1643"/>
        <w:gridCol w:w="2977"/>
        <w:gridCol w:w="166"/>
        <w:gridCol w:w="2392"/>
      </w:tblGrid>
      <w:tr w:rsidR="00694E54" w:rsidTr="001C5ABB">
        <w:trPr>
          <w:trHeight w:val="1034"/>
          <w:jc w:val="center"/>
        </w:trPr>
        <w:tc>
          <w:tcPr>
            <w:tcW w:w="9803" w:type="dxa"/>
            <w:gridSpan w:val="8"/>
            <w:tcBorders>
              <w:top w:val="nil"/>
              <w:left w:val="nil"/>
              <w:bottom w:val="nil"/>
              <w:right w:val="nil"/>
            </w:tcBorders>
            <w:tcMar>
              <w:top w:w="15" w:type="dxa"/>
              <w:left w:w="15" w:type="dxa"/>
              <w:right w:w="15" w:type="dxa"/>
            </w:tcMar>
            <w:vAlign w:val="center"/>
          </w:tcPr>
          <w:p w:rsidR="00694E54" w:rsidRDefault="00694E54" w:rsidP="001C5ABB">
            <w:pPr>
              <w:widowControl/>
              <w:jc w:val="center"/>
              <w:textAlignment w:val="center"/>
              <w:rPr>
                <w:rFonts w:ascii="宋体" w:hAnsi="宋体" w:cs="宋体"/>
                <w:color w:val="000000"/>
                <w:sz w:val="36"/>
                <w:szCs w:val="36"/>
              </w:rPr>
            </w:pPr>
            <w:r>
              <w:rPr>
                <w:rFonts w:ascii="方正小标宋_GBK" w:eastAsia="方正小标宋_GBK" w:hAnsi="宋体" w:cs="宋体" w:hint="eastAsia"/>
                <w:b/>
                <w:bCs/>
                <w:color w:val="000000"/>
                <w:kern w:val="0"/>
                <w:sz w:val="36"/>
                <w:szCs w:val="36"/>
              </w:rPr>
              <w:lastRenderedPageBreak/>
              <w:t>项目绩效目标完成情况表</w:t>
            </w:r>
            <w:r>
              <w:rPr>
                <w:rFonts w:ascii="宋体" w:hAnsi="宋体" w:cs="宋体" w:hint="eastAsia"/>
                <w:b/>
                <w:bCs/>
                <w:color w:val="000000"/>
                <w:kern w:val="0"/>
                <w:sz w:val="36"/>
                <w:szCs w:val="36"/>
              </w:rPr>
              <w:br/>
            </w:r>
            <w:r>
              <w:rPr>
                <w:rFonts w:ascii="楷体_GB2312" w:eastAsia="楷体_GB2312" w:hAnsi="宋体" w:cs="宋体" w:hint="eastAsia"/>
                <w:b/>
                <w:color w:val="000000"/>
                <w:kern w:val="0"/>
                <w:sz w:val="36"/>
                <w:szCs w:val="36"/>
              </w:rPr>
              <w:t>(</w:t>
            </w:r>
            <w:r>
              <w:rPr>
                <w:rFonts w:ascii="楷体_GB2312" w:eastAsia="楷体_GB2312" w:hAnsi="宋体" w:cs="宋体" w:hint="eastAsia"/>
                <w:color w:val="000000"/>
                <w:kern w:val="0"/>
                <w:sz w:val="36"/>
                <w:szCs w:val="36"/>
              </w:rPr>
              <w:t>2019 年度)</w:t>
            </w:r>
          </w:p>
        </w:tc>
      </w:tr>
      <w:tr w:rsidR="00694E54" w:rsidRPr="00E94709" w:rsidTr="00153ADE">
        <w:trPr>
          <w:trHeight w:val="698"/>
          <w:jc w:val="center"/>
        </w:trPr>
        <w:tc>
          <w:tcPr>
            <w:tcW w:w="262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5871A7"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“123456”市民热线平台运行维护费</w:t>
            </w:r>
          </w:p>
        </w:tc>
      </w:tr>
      <w:tr w:rsidR="00694E54" w:rsidRPr="00E94709" w:rsidTr="00153ADE">
        <w:trPr>
          <w:trHeight w:val="553"/>
          <w:jc w:val="center"/>
        </w:trPr>
        <w:tc>
          <w:tcPr>
            <w:tcW w:w="262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巴中市政务服务和公共资源交易服务中心</w:t>
            </w:r>
          </w:p>
        </w:tc>
      </w:tr>
      <w:tr w:rsidR="00694E54" w:rsidRPr="00E94709" w:rsidTr="001C5ABB">
        <w:trPr>
          <w:trHeight w:val="276"/>
          <w:jc w:val="center"/>
        </w:trPr>
        <w:tc>
          <w:tcPr>
            <w:tcW w:w="79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spacing w:line="360" w:lineRule="exact"/>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预算执行情况(万元)</w:t>
            </w:r>
          </w:p>
        </w:tc>
        <w:tc>
          <w:tcPr>
            <w:tcW w:w="18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预算数:</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30</w:t>
            </w:r>
            <w:r w:rsidR="005871A7">
              <w:rPr>
                <w:rFonts w:ascii="仿宋_GB2312" w:eastAsia="仿宋_GB2312" w:hAnsi="宋体" w:cs="宋体" w:hint="eastAsia"/>
                <w:color w:val="000000"/>
                <w:sz w:val="24"/>
              </w:rPr>
              <w:t>0</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执行数:</w:t>
            </w:r>
          </w:p>
        </w:tc>
        <w:tc>
          <w:tcPr>
            <w:tcW w:w="25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30</w:t>
            </w:r>
            <w:r w:rsidR="005871A7">
              <w:rPr>
                <w:rFonts w:ascii="仿宋_GB2312" w:eastAsia="仿宋_GB2312" w:hAnsi="宋体" w:cs="宋体" w:hint="eastAsia"/>
                <w:color w:val="000000"/>
                <w:sz w:val="24"/>
              </w:rPr>
              <w:t>0</w:t>
            </w:r>
          </w:p>
        </w:tc>
      </w:tr>
      <w:tr w:rsidR="00694E54" w:rsidRPr="00E94709" w:rsidTr="001C5ABB">
        <w:trPr>
          <w:trHeight w:val="445"/>
          <w:jc w:val="center"/>
        </w:trPr>
        <w:tc>
          <w:tcPr>
            <w:tcW w:w="7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jc w:val="center"/>
              <w:rPr>
                <w:rFonts w:ascii="仿宋_GB2312" w:eastAsia="仿宋_GB2312" w:hAnsi="宋体" w:cs="宋体"/>
                <w:color w:val="000000"/>
                <w:sz w:val="24"/>
              </w:rPr>
            </w:pPr>
          </w:p>
        </w:tc>
        <w:tc>
          <w:tcPr>
            <w:tcW w:w="18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其中-财政拨款:</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30</w:t>
            </w:r>
            <w:r w:rsidR="005871A7">
              <w:rPr>
                <w:rFonts w:ascii="仿宋_GB2312" w:eastAsia="仿宋_GB2312" w:hAnsi="宋体" w:cs="宋体" w:hint="eastAsia"/>
                <w:color w:val="000000"/>
                <w:sz w:val="24"/>
              </w:rPr>
              <w:t>0</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其中-财政拨款:</w:t>
            </w:r>
          </w:p>
        </w:tc>
        <w:tc>
          <w:tcPr>
            <w:tcW w:w="25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30</w:t>
            </w:r>
            <w:r w:rsidR="005871A7">
              <w:rPr>
                <w:rFonts w:ascii="仿宋_GB2312" w:eastAsia="仿宋_GB2312" w:hAnsi="宋体" w:cs="宋体" w:hint="eastAsia"/>
                <w:color w:val="000000"/>
                <w:sz w:val="24"/>
              </w:rPr>
              <w:t>0</w:t>
            </w:r>
          </w:p>
        </w:tc>
      </w:tr>
      <w:tr w:rsidR="00694E54" w:rsidRPr="00E94709" w:rsidTr="001C5ABB">
        <w:trPr>
          <w:trHeight w:val="238"/>
          <w:jc w:val="center"/>
        </w:trPr>
        <w:tc>
          <w:tcPr>
            <w:tcW w:w="7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jc w:val="center"/>
              <w:rPr>
                <w:rFonts w:ascii="仿宋_GB2312" w:eastAsia="仿宋_GB2312" w:hAnsi="宋体" w:cs="宋体"/>
                <w:color w:val="000000"/>
                <w:sz w:val="24"/>
              </w:rPr>
            </w:pPr>
          </w:p>
        </w:tc>
        <w:tc>
          <w:tcPr>
            <w:tcW w:w="18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其它资金:</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0</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其它资金:</w:t>
            </w:r>
          </w:p>
        </w:tc>
        <w:tc>
          <w:tcPr>
            <w:tcW w:w="25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jc w:val="center"/>
              <w:rPr>
                <w:rFonts w:ascii="仿宋_GB2312" w:eastAsia="仿宋_GB2312" w:hAnsi="宋体" w:cs="宋体"/>
                <w:color w:val="000000"/>
                <w:sz w:val="24"/>
              </w:rPr>
            </w:pPr>
            <w:r w:rsidRPr="00E94709">
              <w:rPr>
                <w:rFonts w:ascii="仿宋_GB2312" w:eastAsia="仿宋_GB2312" w:hAnsi="宋体" w:cs="宋体" w:hint="eastAsia"/>
                <w:color w:val="000000"/>
                <w:sz w:val="24"/>
              </w:rPr>
              <w:t>0</w:t>
            </w:r>
          </w:p>
        </w:tc>
      </w:tr>
      <w:tr w:rsidR="00694E54" w:rsidRPr="00E94709" w:rsidTr="00153ADE">
        <w:trPr>
          <w:trHeight w:val="520"/>
          <w:jc w:val="center"/>
        </w:trPr>
        <w:tc>
          <w:tcPr>
            <w:tcW w:w="79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年度目标完成情况</w:t>
            </w:r>
          </w:p>
        </w:tc>
        <w:tc>
          <w:tcPr>
            <w:tcW w:w="347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预期目标</w:t>
            </w:r>
          </w:p>
        </w:tc>
        <w:tc>
          <w:tcPr>
            <w:tcW w:w="55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实际完成目标</w:t>
            </w:r>
          </w:p>
        </w:tc>
      </w:tr>
      <w:tr w:rsidR="00694E54" w:rsidRPr="00E94709" w:rsidTr="001C5ABB">
        <w:trPr>
          <w:trHeight w:val="1268"/>
          <w:jc w:val="center"/>
        </w:trPr>
        <w:tc>
          <w:tcPr>
            <w:tcW w:w="7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jc w:val="center"/>
              <w:rPr>
                <w:rFonts w:ascii="仿宋_GB2312" w:eastAsia="仿宋_GB2312" w:hAnsi="宋体" w:cs="宋体"/>
                <w:color w:val="000000"/>
                <w:sz w:val="24"/>
              </w:rPr>
            </w:pPr>
          </w:p>
        </w:tc>
        <w:tc>
          <w:tcPr>
            <w:tcW w:w="347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5871A7" w:rsidP="005871A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打造“12345”市民热线品牌</w:t>
            </w:r>
          </w:p>
        </w:tc>
        <w:tc>
          <w:tcPr>
            <w:tcW w:w="55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5871A7"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打造“12345”市民热线品牌，发挥服务热线功能合作与，听民声、集民意、察民情、解民忧、帮民困，为办事群众提供高效便捷的服务</w:t>
            </w:r>
          </w:p>
        </w:tc>
      </w:tr>
      <w:tr w:rsidR="00694E54" w:rsidRPr="00E94709" w:rsidTr="001C5ABB">
        <w:trPr>
          <w:trHeight w:val="833"/>
          <w:jc w:val="center"/>
        </w:trPr>
        <w:tc>
          <w:tcPr>
            <w:tcW w:w="5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绩效指标完成情况</w:t>
            </w: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二级指标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三级指标</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实际完成指标值(包含数字及文字描述)</w:t>
            </w:r>
          </w:p>
        </w:tc>
      </w:tr>
      <w:tr w:rsidR="00694E54" w:rsidRPr="00E94709" w:rsidTr="001C5ABB">
        <w:trPr>
          <w:trHeight w:val="711"/>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数量指标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153ADE"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答复量</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153ADE"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在线答复大于20万件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153ADE" w:rsidP="001C5ABB">
            <w:pPr>
              <w:widowControl/>
              <w:jc w:val="center"/>
              <w:textAlignment w:val="center"/>
              <w:rPr>
                <w:rFonts w:ascii="仿宋_GB2312" w:eastAsia="仿宋_GB2312" w:hAnsi="宋体" w:cs="宋体"/>
                <w:color w:val="000000"/>
                <w:sz w:val="24"/>
              </w:rPr>
            </w:pPr>
            <w:r w:rsidRPr="00153ADE">
              <w:rPr>
                <w:rFonts w:ascii="仿宋_GB2312" w:eastAsia="仿宋_GB2312" w:hAnsi="宋体" w:cs="宋体"/>
                <w:color w:val="000000"/>
                <w:sz w:val="24"/>
              </w:rPr>
              <w:t>在线答复23.15万件</w:t>
            </w:r>
          </w:p>
        </w:tc>
      </w:tr>
      <w:tr w:rsidR="00694E54" w:rsidRPr="00E94709" w:rsidTr="001C5ABB">
        <w:trPr>
          <w:trHeight w:val="539"/>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kern w:val="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数量指标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B90B92"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话务量</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B90B92"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受理群众诉求大于25万件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153ADE" w:rsidP="001C5ABB">
            <w:pPr>
              <w:widowControl/>
              <w:jc w:val="center"/>
              <w:textAlignment w:val="center"/>
              <w:rPr>
                <w:rFonts w:ascii="仿宋_GB2312" w:eastAsia="仿宋_GB2312" w:hAnsi="宋体" w:cs="宋体"/>
                <w:color w:val="000000"/>
                <w:sz w:val="24"/>
              </w:rPr>
            </w:pPr>
            <w:r w:rsidRPr="00153ADE">
              <w:rPr>
                <w:rFonts w:ascii="仿宋_GB2312" w:eastAsia="仿宋_GB2312" w:hAnsi="宋体" w:cs="宋体"/>
                <w:color w:val="000000"/>
                <w:sz w:val="24"/>
              </w:rPr>
              <w:t>受理来电来信27.08万件</w:t>
            </w:r>
          </w:p>
        </w:tc>
      </w:tr>
      <w:tr w:rsidR="00694E54" w:rsidRPr="00E94709" w:rsidTr="001C5ABB">
        <w:trPr>
          <w:trHeight w:val="747"/>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质量指标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B90B92"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接通率</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B90B92"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电话接通率大于95%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B90B92"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电话接通率大于95%</w:t>
            </w:r>
          </w:p>
        </w:tc>
      </w:tr>
      <w:tr w:rsidR="00694E54" w:rsidRPr="00E94709" w:rsidTr="001C5ABB">
        <w:trPr>
          <w:trHeight w:val="550"/>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时效指标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F3797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服务时效</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F3797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提供全天候7*24小时服务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F3797A"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提供全天候7*24小时服务</w:t>
            </w:r>
          </w:p>
        </w:tc>
      </w:tr>
      <w:tr w:rsidR="00153ADE" w:rsidRPr="00E94709" w:rsidTr="001C5ABB">
        <w:trPr>
          <w:trHeight w:val="550"/>
          <w:jc w:val="center"/>
        </w:trPr>
        <w:tc>
          <w:tcPr>
            <w:tcW w:w="567" w:type="dxa"/>
            <w:vMerge/>
            <w:tcBorders>
              <w:left w:val="single" w:sz="4" w:space="0" w:color="000000"/>
              <w:right w:val="single" w:sz="4" w:space="0" w:color="000000"/>
            </w:tcBorders>
            <w:tcMar>
              <w:top w:w="15" w:type="dxa"/>
              <w:left w:w="15" w:type="dxa"/>
              <w:right w:w="15" w:type="dxa"/>
            </w:tcMar>
            <w:vAlign w:val="center"/>
          </w:tcPr>
          <w:p w:rsidR="00153ADE" w:rsidRPr="00E94709" w:rsidRDefault="00153ADE"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1C5ABB">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时效指标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Default="00153ADE"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办结率</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Default="00153ADE"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话务及处理率大于99.3%</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Default="00153ADE" w:rsidP="001C5ABB">
            <w:pPr>
              <w:widowControl/>
              <w:jc w:val="center"/>
              <w:textAlignment w:val="center"/>
              <w:rPr>
                <w:rFonts w:ascii="仿宋_GB2312" w:eastAsia="仿宋_GB2312" w:hAnsi="宋体" w:cs="宋体"/>
                <w:color w:val="000000"/>
                <w:sz w:val="24"/>
              </w:rPr>
            </w:pPr>
            <w:r w:rsidRPr="00153ADE">
              <w:rPr>
                <w:rFonts w:ascii="仿宋_GB2312" w:eastAsia="仿宋_GB2312" w:hAnsi="宋体" w:cs="宋体"/>
                <w:color w:val="000000"/>
                <w:sz w:val="24"/>
              </w:rPr>
              <w:t>办结率99.8%</w:t>
            </w:r>
          </w:p>
        </w:tc>
      </w:tr>
      <w:tr w:rsidR="00694E54" w:rsidRPr="00E94709" w:rsidTr="001C5ABB">
        <w:trPr>
          <w:trHeight w:val="601"/>
          <w:jc w:val="center"/>
        </w:trPr>
        <w:tc>
          <w:tcPr>
            <w:tcW w:w="567" w:type="dxa"/>
            <w:vMerge/>
            <w:tcBorders>
              <w:left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社会效益</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EF6D42"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功能发挥</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EF6D42" w:rsidP="001C5ABB">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服务决策、方便群众</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方便企业群众办事，提高效率</w:t>
            </w:r>
          </w:p>
        </w:tc>
      </w:tr>
      <w:tr w:rsidR="00694E54" w:rsidRPr="00E94709" w:rsidTr="001C5ABB">
        <w:trPr>
          <w:trHeight w:val="826"/>
          <w:jc w:val="center"/>
        </w:trPr>
        <w:tc>
          <w:tcPr>
            <w:tcW w:w="5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服务对象满意</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满意度</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1C5ABB">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办事企业群众和窗口人员满意度达到98%以上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94E54" w:rsidRPr="00E94709" w:rsidRDefault="00694E54" w:rsidP="00F83041">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办事企业群众和窗口人员满意度达到了</w:t>
            </w:r>
            <w:r w:rsidR="00740BBB">
              <w:rPr>
                <w:rFonts w:ascii="仿宋_GB2312" w:eastAsia="仿宋_GB2312" w:hAnsi="宋体" w:cs="宋体" w:hint="eastAsia"/>
                <w:color w:val="000000"/>
                <w:sz w:val="24"/>
              </w:rPr>
              <w:t>9</w:t>
            </w:r>
            <w:r w:rsidR="00F83041">
              <w:rPr>
                <w:rFonts w:ascii="仿宋_GB2312" w:eastAsia="仿宋_GB2312" w:hAnsi="宋体" w:cs="宋体" w:hint="eastAsia"/>
                <w:color w:val="000000"/>
                <w:sz w:val="24"/>
              </w:rPr>
              <w:t>8</w:t>
            </w:r>
            <w:r w:rsidRPr="00E94709">
              <w:rPr>
                <w:rFonts w:ascii="仿宋_GB2312" w:eastAsia="仿宋_GB2312" w:hAnsi="宋体" w:cs="宋体" w:hint="eastAsia"/>
                <w:color w:val="000000"/>
                <w:sz w:val="24"/>
              </w:rPr>
              <w:t>%以上</w:t>
            </w:r>
          </w:p>
        </w:tc>
      </w:tr>
    </w:tbl>
    <w:p w:rsidR="00BD3814" w:rsidRDefault="00BD3814">
      <w:pPr>
        <w:spacing w:line="580" w:lineRule="exact"/>
        <w:ind w:left="630"/>
        <w:rPr>
          <w:rFonts w:ascii="楷体_GB2312" w:eastAsia="楷体_GB2312" w:hAnsi="楷体_GB2312" w:cs="楷体_GB2312"/>
          <w:b/>
          <w:sz w:val="32"/>
          <w:szCs w:val="32"/>
        </w:rPr>
      </w:pPr>
    </w:p>
    <w:tbl>
      <w:tblPr>
        <w:tblpPr w:leftFromText="180" w:rightFromText="180" w:vertAnchor="text" w:horzAnchor="page" w:tblpXSpec="center" w:tblpY="423"/>
        <w:tblOverlap w:val="never"/>
        <w:tblW w:w="9803" w:type="dxa"/>
        <w:jc w:val="center"/>
        <w:tblLayout w:type="fixed"/>
        <w:tblCellMar>
          <w:left w:w="0" w:type="dxa"/>
          <w:right w:w="0" w:type="dxa"/>
        </w:tblCellMar>
        <w:tblLook w:val="04A0"/>
      </w:tblPr>
      <w:tblGrid>
        <w:gridCol w:w="567"/>
        <w:gridCol w:w="229"/>
        <w:gridCol w:w="804"/>
        <w:gridCol w:w="1025"/>
        <w:gridCol w:w="1643"/>
        <w:gridCol w:w="2977"/>
        <w:gridCol w:w="166"/>
        <w:gridCol w:w="2392"/>
      </w:tblGrid>
      <w:tr w:rsidR="00153ADE" w:rsidTr="00695037">
        <w:trPr>
          <w:trHeight w:val="1034"/>
          <w:jc w:val="center"/>
        </w:trPr>
        <w:tc>
          <w:tcPr>
            <w:tcW w:w="9803" w:type="dxa"/>
            <w:gridSpan w:val="8"/>
            <w:tcBorders>
              <w:top w:val="nil"/>
              <w:left w:val="nil"/>
              <w:bottom w:val="nil"/>
              <w:right w:val="nil"/>
            </w:tcBorders>
            <w:tcMar>
              <w:top w:w="15" w:type="dxa"/>
              <w:left w:w="15" w:type="dxa"/>
              <w:right w:w="15" w:type="dxa"/>
            </w:tcMar>
            <w:vAlign w:val="center"/>
          </w:tcPr>
          <w:p w:rsidR="00153ADE" w:rsidRDefault="00153ADE" w:rsidP="00695037">
            <w:pPr>
              <w:widowControl/>
              <w:jc w:val="center"/>
              <w:textAlignment w:val="center"/>
              <w:rPr>
                <w:rFonts w:ascii="宋体" w:hAnsi="宋体" w:cs="宋体"/>
                <w:color w:val="000000"/>
                <w:sz w:val="36"/>
                <w:szCs w:val="36"/>
              </w:rPr>
            </w:pPr>
            <w:r>
              <w:rPr>
                <w:rFonts w:ascii="方正小标宋_GBK" w:eastAsia="方正小标宋_GBK" w:hAnsi="宋体" w:cs="宋体" w:hint="eastAsia"/>
                <w:b/>
                <w:bCs/>
                <w:color w:val="000000"/>
                <w:kern w:val="0"/>
                <w:sz w:val="36"/>
                <w:szCs w:val="36"/>
              </w:rPr>
              <w:lastRenderedPageBreak/>
              <w:t>项目绩效目标完成情况表</w:t>
            </w:r>
            <w:r>
              <w:rPr>
                <w:rFonts w:ascii="宋体" w:hAnsi="宋体" w:cs="宋体" w:hint="eastAsia"/>
                <w:b/>
                <w:bCs/>
                <w:color w:val="000000"/>
                <w:kern w:val="0"/>
                <w:sz w:val="36"/>
                <w:szCs w:val="36"/>
              </w:rPr>
              <w:br/>
            </w:r>
            <w:r>
              <w:rPr>
                <w:rFonts w:ascii="楷体_GB2312" w:eastAsia="楷体_GB2312" w:hAnsi="宋体" w:cs="宋体" w:hint="eastAsia"/>
                <w:b/>
                <w:color w:val="000000"/>
                <w:kern w:val="0"/>
                <w:sz w:val="36"/>
                <w:szCs w:val="36"/>
              </w:rPr>
              <w:t>(</w:t>
            </w:r>
            <w:r>
              <w:rPr>
                <w:rFonts w:ascii="楷体_GB2312" w:eastAsia="楷体_GB2312" w:hAnsi="宋体" w:cs="宋体" w:hint="eastAsia"/>
                <w:color w:val="000000"/>
                <w:kern w:val="0"/>
                <w:sz w:val="36"/>
                <w:szCs w:val="36"/>
              </w:rPr>
              <w:t>2019 年度)</w:t>
            </w:r>
          </w:p>
        </w:tc>
      </w:tr>
      <w:tr w:rsidR="00153ADE" w:rsidRPr="00E94709" w:rsidTr="00695037">
        <w:trPr>
          <w:trHeight w:val="698"/>
          <w:jc w:val="center"/>
        </w:trPr>
        <w:tc>
          <w:tcPr>
            <w:tcW w:w="262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并联审批工作经费</w:t>
            </w:r>
          </w:p>
        </w:tc>
      </w:tr>
      <w:tr w:rsidR="00153ADE" w:rsidRPr="00E94709" w:rsidTr="00695037">
        <w:trPr>
          <w:trHeight w:val="553"/>
          <w:jc w:val="center"/>
        </w:trPr>
        <w:tc>
          <w:tcPr>
            <w:tcW w:w="262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巴中市政务服务和公共资源交易服务中心</w:t>
            </w:r>
          </w:p>
        </w:tc>
      </w:tr>
      <w:tr w:rsidR="00153ADE" w:rsidRPr="00E94709" w:rsidTr="00695037">
        <w:trPr>
          <w:trHeight w:val="276"/>
          <w:jc w:val="center"/>
        </w:trPr>
        <w:tc>
          <w:tcPr>
            <w:tcW w:w="79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spacing w:line="360" w:lineRule="exact"/>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预算执行情况(万元)</w:t>
            </w:r>
          </w:p>
        </w:tc>
        <w:tc>
          <w:tcPr>
            <w:tcW w:w="18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预算数:</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3461C5"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5</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执行数:</w:t>
            </w:r>
          </w:p>
        </w:tc>
        <w:tc>
          <w:tcPr>
            <w:tcW w:w="25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3461C5"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5</w:t>
            </w:r>
          </w:p>
        </w:tc>
      </w:tr>
      <w:tr w:rsidR="00153ADE" w:rsidRPr="00E94709" w:rsidTr="00695037">
        <w:trPr>
          <w:trHeight w:val="445"/>
          <w:jc w:val="center"/>
        </w:trPr>
        <w:tc>
          <w:tcPr>
            <w:tcW w:w="7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jc w:val="center"/>
              <w:rPr>
                <w:rFonts w:ascii="仿宋_GB2312" w:eastAsia="仿宋_GB2312" w:hAnsi="宋体" w:cs="宋体"/>
                <w:color w:val="000000"/>
                <w:sz w:val="24"/>
              </w:rPr>
            </w:pPr>
          </w:p>
        </w:tc>
        <w:tc>
          <w:tcPr>
            <w:tcW w:w="18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其中-财政拨款:</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3461C5"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5</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其中-财政拨款:</w:t>
            </w:r>
          </w:p>
        </w:tc>
        <w:tc>
          <w:tcPr>
            <w:tcW w:w="25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3461C5"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5</w:t>
            </w:r>
          </w:p>
        </w:tc>
      </w:tr>
      <w:tr w:rsidR="00153ADE" w:rsidRPr="00E94709" w:rsidTr="00695037">
        <w:trPr>
          <w:trHeight w:val="238"/>
          <w:jc w:val="center"/>
        </w:trPr>
        <w:tc>
          <w:tcPr>
            <w:tcW w:w="7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jc w:val="center"/>
              <w:rPr>
                <w:rFonts w:ascii="仿宋_GB2312" w:eastAsia="仿宋_GB2312" w:hAnsi="宋体" w:cs="宋体"/>
                <w:color w:val="000000"/>
                <w:sz w:val="24"/>
              </w:rPr>
            </w:pPr>
          </w:p>
        </w:tc>
        <w:tc>
          <w:tcPr>
            <w:tcW w:w="18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其它资金:</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0</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其它资金:</w:t>
            </w:r>
          </w:p>
        </w:tc>
        <w:tc>
          <w:tcPr>
            <w:tcW w:w="25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jc w:val="center"/>
              <w:rPr>
                <w:rFonts w:ascii="仿宋_GB2312" w:eastAsia="仿宋_GB2312" w:hAnsi="宋体" w:cs="宋体"/>
                <w:color w:val="000000"/>
                <w:sz w:val="24"/>
              </w:rPr>
            </w:pPr>
            <w:r w:rsidRPr="00E94709">
              <w:rPr>
                <w:rFonts w:ascii="仿宋_GB2312" w:eastAsia="仿宋_GB2312" w:hAnsi="宋体" w:cs="宋体" w:hint="eastAsia"/>
                <w:color w:val="000000"/>
                <w:sz w:val="24"/>
              </w:rPr>
              <w:t>0</w:t>
            </w:r>
          </w:p>
        </w:tc>
      </w:tr>
      <w:tr w:rsidR="00153ADE" w:rsidRPr="00E94709" w:rsidTr="00695037">
        <w:trPr>
          <w:trHeight w:val="520"/>
          <w:jc w:val="center"/>
        </w:trPr>
        <w:tc>
          <w:tcPr>
            <w:tcW w:w="79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年度目标完成情况</w:t>
            </w:r>
          </w:p>
        </w:tc>
        <w:tc>
          <w:tcPr>
            <w:tcW w:w="347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预期目标</w:t>
            </w:r>
          </w:p>
        </w:tc>
        <w:tc>
          <w:tcPr>
            <w:tcW w:w="55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实际完成目标</w:t>
            </w:r>
          </w:p>
        </w:tc>
      </w:tr>
      <w:tr w:rsidR="00153ADE" w:rsidRPr="00E94709" w:rsidTr="00695037">
        <w:trPr>
          <w:trHeight w:val="1268"/>
          <w:jc w:val="center"/>
        </w:trPr>
        <w:tc>
          <w:tcPr>
            <w:tcW w:w="79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jc w:val="center"/>
              <w:rPr>
                <w:rFonts w:ascii="仿宋_GB2312" w:eastAsia="仿宋_GB2312" w:hAnsi="宋体" w:cs="宋体"/>
                <w:color w:val="000000"/>
                <w:sz w:val="24"/>
              </w:rPr>
            </w:pPr>
          </w:p>
        </w:tc>
        <w:tc>
          <w:tcPr>
            <w:tcW w:w="347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DC35B3"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完善“一站式”服务工作机制，年办结并联审批100件以上</w:t>
            </w:r>
          </w:p>
        </w:tc>
        <w:tc>
          <w:tcPr>
            <w:tcW w:w="553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DC35B3"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完善“一站式”服务工作机制，年办结并联审批100件以上，进一步优化了我市招商引资环境</w:t>
            </w:r>
          </w:p>
        </w:tc>
      </w:tr>
      <w:tr w:rsidR="00153ADE" w:rsidRPr="00E94709" w:rsidTr="00695037">
        <w:trPr>
          <w:trHeight w:val="833"/>
          <w:jc w:val="center"/>
        </w:trPr>
        <w:tc>
          <w:tcPr>
            <w:tcW w:w="56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绩效指标完成情况</w:t>
            </w: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二级指标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三级指标</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实际完成指标值(包含数字及文字描述)</w:t>
            </w:r>
          </w:p>
        </w:tc>
      </w:tr>
      <w:tr w:rsidR="00153ADE" w:rsidRPr="00E94709" w:rsidTr="00695037">
        <w:trPr>
          <w:trHeight w:val="711"/>
          <w:jc w:val="center"/>
        </w:trPr>
        <w:tc>
          <w:tcPr>
            <w:tcW w:w="567" w:type="dxa"/>
            <w:vMerge/>
            <w:tcBorders>
              <w:left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数量指标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C36811"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办结审批</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C36811"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年办结并联审批100件以上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C36811"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年办结并联审批100件以上</w:t>
            </w:r>
          </w:p>
        </w:tc>
      </w:tr>
      <w:tr w:rsidR="00153ADE" w:rsidRPr="00E94709" w:rsidTr="00695037">
        <w:trPr>
          <w:trHeight w:val="539"/>
          <w:jc w:val="center"/>
        </w:trPr>
        <w:tc>
          <w:tcPr>
            <w:tcW w:w="567" w:type="dxa"/>
            <w:vMerge/>
            <w:tcBorders>
              <w:left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kern w:val="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数量指标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D23DC"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协调会议</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D23DC"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年度召开并联审批协调会议不少于12次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D23DC" w:rsidP="001D23DC">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年度召开并联审批协调会议了12次</w:t>
            </w:r>
          </w:p>
        </w:tc>
      </w:tr>
      <w:tr w:rsidR="00153ADE" w:rsidRPr="00E94709" w:rsidTr="00695037">
        <w:trPr>
          <w:trHeight w:val="747"/>
          <w:jc w:val="center"/>
        </w:trPr>
        <w:tc>
          <w:tcPr>
            <w:tcW w:w="567" w:type="dxa"/>
            <w:vMerge/>
            <w:tcBorders>
              <w:left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质量指标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C52D7A"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评议率</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C52D7A"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群众评议率大于95%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C52D7A"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群众评议率大于95%</w:t>
            </w:r>
          </w:p>
        </w:tc>
      </w:tr>
      <w:tr w:rsidR="00153ADE" w:rsidRPr="00E94709" w:rsidTr="00695037">
        <w:trPr>
          <w:trHeight w:val="550"/>
          <w:jc w:val="center"/>
        </w:trPr>
        <w:tc>
          <w:tcPr>
            <w:tcW w:w="567" w:type="dxa"/>
            <w:vMerge/>
            <w:tcBorders>
              <w:left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时效指标</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9A31A1"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办理时限</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9A31A1"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企业提出问题需求3日内解决问题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9A31A1"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企业提出问题需求3日内召集相关部门解决问题并答复</w:t>
            </w:r>
          </w:p>
        </w:tc>
      </w:tr>
      <w:tr w:rsidR="00BF3797" w:rsidRPr="00E94709" w:rsidTr="00695037">
        <w:trPr>
          <w:trHeight w:val="601"/>
          <w:jc w:val="center"/>
        </w:trPr>
        <w:tc>
          <w:tcPr>
            <w:tcW w:w="567" w:type="dxa"/>
            <w:vMerge/>
            <w:tcBorders>
              <w:left w:val="single" w:sz="4" w:space="0" w:color="000000"/>
              <w:right w:val="single" w:sz="4" w:space="0" w:color="000000"/>
            </w:tcBorders>
            <w:tcMar>
              <w:top w:w="15" w:type="dxa"/>
              <w:left w:w="15" w:type="dxa"/>
              <w:right w:w="15" w:type="dxa"/>
            </w:tcMar>
            <w:vAlign w:val="center"/>
          </w:tcPr>
          <w:p w:rsidR="00BF3797" w:rsidRPr="00E94709" w:rsidRDefault="00BF3797" w:rsidP="00695037">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3797" w:rsidRPr="00E94709" w:rsidRDefault="00BF3797" w:rsidP="00695037">
            <w:pPr>
              <w:widowControl/>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3797" w:rsidRPr="00E94709" w:rsidRDefault="00BF3797"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可持续影响</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3797" w:rsidRDefault="00BF3797"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优化营商环境</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3797" w:rsidRDefault="00BF3797"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为投资企业提供并联审批服务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F3797" w:rsidRPr="00E94709" w:rsidRDefault="00BF3797" w:rsidP="00695037">
            <w:pPr>
              <w:widowControl/>
              <w:jc w:val="center"/>
              <w:textAlignment w:val="center"/>
              <w:rPr>
                <w:rFonts w:ascii="仿宋_GB2312" w:eastAsia="仿宋_GB2312" w:hAnsi="宋体" w:cs="宋体"/>
                <w:color w:val="000000"/>
                <w:sz w:val="24"/>
              </w:rPr>
            </w:pPr>
            <w:r>
              <w:rPr>
                <w:rFonts w:ascii="仿宋_GB2312" w:eastAsia="仿宋_GB2312" w:hAnsi="宋体" w:cs="宋体" w:hint="eastAsia"/>
                <w:color w:val="000000"/>
                <w:sz w:val="24"/>
              </w:rPr>
              <w:t>为投资企业提供并联审批服务，进一步优化营商环境</w:t>
            </w:r>
          </w:p>
        </w:tc>
      </w:tr>
      <w:tr w:rsidR="00153ADE" w:rsidRPr="00E94709" w:rsidTr="00695037">
        <w:trPr>
          <w:trHeight w:val="826"/>
          <w:jc w:val="center"/>
        </w:trPr>
        <w:tc>
          <w:tcPr>
            <w:tcW w:w="56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服务对象满意</w:t>
            </w:r>
          </w:p>
        </w:tc>
        <w:tc>
          <w:tcPr>
            <w:tcW w:w="16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满意度</w:t>
            </w:r>
          </w:p>
        </w:tc>
        <w:tc>
          <w:tcPr>
            <w:tcW w:w="314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69503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办事企业群众和窗口人员满意度达到98%以上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53ADE" w:rsidRPr="00E94709" w:rsidRDefault="00153ADE" w:rsidP="00BF3797">
            <w:pPr>
              <w:widowControl/>
              <w:jc w:val="center"/>
              <w:textAlignment w:val="center"/>
              <w:rPr>
                <w:rFonts w:ascii="仿宋_GB2312" w:eastAsia="仿宋_GB2312" w:hAnsi="宋体" w:cs="宋体"/>
                <w:color w:val="000000"/>
                <w:sz w:val="24"/>
              </w:rPr>
            </w:pPr>
            <w:r w:rsidRPr="00E94709">
              <w:rPr>
                <w:rFonts w:ascii="仿宋_GB2312" w:eastAsia="仿宋_GB2312" w:hAnsi="宋体" w:cs="宋体" w:hint="eastAsia"/>
                <w:color w:val="000000"/>
                <w:sz w:val="24"/>
              </w:rPr>
              <w:t>办事企业群众和窗口人员满意度达到了</w:t>
            </w:r>
            <w:r>
              <w:rPr>
                <w:rFonts w:ascii="仿宋_GB2312" w:eastAsia="仿宋_GB2312" w:hAnsi="宋体" w:cs="宋体" w:hint="eastAsia"/>
                <w:color w:val="000000"/>
                <w:sz w:val="24"/>
              </w:rPr>
              <w:t>9</w:t>
            </w:r>
            <w:r w:rsidR="00BF3797">
              <w:rPr>
                <w:rFonts w:ascii="仿宋_GB2312" w:eastAsia="仿宋_GB2312" w:hAnsi="宋体" w:cs="宋体" w:hint="eastAsia"/>
                <w:color w:val="000000"/>
                <w:sz w:val="24"/>
              </w:rPr>
              <w:t>8</w:t>
            </w:r>
            <w:r w:rsidRPr="00E94709">
              <w:rPr>
                <w:rFonts w:ascii="仿宋_GB2312" w:eastAsia="仿宋_GB2312" w:hAnsi="宋体" w:cs="宋体" w:hint="eastAsia"/>
                <w:color w:val="000000"/>
                <w:sz w:val="24"/>
              </w:rPr>
              <w:t>%以上</w:t>
            </w:r>
          </w:p>
        </w:tc>
      </w:tr>
    </w:tbl>
    <w:p w:rsidR="00153ADE" w:rsidRPr="00153ADE" w:rsidRDefault="00153ADE">
      <w:pPr>
        <w:spacing w:line="580" w:lineRule="exact"/>
        <w:ind w:left="630"/>
        <w:rPr>
          <w:rFonts w:ascii="楷体_GB2312" w:eastAsia="楷体_GB2312" w:hAnsi="楷体_GB2312" w:cs="楷体_GB2312"/>
          <w:b/>
          <w:sz w:val="32"/>
          <w:szCs w:val="32"/>
        </w:rPr>
      </w:pPr>
    </w:p>
    <w:p w:rsidR="00C91ED0" w:rsidRDefault="001C5ABB">
      <w:pPr>
        <w:spacing w:line="580" w:lineRule="exact"/>
        <w:ind w:left="630"/>
        <w:rPr>
          <w:rFonts w:ascii="仿宋_GB2312" w:eastAsia="仿宋_GB2312" w:hAnsi="仿宋_GB2312" w:cs="仿宋_GB2312"/>
          <w:b/>
          <w:sz w:val="32"/>
          <w:szCs w:val="32"/>
        </w:rPr>
      </w:pPr>
      <w:r>
        <w:rPr>
          <w:rFonts w:ascii="楷体_GB2312" w:eastAsia="楷体_GB2312" w:hAnsi="楷体_GB2312" w:cs="楷体_GB2312" w:hint="eastAsia"/>
          <w:b/>
          <w:sz w:val="32"/>
          <w:szCs w:val="32"/>
        </w:rPr>
        <w:lastRenderedPageBreak/>
        <w:t>2.部门绩效评价结果。</w:t>
      </w:r>
    </w:p>
    <w:p w:rsidR="00C91ED0" w:rsidRDefault="001C5AB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本部门按要求对2019年部门整体支出绩效评价情况开展自评，《巴中市政务服务和公共资源交易服务中心2019年部门整体支出绩效评价报告》见附件（附件1）。</w:t>
      </w:r>
    </w:p>
    <w:p w:rsidR="00C91ED0" w:rsidRDefault="001C5ABB">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本部门自行组织对5个项目开展了绩效评价，《巴中市政务服务和公共资源交易服务中心2019年绩效评价报告》见附件（附件2）。</w:t>
      </w:r>
    </w:p>
    <w:p w:rsidR="00C91ED0" w:rsidRDefault="001C5ABB">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C91ED0" w:rsidRDefault="001C5ABB">
      <w:pPr>
        <w:numPr>
          <w:ilvl w:val="0"/>
          <w:numId w:val="3"/>
        </w:numPr>
        <w:spacing w:line="600" w:lineRule="exact"/>
        <w:ind w:firstLineChars="150" w:firstLine="660"/>
        <w:jc w:val="center"/>
        <w:outlineLvl w:val="0"/>
        <w:rPr>
          <w:rStyle w:val="1Char"/>
          <w:rFonts w:ascii="黑体" w:eastAsia="黑体" w:hAnsi="黑体"/>
          <w:b w:val="0"/>
        </w:rPr>
      </w:pPr>
      <w:bookmarkStart w:id="60" w:name="_Toc15396613"/>
      <w:bookmarkStart w:id="61" w:name="_Toc15377225"/>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60"/>
      <w:bookmarkEnd w:id="61"/>
    </w:p>
    <w:p w:rsidR="00C91ED0" w:rsidRDefault="00C91ED0">
      <w:pPr>
        <w:spacing w:line="600" w:lineRule="exact"/>
        <w:jc w:val="left"/>
        <w:rPr>
          <w:rFonts w:ascii="宋体"/>
          <w:b/>
          <w:color w:val="000000"/>
          <w:sz w:val="44"/>
          <w:szCs w:val="44"/>
        </w:rPr>
      </w:pPr>
    </w:p>
    <w:p w:rsidR="00C91ED0" w:rsidRDefault="001C5ABB">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C91ED0" w:rsidRDefault="001C5ABB">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C91ED0" w:rsidRDefault="001C5ABB">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C91ED0" w:rsidRDefault="001C5ABB">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p>
    <w:p w:rsidR="00C91ED0" w:rsidRDefault="001C5ABB">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C91ED0" w:rsidRDefault="001C5ABB">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p>
    <w:p w:rsidR="00C91ED0" w:rsidRDefault="001C5ABB">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C91ED0" w:rsidRDefault="001C5ABB">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C91ED0" w:rsidRDefault="001C5ABB">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9.</w:t>
      </w:r>
      <w:r>
        <w:rPr>
          <w:rFonts w:ascii="仿宋_GB2312" w:eastAsia="仿宋_GB2312" w:hint="eastAsia"/>
          <w:color w:val="000000"/>
          <w:sz w:val="32"/>
          <w:szCs w:val="32"/>
        </w:rPr>
        <w:t>一般公共服务（类）政府办公厅（室）及相关机构事务（款）事业运行（项）：指事业单位的基本支出；一般公共服务（类）政府办公厅（室）及相关机构事务（款）其他政府办公厅（室）及相关机构事务支出（项）：指其他政府办公厅（室）及相关事务支出。</w:t>
      </w:r>
    </w:p>
    <w:p w:rsidR="00C91ED0" w:rsidRDefault="001C5ABB">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教育（类）进修及培训（款）培训支出（项）：指部门安排的用于培训的支出。</w:t>
      </w:r>
    </w:p>
    <w:p w:rsidR="00C91ED0" w:rsidRDefault="001C5ABB">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社会保障和就业（类）行政事业单位离退休（款）机关事业单位基本养老保险缴费支出（项）：指机关事业单位实施养老保险制度由单位缴纳的基本养老保险费支出。</w:t>
      </w:r>
    </w:p>
    <w:p w:rsidR="00C91ED0" w:rsidRDefault="001C5ABB">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医疗卫生与计划生育（类）行政事业单位医疗（款）事业单位医疗（项）：指财政部门安排的事业单位基本医疗保险缴费经费支出。</w:t>
      </w:r>
    </w:p>
    <w:p w:rsidR="00C91ED0" w:rsidRDefault="001C5ABB">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住房保障（类）住房改革支出（款）住房公积金（项）：指行政事业单位按人力资源和社会保障部、财政部规定的基本工资和津贴补贴以及规定比例为职工缴纳的住房公积金支出。</w:t>
      </w:r>
    </w:p>
    <w:p w:rsidR="00C91ED0" w:rsidRDefault="001C5ABB">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C91ED0" w:rsidRDefault="001C5ABB">
      <w:pPr>
        <w:ind w:firstLineChars="200" w:firstLine="640"/>
        <w:rPr>
          <w:rFonts w:ascii="仿宋_GB2312" w:eastAsia="仿宋_GB2312"/>
          <w:color w:val="000000"/>
          <w:sz w:val="32"/>
          <w:szCs w:val="32"/>
        </w:rPr>
      </w:pPr>
      <w:r>
        <w:rPr>
          <w:rFonts w:ascii="仿宋_GB2312" w:eastAsia="仿宋_GB2312" w:hint="eastAsia"/>
          <w:color w:val="000000"/>
          <w:sz w:val="32"/>
          <w:szCs w:val="32"/>
        </w:rPr>
        <w:t>15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rsidR="00C91ED0" w:rsidRDefault="001C5ABB">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16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C91ED0" w:rsidRDefault="001C5A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C91ED0" w:rsidRDefault="001C5AB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18</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91ED0" w:rsidRDefault="001C5ABB">
      <w:pPr>
        <w:spacing w:line="600" w:lineRule="exact"/>
        <w:jc w:val="center"/>
        <w:outlineLvl w:val="0"/>
        <w:rPr>
          <w:rStyle w:val="1Char"/>
          <w:rFonts w:ascii="黑体" w:eastAsia="黑体" w:hAnsi="黑体"/>
          <w:b w:val="0"/>
        </w:rPr>
      </w:pPr>
      <w:bookmarkStart w:id="62" w:name="_Toc15377226"/>
      <w:r>
        <w:rPr>
          <w:rFonts w:ascii="宋体"/>
          <w:b/>
          <w:color w:val="000000"/>
          <w:sz w:val="44"/>
          <w:szCs w:val="44"/>
        </w:rPr>
        <w:br w:type="page"/>
      </w:r>
      <w:bookmarkStart w:id="63"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63"/>
    </w:p>
    <w:p w:rsidR="00C91ED0" w:rsidRDefault="00C91ED0">
      <w:pPr>
        <w:spacing w:line="600" w:lineRule="exact"/>
        <w:jc w:val="left"/>
        <w:outlineLvl w:val="0"/>
        <w:rPr>
          <w:rFonts w:ascii="黑体" w:eastAsia="黑体" w:hAnsi="黑体" w:cs="黑体"/>
          <w:sz w:val="32"/>
          <w:szCs w:val="32"/>
        </w:rPr>
      </w:pPr>
    </w:p>
    <w:p w:rsidR="00C91ED0" w:rsidRDefault="001C5ABB">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C91ED0" w:rsidRDefault="00C91ED0">
      <w:pPr>
        <w:spacing w:line="580" w:lineRule="exact"/>
        <w:jc w:val="center"/>
        <w:rPr>
          <w:rFonts w:ascii="方正小标宋简体" w:eastAsia="方正小标宋简体" w:hAnsi="方正小标宋简体" w:cs="方正小标宋简体"/>
          <w:sz w:val="44"/>
          <w:szCs w:val="44"/>
        </w:rPr>
      </w:pPr>
    </w:p>
    <w:p w:rsidR="00C91ED0" w:rsidRDefault="001C5ABB">
      <w:pPr>
        <w:spacing w:line="600" w:lineRule="exact"/>
        <w:jc w:val="center"/>
        <w:rPr>
          <w:rFonts w:ascii="方正小标宋简体" w:eastAsia="方正小标宋简体" w:hAnsi="宋体"/>
          <w:color w:val="000000"/>
          <w:kern w:val="0"/>
          <w:sz w:val="40"/>
          <w:szCs w:val="44"/>
        </w:rPr>
      </w:pPr>
      <w:r>
        <w:rPr>
          <w:rFonts w:ascii="方正小标宋简体" w:eastAsia="方正小标宋简体" w:hAnsi="宋体" w:hint="eastAsia"/>
          <w:color w:val="000000"/>
          <w:kern w:val="0"/>
          <w:sz w:val="40"/>
          <w:szCs w:val="44"/>
        </w:rPr>
        <w:t>巴中市政务服务和公共资源交易服务中心</w:t>
      </w:r>
    </w:p>
    <w:p w:rsidR="00C91ED0" w:rsidRDefault="001C5ABB">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color w:val="000000"/>
          <w:kern w:val="0"/>
          <w:sz w:val="40"/>
          <w:szCs w:val="44"/>
        </w:rPr>
        <w:t>2019年部门</w:t>
      </w:r>
      <w:r>
        <w:rPr>
          <w:rFonts w:ascii="方正小标宋简体" w:eastAsia="方正小标宋简体" w:hAnsi="宋体" w:hint="eastAsia"/>
          <w:color w:val="000000"/>
          <w:kern w:val="0"/>
          <w:sz w:val="40"/>
          <w:szCs w:val="44"/>
          <w:lang w:val="zh-CN"/>
        </w:rPr>
        <w:t>整体支出绩效评价报告</w:t>
      </w:r>
    </w:p>
    <w:p w:rsidR="00C91ED0" w:rsidRDefault="00C91ED0">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C91ED0" w:rsidRDefault="001C5ABB">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部门概况</w:t>
      </w:r>
    </w:p>
    <w:p w:rsidR="00C91ED0" w:rsidRDefault="001C5ABB">
      <w:pPr>
        <w:widowControl/>
        <w:adjustRightInd w:val="0"/>
        <w:snapToGrid w:val="0"/>
        <w:spacing w:line="580" w:lineRule="exact"/>
        <w:ind w:firstLineChars="200" w:firstLine="643"/>
        <w:contextualSpacing/>
        <w:jc w:val="left"/>
        <w:rPr>
          <w:rFonts w:ascii="楷体_GB2312" w:eastAsia="楷体_GB2312" w:hAnsi="宋体" w:cs="宋体"/>
          <w:b/>
          <w:color w:val="000000"/>
          <w:kern w:val="0"/>
          <w:sz w:val="32"/>
          <w:szCs w:val="32"/>
          <w:shd w:val="clear" w:color="auto" w:fill="FFFFFF"/>
          <w:lang w:val="zh-CN"/>
        </w:rPr>
      </w:pPr>
      <w:r>
        <w:rPr>
          <w:rFonts w:ascii="楷体_GB2312" w:eastAsia="楷体_GB2312" w:hAnsi="楷体_GB2312" w:cs="楷体_GB2312" w:hint="eastAsia"/>
          <w:b/>
          <w:bCs/>
          <w:color w:val="000000"/>
          <w:sz w:val="32"/>
          <w:szCs w:val="32"/>
          <w:shd w:val="clear" w:color="auto" w:fill="FFFFFF"/>
        </w:rPr>
        <w:t>(一)</w:t>
      </w:r>
      <w:r>
        <w:rPr>
          <w:rFonts w:ascii="楷体_GB2312" w:eastAsia="楷体_GB2312" w:hAnsi="宋体" w:cs="宋体" w:hint="eastAsia"/>
          <w:b/>
          <w:color w:val="000000"/>
          <w:kern w:val="0"/>
          <w:sz w:val="32"/>
          <w:szCs w:val="32"/>
          <w:shd w:val="clear" w:color="auto" w:fill="FFFFFF"/>
          <w:lang w:val="zh-CN"/>
        </w:rPr>
        <w:t>机构组成</w:t>
      </w:r>
    </w:p>
    <w:p w:rsidR="00C91ED0" w:rsidRDefault="001C5ABB">
      <w:pPr>
        <w:pStyle w:val="a8"/>
        <w:widowControl/>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2015</w:t>
      </w:r>
      <w:r>
        <w:rPr>
          <w:rFonts w:ascii="Times New Roman" w:eastAsia="仿宋_GB2312" w:hAnsi="Times New Roman" w:hint="eastAsia"/>
          <w:sz w:val="32"/>
          <w:szCs w:val="32"/>
        </w:rPr>
        <w:t>年</w:t>
      </w:r>
      <w:r>
        <w:rPr>
          <w:rFonts w:ascii="Times New Roman" w:eastAsia="仿宋_GB2312" w:hAnsi="Times New Roman" w:hint="eastAsia"/>
          <w:sz w:val="32"/>
          <w:szCs w:val="32"/>
        </w:rPr>
        <w:t>2</w:t>
      </w:r>
      <w:r>
        <w:rPr>
          <w:rFonts w:ascii="Times New Roman" w:eastAsia="仿宋_GB2312" w:hAnsi="Times New Roman" w:hint="eastAsia"/>
          <w:sz w:val="32"/>
          <w:szCs w:val="32"/>
        </w:rPr>
        <w:t>月，根据《中共巴中市委办公室</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巴中市人民政府办公室关于巴中市人民政府职能转变和机构改革的实施意见》</w:t>
      </w:r>
      <w:r>
        <w:rPr>
          <w:rFonts w:ascii="仿宋_GB2312" w:eastAsia="仿宋_GB2312" w:hAnsi="仿宋_GB2312" w:cs="仿宋_GB2312" w:hint="eastAsia"/>
          <w:sz w:val="32"/>
          <w:szCs w:val="32"/>
        </w:rPr>
        <w:t>(巴委办发〔2014〕10号)</w:t>
      </w:r>
      <w:r>
        <w:rPr>
          <w:rFonts w:ascii="Times New Roman" w:eastAsia="仿宋_GB2312" w:hAnsi="Times New Roman" w:hint="eastAsia"/>
          <w:sz w:val="32"/>
          <w:szCs w:val="32"/>
        </w:rPr>
        <w:t>，组建巴中市政务服务和公共资源交易服务市中心，为市人民政府直属公益一类事业单位。</w:t>
      </w:r>
      <w:r>
        <w:rPr>
          <w:rFonts w:ascii="Times New Roman" w:eastAsia="仿宋_GB2312" w:hAnsi="Times New Roman" w:hint="eastAsia"/>
          <w:sz w:val="32"/>
          <w:szCs w:val="32"/>
        </w:rPr>
        <w:t>2017</w:t>
      </w:r>
      <w:r>
        <w:rPr>
          <w:rFonts w:ascii="Times New Roman" w:eastAsia="仿宋_GB2312" w:hAnsi="Times New Roman" w:hint="eastAsia"/>
          <w:sz w:val="32"/>
          <w:szCs w:val="32"/>
        </w:rPr>
        <w:t>年以来，根据我市政务服务改革要求和事业发展需要，先后在市中心新设立</w:t>
      </w:r>
      <w:r>
        <w:rPr>
          <w:rFonts w:ascii="Times New Roman" w:eastAsia="仿宋_GB2312" w:hAnsi="Times New Roman" w:hint="eastAsia"/>
          <w:sz w:val="32"/>
          <w:szCs w:val="32"/>
        </w:rPr>
        <w:t>12345</w:t>
      </w:r>
      <w:r>
        <w:rPr>
          <w:rFonts w:ascii="Times New Roman" w:eastAsia="仿宋_GB2312" w:hAnsi="Times New Roman" w:hint="eastAsia"/>
          <w:sz w:val="32"/>
          <w:szCs w:val="32"/>
        </w:rPr>
        <w:t>市民服务热线督办科、政务服务热线督办科，组建成立了市外来企业投资促进协调服务市中心（正县级事业单位）。</w:t>
      </w:r>
      <w:r>
        <w:rPr>
          <w:rFonts w:ascii="Times New Roman" w:eastAsia="仿宋_GB2312" w:hAnsi="Times New Roman" w:hint="eastAsia"/>
          <w:sz w:val="32"/>
          <w:szCs w:val="32"/>
        </w:rPr>
        <w:t xml:space="preserve"> </w:t>
      </w:r>
    </w:p>
    <w:p w:rsidR="00C91ED0" w:rsidRDefault="001C5ABB">
      <w:pPr>
        <w:widowControl/>
        <w:adjustRightInd w:val="0"/>
        <w:snapToGrid w:val="0"/>
        <w:spacing w:line="580" w:lineRule="exact"/>
        <w:ind w:firstLineChars="200" w:firstLine="643"/>
        <w:contextualSpacing/>
        <w:jc w:val="left"/>
        <w:rPr>
          <w:rFonts w:ascii="楷体_GB2312" w:eastAsia="楷体_GB2312" w:hAnsi="宋体" w:cs="宋体"/>
          <w:b/>
          <w:color w:val="000000"/>
          <w:kern w:val="0"/>
          <w:sz w:val="32"/>
          <w:szCs w:val="32"/>
          <w:shd w:val="clear" w:color="auto" w:fill="FFFFFF"/>
          <w:lang w:val="zh-CN"/>
        </w:rPr>
      </w:pPr>
      <w:r>
        <w:rPr>
          <w:rFonts w:ascii="楷体_GB2312" w:eastAsia="楷体_GB2312" w:hAnsi="楷体_GB2312" w:cs="楷体_GB2312" w:hint="eastAsia"/>
          <w:b/>
          <w:bCs/>
          <w:color w:val="000000"/>
          <w:sz w:val="32"/>
          <w:szCs w:val="32"/>
          <w:shd w:val="clear" w:color="auto" w:fill="FFFFFF"/>
        </w:rPr>
        <w:t>(二)</w:t>
      </w:r>
      <w:r>
        <w:rPr>
          <w:rFonts w:ascii="楷体_GB2312" w:eastAsia="楷体_GB2312" w:hAnsi="宋体" w:cs="宋体" w:hint="eastAsia"/>
          <w:b/>
          <w:color w:val="000000"/>
          <w:kern w:val="0"/>
          <w:sz w:val="32"/>
          <w:szCs w:val="32"/>
          <w:shd w:val="clear" w:color="auto" w:fill="FFFFFF"/>
          <w:lang w:val="zh-CN"/>
        </w:rPr>
        <w:t>机构职能</w:t>
      </w:r>
    </w:p>
    <w:p w:rsidR="00C91ED0" w:rsidRDefault="001C5ABB">
      <w:pPr>
        <w:pStyle w:val="a8"/>
        <w:widowControl/>
        <w:spacing w:after="0"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市中心主要负责为公民、法人及其他社会组织提供行政审批、公共服务，为政府机构、单位提供公共资源交易服务，为企业投资提供全程帮办代办服务。其主要职责：</w:t>
      </w:r>
      <w:r>
        <w:rPr>
          <w:rFonts w:ascii="Times New Roman" w:eastAsia="仿宋_GB2312" w:hAnsi="Times New Roman" w:hint="eastAsia"/>
          <w:b/>
          <w:bCs/>
          <w:sz w:val="32"/>
          <w:szCs w:val="32"/>
        </w:rPr>
        <w:t>一是</w:t>
      </w:r>
      <w:r>
        <w:rPr>
          <w:rFonts w:ascii="Times New Roman" w:eastAsia="仿宋_GB2312" w:hAnsi="Times New Roman" w:hint="eastAsia"/>
          <w:sz w:val="32"/>
          <w:szCs w:val="32"/>
        </w:rPr>
        <w:t>贯彻执行政务服务和公共资源交易的方针、政策、法律、法规以及市委、市政府的决策部署。</w:t>
      </w:r>
      <w:r>
        <w:rPr>
          <w:rFonts w:ascii="Times New Roman" w:eastAsia="仿宋_GB2312" w:hAnsi="Times New Roman" w:hint="eastAsia"/>
          <w:b/>
          <w:bCs/>
          <w:sz w:val="32"/>
          <w:szCs w:val="32"/>
        </w:rPr>
        <w:t>二是</w:t>
      </w:r>
      <w:r>
        <w:rPr>
          <w:rFonts w:ascii="Times New Roman" w:eastAsia="仿宋_GB2312" w:hAnsi="Times New Roman" w:hint="eastAsia"/>
          <w:sz w:val="32"/>
          <w:szCs w:val="32"/>
        </w:rPr>
        <w:t>为进入市级政务服务和公共资源交易平台的交易</w:t>
      </w:r>
      <w:r>
        <w:rPr>
          <w:rFonts w:ascii="Times New Roman" w:eastAsia="仿宋_GB2312" w:hAnsi="Times New Roman" w:hint="eastAsia"/>
          <w:sz w:val="32"/>
          <w:szCs w:val="32"/>
        </w:rPr>
        <w:lastRenderedPageBreak/>
        <w:t>活动提供场所、设施、信息和现场组织服务，承担市级政务服务和公共资源交易服务平台建设和管理。</w:t>
      </w:r>
      <w:r>
        <w:rPr>
          <w:rFonts w:ascii="Times New Roman" w:eastAsia="仿宋_GB2312" w:hAnsi="Times New Roman" w:hint="eastAsia"/>
          <w:b/>
          <w:bCs/>
          <w:sz w:val="32"/>
          <w:szCs w:val="32"/>
        </w:rPr>
        <w:t>三是</w:t>
      </w:r>
      <w:r>
        <w:rPr>
          <w:rFonts w:ascii="Times New Roman" w:eastAsia="仿宋_GB2312" w:hAnsi="Times New Roman" w:hint="eastAsia"/>
          <w:sz w:val="32"/>
          <w:szCs w:val="32"/>
        </w:rPr>
        <w:t>制订市级政务服务和公共资源交易现场管理规章制度、服务规范和工作流程并组织实施，推行政务服务和公共资源交易服务标准化</w:t>
      </w:r>
      <w:r>
        <w:rPr>
          <w:rFonts w:ascii="Times New Roman" w:eastAsia="仿宋_GB2312" w:hAnsi="Times New Roman" w:hint="eastAsia"/>
          <w:sz w:val="32"/>
          <w:szCs w:val="32"/>
        </w:rPr>
        <w:t>;</w:t>
      </w:r>
      <w:r>
        <w:rPr>
          <w:rFonts w:ascii="Times New Roman" w:eastAsia="仿宋_GB2312" w:hAnsi="Times New Roman" w:hint="eastAsia"/>
          <w:sz w:val="32"/>
          <w:szCs w:val="32"/>
        </w:rPr>
        <w:t>组织开展市级平台并联审批协调服务</w:t>
      </w:r>
      <w:r>
        <w:rPr>
          <w:rFonts w:ascii="Times New Roman" w:eastAsia="仿宋_GB2312" w:hAnsi="Times New Roman" w:hint="eastAsia"/>
          <w:sz w:val="32"/>
          <w:szCs w:val="32"/>
        </w:rPr>
        <w:t>;</w:t>
      </w:r>
      <w:r>
        <w:rPr>
          <w:rFonts w:ascii="Times New Roman" w:eastAsia="仿宋_GB2312" w:hAnsi="Times New Roman" w:hint="eastAsia"/>
          <w:sz w:val="32"/>
          <w:szCs w:val="32"/>
        </w:rPr>
        <w:t>对市直各部门（单位）派驻的窗口人员进行现场监督管理、实施考核，对公共资源项目进场交易机构及人员进行现场监督管理、实施评价。</w:t>
      </w:r>
      <w:r>
        <w:rPr>
          <w:rFonts w:ascii="Times New Roman" w:eastAsia="仿宋_GB2312" w:hAnsi="Times New Roman" w:hint="eastAsia"/>
          <w:b/>
          <w:bCs/>
          <w:sz w:val="32"/>
          <w:szCs w:val="32"/>
        </w:rPr>
        <w:t>四是</w:t>
      </w:r>
      <w:r>
        <w:rPr>
          <w:rFonts w:ascii="Times New Roman" w:eastAsia="仿宋_GB2312" w:hAnsi="Times New Roman" w:hint="eastAsia"/>
          <w:sz w:val="32"/>
          <w:szCs w:val="32"/>
        </w:rPr>
        <w:t>按有关规定查验参与公共资源交易活动各方主体资格和进场交易项目相关手续</w:t>
      </w:r>
      <w:r>
        <w:rPr>
          <w:rFonts w:ascii="Times New Roman" w:eastAsia="仿宋_GB2312" w:hAnsi="Times New Roman" w:hint="eastAsia"/>
          <w:sz w:val="32"/>
          <w:szCs w:val="32"/>
        </w:rPr>
        <w:t>;</w:t>
      </w:r>
      <w:r>
        <w:rPr>
          <w:rFonts w:ascii="Times New Roman" w:eastAsia="仿宋_GB2312" w:hAnsi="Times New Roman" w:hint="eastAsia"/>
          <w:sz w:val="32"/>
          <w:szCs w:val="32"/>
        </w:rPr>
        <w:t>负责对进入市级交易服务市中心的工程建设项目招投标、国有产权交易、矿业权和特许经营权出（转）让等公共资源交易提供现场管理和服务</w:t>
      </w:r>
      <w:r>
        <w:rPr>
          <w:rFonts w:ascii="Times New Roman" w:eastAsia="仿宋_GB2312" w:hAnsi="Times New Roman" w:hint="eastAsia"/>
          <w:sz w:val="32"/>
          <w:szCs w:val="32"/>
        </w:rPr>
        <w:t>;</w:t>
      </w:r>
      <w:r>
        <w:rPr>
          <w:rFonts w:ascii="Times New Roman" w:eastAsia="仿宋_GB2312" w:hAnsi="Times New Roman" w:hint="eastAsia"/>
          <w:sz w:val="32"/>
          <w:szCs w:val="32"/>
        </w:rPr>
        <w:t>受委托依法承担有关公共资源项目交易服务工作。</w:t>
      </w:r>
      <w:r>
        <w:rPr>
          <w:rFonts w:ascii="Times New Roman" w:eastAsia="仿宋_GB2312" w:hAnsi="Times New Roman" w:hint="eastAsia"/>
          <w:b/>
          <w:bCs/>
          <w:sz w:val="32"/>
          <w:szCs w:val="32"/>
        </w:rPr>
        <w:t>五是</w:t>
      </w:r>
      <w:r>
        <w:rPr>
          <w:rFonts w:ascii="Times New Roman" w:eastAsia="仿宋_GB2312" w:hAnsi="Times New Roman" w:hint="eastAsia"/>
          <w:sz w:val="32"/>
          <w:szCs w:val="32"/>
        </w:rPr>
        <w:t>参与全市进入政务服务和公共资源交易服务系统的电子化交易系统、信用评价体系和中介机构库等的建设管理工作</w:t>
      </w:r>
      <w:r>
        <w:rPr>
          <w:rFonts w:ascii="Times New Roman" w:eastAsia="仿宋_GB2312" w:hAnsi="Times New Roman" w:hint="eastAsia"/>
          <w:sz w:val="32"/>
          <w:szCs w:val="32"/>
        </w:rPr>
        <w:t>;</w:t>
      </w:r>
      <w:r>
        <w:rPr>
          <w:rFonts w:ascii="Times New Roman" w:eastAsia="仿宋_GB2312" w:hAnsi="Times New Roman" w:hint="eastAsia"/>
          <w:sz w:val="32"/>
          <w:szCs w:val="32"/>
        </w:rPr>
        <w:t>建立公共资源交易从业者现场行为公开制度，开展场内信用信息记录、评价并对外发布。</w:t>
      </w:r>
      <w:r>
        <w:rPr>
          <w:rFonts w:ascii="Times New Roman" w:eastAsia="仿宋_GB2312" w:hAnsi="Times New Roman" w:hint="eastAsia"/>
          <w:b/>
          <w:bCs/>
          <w:sz w:val="32"/>
          <w:szCs w:val="32"/>
        </w:rPr>
        <w:t>六是</w:t>
      </w:r>
      <w:r>
        <w:rPr>
          <w:rFonts w:ascii="Times New Roman" w:eastAsia="仿宋_GB2312" w:hAnsi="Times New Roman" w:hint="eastAsia"/>
          <w:sz w:val="32"/>
          <w:szCs w:val="32"/>
        </w:rPr>
        <w:t>参与对市直部门（单位）行政审批制度改革情况、政务服务开展情况和公共资源交易综合效益评价、评估工作，为相关行业部门监管提供协助。</w:t>
      </w:r>
      <w:r>
        <w:rPr>
          <w:rFonts w:ascii="Times New Roman" w:eastAsia="仿宋_GB2312" w:hAnsi="Times New Roman" w:hint="eastAsia"/>
          <w:b/>
          <w:bCs/>
          <w:sz w:val="32"/>
          <w:szCs w:val="32"/>
        </w:rPr>
        <w:t>七是</w:t>
      </w:r>
      <w:r>
        <w:rPr>
          <w:rFonts w:ascii="Times New Roman" w:eastAsia="仿宋_GB2312" w:hAnsi="Times New Roman" w:hint="eastAsia"/>
          <w:sz w:val="32"/>
          <w:szCs w:val="32"/>
        </w:rPr>
        <w:t>对区县政务服务和公共资源交易服务市中心进行业务指导，参与相关业务工作的调研和培训。</w:t>
      </w:r>
      <w:r>
        <w:rPr>
          <w:rFonts w:ascii="Times New Roman" w:eastAsia="仿宋_GB2312" w:hAnsi="Times New Roman" w:hint="eastAsia"/>
          <w:b/>
          <w:bCs/>
          <w:sz w:val="32"/>
          <w:szCs w:val="32"/>
        </w:rPr>
        <w:t>八是</w:t>
      </w:r>
      <w:r>
        <w:rPr>
          <w:rFonts w:ascii="Times New Roman" w:eastAsia="仿宋_GB2312" w:hAnsi="Times New Roman" w:hint="eastAsia"/>
          <w:sz w:val="32"/>
          <w:szCs w:val="32"/>
        </w:rPr>
        <w:t>负责按规定实施现场秩序管理和监督工作，记录、制止违反现场管理制度的行为。</w:t>
      </w:r>
      <w:r>
        <w:rPr>
          <w:rFonts w:ascii="Times New Roman" w:eastAsia="仿宋_GB2312" w:hAnsi="Times New Roman" w:hint="eastAsia"/>
          <w:b/>
          <w:bCs/>
          <w:sz w:val="32"/>
          <w:szCs w:val="32"/>
        </w:rPr>
        <w:t>九是</w:t>
      </w:r>
      <w:r>
        <w:rPr>
          <w:rFonts w:ascii="Times New Roman" w:eastAsia="仿宋_GB2312" w:hAnsi="Times New Roman" w:hint="eastAsia"/>
          <w:sz w:val="32"/>
          <w:szCs w:val="32"/>
        </w:rPr>
        <w:t>指导、协调市、区县农村产权交易平台建设，搭建农村产权交易信息平台，牵头制定服务标准，建立农村产权交易信用库</w:t>
      </w:r>
      <w:r>
        <w:rPr>
          <w:rFonts w:ascii="Times New Roman" w:eastAsia="仿宋_GB2312" w:hAnsi="Times New Roman" w:hint="eastAsia"/>
          <w:sz w:val="32"/>
          <w:szCs w:val="32"/>
        </w:rPr>
        <w:t>;</w:t>
      </w:r>
      <w:r>
        <w:rPr>
          <w:rFonts w:ascii="Times New Roman" w:eastAsia="仿宋_GB2312" w:hAnsi="Times New Roman" w:hint="eastAsia"/>
          <w:sz w:val="32"/>
          <w:szCs w:val="32"/>
        </w:rPr>
        <w:t>指导下级农村产权交易活动，协调跨区县农村产权交易业务办理等工作。</w:t>
      </w:r>
      <w:r>
        <w:rPr>
          <w:rFonts w:ascii="Times New Roman" w:eastAsia="仿宋_GB2312" w:hAnsi="Times New Roman" w:hint="eastAsia"/>
          <w:b/>
          <w:bCs/>
          <w:sz w:val="32"/>
          <w:szCs w:val="32"/>
        </w:rPr>
        <w:t>十是</w:t>
      </w:r>
      <w:r>
        <w:rPr>
          <w:rFonts w:ascii="Times New Roman" w:eastAsia="仿宋_GB2312" w:hAnsi="Times New Roman" w:hint="eastAsia"/>
          <w:sz w:val="32"/>
          <w:szCs w:val="32"/>
        </w:rPr>
        <w:t>负责实行项目帮办代办服务，点对点解决企业困难和问题，为各类投资企业提供政策宣传咨询</w:t>
      </w:r>
      <w:r>
        <w:rPr>
          <w:rFonts w:ascii="Times New Roman" w:eastAsia="仿宋_GB2312" w:hAnsi="Times New Roman" w:hint="eastAsia"/>
          <w:sz w:val="32"/>
          <w:szCs w:val="32"/>
        </w:rPr>
        <w:lastRenderedPageBreak/>
        <w:t>服务、一站式审批服务，受理企业投诉、收集分析协调处理企业落地后的各类问题。</w:t>
      </w:r>
      <w:r>
        <w:rPr>
          <w:rFonts w:ascii="Times New Roman" w:eastAsia="仿宋_GB2312" w:hAnsi="Times New Roman" w:hint="eastAsia"/>
          <w:b/>
          <w:bCs/>
          <w:sz w:val="32"/>
          <w:szCs w:val="32"/>
        </w:rPr>
        <w:t>十一</w:t>
      </w:r>
      <w:r>
        <w:rPr>
          <w:rFonts w:ascii="Times New Roman" w:eastAsia="仿宋_GB2312" w:hAnsi="Times New Roman" w:hint="eastAsia"/>
          <w:sz w:val="32"/>
          <w:szCs w:val="32"/>
        </w:rPr>
        <w:t>是通过</w:t>
      </w:r>
      <w:r>
        <w:rPr>
          <w:rFonts w:ascii="仿宋_GB2312" w:eastAsia="仿宋_GB2312" w:hAnsi="Times New Roman" w:hint="eastAsia"/>
          <w:sz w:val="32"/>
          <w:szCs w:val="32"/>
        </w:rPr>
        <w:t>12345</w:t>
      </w:r>
      <w:r>
        <w:rPr>
          <w:rFonts w:ascii="Times New Roman" w:eastAsia="仿宋_GB2312" w:hAnsi="Times New Roman" w:hint="eastAsia"/>
          <w:sz w:val="32"/>
          <w:szCs w:val="32"/>
        </w:rPr>
        <w:t>政务服务热线集中受理和回复市民的各类非紧急类咨询、求助、投诉、举报和建议，为群众提供</w:t>
      </w:r>
      <w:r>
        <w:rPr>
          <w:rFonts w:ascii="仿宋_GB2312" w:eastAsia="仿宋_GB2312" w:hAnsi="Times New Roman" w:hint="eastAsia"/>
          <w:sz w:val="32"/>
          <w:szCs w:val="32"/>
        </w:rPr>
        <w:t>7</w:t>
      </w:r>
      <w:r>
        <w:rPr>
          <w:rFonts w:ascii="宋体" w:hAnsi="宋体" w:hint="eastAsia"/>
          <w:sz w:val="32"/>
          <w:szCs w:val="32"/>
        </w:rPr>
        <w:t>×</w:t>
      </w:r>
      <w:r>
        <w:rPr>
          <w:rFonts w:ascii="仿宋_GB2312" w:eastAsia="仿宋_GB2312" w:hAnsi="Times New Roman" w:hint="eastAsia"/>
          <w:sz w:val="32"/>
          <w:szCs w:val="32"/>
        </w:rPr>
        <w:t>24</w:t>
      </w:r>
      <w:r>
        <w:rPr>
          <w:rFonts w:ascii="Times New Roman" w:eastAsia="仿宋_GB2312" w:hAnsi="Times New Roman" w:hint="eastAsia"/>
          <w:sz w:val="32"/>
          <w:szCs w:val="32"/>
        </w:rPr>
        <w:t>小时全天候、全方位、高效率的政务服务。</w:t>
      </w:r>
      <w:r>
        <w:rPr>
          <w:rFonts w:ascii="Times New Roman" w:eastAsia="仿宋_GB2312" w:hAnsi="Times New Roman" w:hint="eastAsia"/>
          <w:b/>
          <w:bCs/>
          <w:sz w:val="32"/>
          <w:szCs w:val="32"/>
        </w:rPr>
        <w:t>十二</w:t>
      </w:r>
      <w:r>
        <w:rPr>
          <w:rFonts w:ascii="Times New Roman" w:eastAsia="仿宋_GB2312" w:hAnsi="Times New Roman" w:hint="eastAsia"/>
          <w:sz w:val="32"/>
          <w:szCs w:val="32"/>
        </w:rPr>
        <w:t>是承办市政府交办及有关部门委托办理的其他事项。</w:t>
      </w:r>
    </w:p>
    <w:p w:rsidR="00C91ED0" w:rsidRDefault="001C5ABB">
      <w:pPr>
        <w:widowControl/>
        <w:adjustRightInd w:val="0"/>
        <w:snapToGrid w:val="0"/>
        <w:spacing w:line="580" w:lineRule="exact"/>
        <w:ind w:firstLineChars="200" w:firstLine="643"/>
        <w:contextualSpacing/>
        <w:jc w:val="left"/>
        <w:rPr>
          <w:rFonts w:ascii="楷体_GB2312" w:eastAsia="楷体_GB2312" w:hAnsi="宋体" w:cs="宋体"/>
          <w:b/>
          <w:color w:val="000000"/>
          <w:kern w:val="0"/>
          <w:sz w:val="32"/>
          <w:szCs w:val="32"/>
          <w:shd w:val="clear" w:color="auto" w:fill="FFFFFF"/>
          <w:lang w:val="zh-CN"/>
        </w:rPr>
      </w:pPr>
      <w:r>
        <w:rPr>
          <w:rFonts w:ascii="楷体_GB2312" w:eastAsia="楷体_GB2312" w:hAnsi="楷体_GB2312" w:cs="楷体_GB2312" w:hint="eastAsia"/>
          <w:b/>
          <w:bCs/>
          <w:color w:val="000000"/>
          <w:sz w:val="32"/>
          <w:szCs w:val="32"/>
          <w:shd w:val="clear" w:color="auto" w:fill="FFFFFF"/>
        </w:rPr>
        <w:t>(三)</w:t>
      </w:r>
      <w:r>
        <w:rPr>
          <w:rFonts w:ascii="楷体_GB2312" w:eastAsia="楷体_GB2312" w:hAnsi="宋体" w:cs="宋体" w:hint="eastAsia"/>
          <w:b/>
          <w:color w:val="000000"/>
          <w:kern w:val="0"/>
          <w:sz w:val="32"/>
          <w:szCs w:val="32"/>
          <w:shd w:val="clear" w:color="auto" w:fill="FFFFFF"/>
          <w:lang w:val="zh-CN"/>
        </w:rPr>
        <w:t>人员概况</w:t>
      </w:r>
    </w:p>
    <w:p w:rsidR="00C91ED0" w:rsidRDefault="001C5ABB">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市委编办共核定市中心内设科室13个、事业编制30名，现在编在岗工作人员26名，核定下属事业单位（市企业投资促进协调服务市中心）事业编制10名（引进人才1名，单列编制）、编外辅助性岗位5名，退休人员2名，现在岗6名。</w:t>
      </w:r>
    </w:p>
    <w:p w:rsidR="00C91ED0" w:rsidRDefault="001C5ABB">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C91ED0" w:rsidRDefault="001C5ABB">
      <w:pPr>
        <w:widowControl/>
        <w:adjustRightInd w:val="0"/>
        <w:snapToGrid w:val="0"/>
        <w:spacing w:line="580" w:lineRule="exact"/>
        <w:ind w:firstLineChars="200" w:firstLine="643"/>
        <w:contextualSpacing/>
        <w:jc w:val="left"/>
        <w:rPr>
          <w:rFonts w:ascii="楷体_GB2312" w:eastAsia="楷体_GB2312" w:hAnsi="宋体" w:cs="宋体"/>
          <w:b/>
          <w:color w:val="000000"/>
          <w:kern w:val="0"/>
          <w:sz w:val="32"/>
          <w:szCs w:val="32"/>
          <w:shd w:val="clear" w:color="auto" w:fill="FFFFFF"/>
          <w:lang w:val="zh-CN"/>
        </w:rPr>
      </w:pPr>
      <w:r>
        <w:rPr>
          <w:rFonts w:ascii="楷体_GB2312" w:eastAsia="楷体_GB2312" w:hAnsi="楷体_GB2312" w:cs="楷体_GB2312" w:hint="eastAsia"/>
          <w:b/>
          <w:bCs/>
          <w:color w:val="000000"/>
          <w:sz w:val="32"/>
          <w:szCs w:val="32"/>
          <w:shd w:val="clear" w:color="auto" w:fill="FFFFFF"/>
        </w:rPr>
        <w:t>(一)</w:t>
      </w:r>
      <w:r>
        <w:rPr>
          <w:rFonts w:ascii="楷体_GB2312" w:eastAsia="楷体_GB2312" w:hAnsi="宋体" w:cs="宋体" w:hint="eastAsia"/>
          <w:b/>
          <w:color w:val="000000"/>
          <w:kern w:val="0"/>
          <w:sz w:val="32"/>
          <w:szCs w:val="32"/>
          <w:shd w:val="clear" w:color="auto" w:fill="FFFFFF"/>
          <w:lang w:val="zh-CN"/>
        </w:rPr>
        <w:t>部门财政资金收入情况</w:t>
      </w:r>
    </w:p>
    <w:p w:rsidR="00C91ED0" w:rsidRDefault="001C5AB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int="eastAsia"/>
          <w:kern w:val="0"/>
          <w:sz w:val="32"/>
          <w:szCs w:val="32"/>
        </w:rPr>
        <w:t>2019年，市中心财政资金收入2428.15万元，其中：上年结转资金收入435.42万元，当年一般公共预算收入</w:t>
      </w:r>
      <w:r>
        <w:rPr>
          <w:rFonts w:ascii="仿宋_GB2312" w:eastAsia="仿宋_GB2312"/>
          <w:kern w:val="0"/>
          <w:sz w:val="32"/>
          <w:szCs w:val="32"/>
        </w:rPr>
        <w:t>1,992.73</w:t>
      </w:r>
      <w:r>
        <w:rPr>
          <w:rFonts w:ascii="仿宋_GB2312" w:eastAsia="仿宋_GB2312" w:hint="eastAsia"/>
          <w:kern w:val="0"/>
          <w:sz w:val="32"/>
          <w:szCs w:val="32"/>
        </w:rPr>
        <w:t>万元（含追加预算361.33万元）</w:t>
      </w:r>
      <w:r>
        <w:rPr>
          <w:rFonts w:ascii="仿宋_GB2312" w:eastAsia="仿宋_GB2312" w:hAnsi="仿宋_GB2312" w:cs="仿宋_GB2312" w:hint="eastAsia"/>
          <w:kern w:val="0"/>
          <w:sz w:val="32"/>
          <w:szCs w:val="32"/>
        </w:rPr>
        <w:t>。</w:t>
      </w:r>
    </w:p>
    <w:p w:rsidR="00C91ED0" w:rsidRDefault="001C5ABB">
      <w:pPr>
        <w:widowControl/>
        <w:adjustRightInd w:val="0"/>
        <w:snapToGrid w:val="0"/>
        <w:spacing w:line="580" w:lineRule="exact"/>
        <w:ind w:firstLineChars="200" w:firstLine="643"/>
        <w:contextualSpacing/>
        <w:jc w:val="left"/>
        <w:rPr>
          <w:rFonts w:ascii="楷体_GB2312" w:eastAsia="楷体_GB2312" w:hAnsi="宋体" w:cs="宋体"/>
          <w:b/>
          <w:color w:val="000000"/>
          <w:kern w:val="0"/>
          <w:sz w:val="32"/>
          <w:szCs w:val="32"/>
          <w:shd w:val="clear" w:color="auto" w:fill="FFFFFF"/>
          <w:lang w:val="zh-CN"/>
        </w:rPr>
      </w:pPr>
      <w:r>
        <w:rPr>
          <w:rFonts w:ascii="楷体_GB2312" w:eastAsia="楷体_GB2312" w:hAnsi="楷体_GB2312" w:cs="楷体_GB2312" w:hint="eastAsia"/>
          <w:b/>
          <w:bCs/>
          <w:color w:val="000000"/>
          <w:sz w:val="32"/>
          <w:szCs w:val="32"/>
          <w:shd w:val="clear" w:color="auto" w:fill="FFFFFF"/>
        </w:rPr>
        <w:t>(二)</w:t>
      </w:r>
      <w:r>
        <w:rPr>
          <w:rFonts w:ascii="楷体_GB2312" w:eastAsia="楷体_GB2312" w:hAnsi="宋体" w:cs="宋体" w:hint="eastAsia"/>
          <w:b/>
          <w:color w:val="000000"/>
          <w:kern w:val="0"/>
          <w:sz w:val="32"/>
          <w:szCs w:val="32"/>
          <w:shd w:val="clear" w:color="auto" w:fill="FFFFFF"/>
          <w:lang w:val="zh-CN"/>
        </w:rPr>
        <w:t>部门财政资金支出情况</w:t>
      </w:r>
    </w:p>
    <w:p w:rsidR="00C91ED0" w:rsidRDefault="001C5ABB">
      <w:pPr>
        <w:widowControl/>
        <w:adjustRightInd w:val="0"/>
        <w:snapToGrid w:val="0"/>
        <w:spacing w:line="580" w:lineRule="exact"/>
        <w:ind w:firstLineChars="200" w:firstLine="640"/>
        <w:contextualSpacing/>
        <w:jc w:val="left"/>
        <w:rPr>
          <w:rFonts w:ascii="楷体_GB2312" w:eastAsia="楷体_GB2312" w:hAnsi="宋体" w:cs="宋体"/>
          <w:b/>
          <w:color w:val="000000"/>
          <w:kern w:val="0"/>
          <w:sz w:val="32"/>
          <w:szCs w:val="32"/>
          <w:shd w:val="clear" w:color="auto" w:fill="FFFFFF"/>
          <w:lang w:val="zh-CN"/>
        </w:rPr>
      </w:pPr>
      <w:r>
        <w:rPr>
          <w:rFonts w:ascii="仿宋_GB2312" w:eastAsia="仿宋_GB2312" w:hAnsi="仿宋_GB2312" w:cs="仿宋_GB2312" w:hint="eastAsia"/>
          <w:kern w:val="0"/>
          <w:sz w:val="32"/>
          <w:szCs w:val="32"/>
        </w:rPr>
        <w:t>2019年，市中心财政资金支出2096.09万元，其中：基本支出447.31万元，项目支出1648.78万元。年度结余资金332.05万元。</w:t>
      </w:r>
    </w:p>
    <w:p w:rsidR="00C91ED0" w:rsidRDefault="001C5ABB">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C91ED0" w:rsidRDefault="001C5ABB">
      <w:pPr>
        <w:widowControl/>
        <w:adjustRightInd w:val="0"/>
        <w:snapToGrid w:val="0"/>
        <w:spacing w:line="580" w:lineRule="exact"/>
        <w:ind w:firstLineChars="200" w:firstLine="643"/>
        <w:contextualSpacing/>
        <w:jc w:val="left"/>
        <w:rPr>
          <w:rFonts w:ascii="楷体_GB2312" w:eastAsia="楷体_GB2312" w:hAnsi="宋体" w:cs="宋体"/>
          <w:b/>
          <w:color w:val="000000"/>
          <w:kern w:val="0"/>
          <w:sz w:val="32"/>
          <w:szCs w:val="32"/>
          <w:shd w:val="clear" w:color="auto" w:fill="FFFFFF"/>
          <w:lang w:val="zh-CN"/>
        </w:rPr>
      </w:pPr>
      <w:r>
        <w:rPr>
          <w:rFonts w:ascii="楷体_GB2312" w:eastAsia="楷体_GB2312" w:hAnsi="楷体_GB2312" w:cs="楷体_GB2312" w:hint="eastAsia"/>
          <w:b/>
          <w:bCs/>
          <w:color w:val="000000"/>
          <w:sz w:val="32"/>
          <w:szCs w:val="32"/>
          <w:shd w:val="clear" w:color="auto" w:fill="FFFFFF"/>
        </w:rPr>
        <w:t>(一)</w:t>
      </w:r>
      <w:r>
        <w:rPr>
          <w:rFonts w:ascii="楷体_GB2312" w:eastAsia="楷体_GB2312" w:hAnsi="宋体" w:cs="宋体" w:hint="eastAsia"/>
          <w:b/>
          <w:color w:val="000000"/>
          <w:kern w:val="0"/>
          <w:sz w:val="32"/>
          <w:szCs w:val="32"/>
          <w:shd w:val="clear" w:color="auto" w:fill="FFFFFF"/>
          <w:lang w:val="zh-CN"/>
        </w:rPr>
        <w:t>部门预算管理</w:t>
      </w:r>
    </w:p>
    <w:p w:rsidR="00C91ED0" w:rsidRDefault="001C5ABB">
      <w:pPr>
        <w:spacing w:line="520" w:lineRule="exact"/>
        <w:ind w:firstLineChars="200" w:firstLine="643"/>
        <w:rPr>
          <w:rFonts w:ascii="楷体_GB2312" w:eastAsia="楷体_GB2312" w:hAnsi="楷体_GB2312" w:cs="楷体_GB2312"/>
          <w:b/>
          <w:bCs/>
          <w:kern w:val="0"/>
          <w:sz w:val="32"/>
          <w:szCs w:val="32"/>
        </w:rPr>
      </w:pPr>
      <w:r>
        <w:rPr>
          <w:rFonts w:eastAsia="仿宋_GB2312" w:hint="eastAsia"/>
          <w:b/>
          <w:bCs/>
          <w:kern w:val="0"/>
          <w:sz w:val="32"/>
          <w:szCs w:val="32"/>
        </w:rPr>
        <w:t>一是</w:t>
      </w:r>
      <w:r>
        <w:rPr>
          <w:rFonts w:ascii="仿宋_GB2312" w:eastAsia="仿宋_GB2312" w:hAnsi="仿宋_GB2312" w:cs="仿宋_GB2312" w:hint="eastAsia"/>
          <w:kern w:val="0"/>
          <w:sz w:val="32"/>
          <w:szCs w:val="32"/>
        </w:rPr>
        <w:t>预算编制科学、合理。市中心始终将绩效管理贯穿预算编制、预算执行、决算以及预算审查的各个环节之中，根据设定</w:t>
      </w:r>
      <w:r>
        <w:rPr>
          <w:rFonts w:ascii="仿宋_GB2312" w:eastAsia="仿宋_GB2312" w:hAnsi="仿宋_GB2312" w:cs="仿宋_GB2312" w:hint="eastAsia"/>
          <w:kern w:val="0"/>
          <w:sz w:val="32"/>
          <w:szCs w:val="32"/>
        </w:rPr>
        <w:lastRenderedPageBreak/>
        <w:t>预算绩效目标管理，进行预算绩效跟踪管理，充分运用预算绩效评价及结果，层层改进，不断完善，实现提高财政资金使用效率的目的。</w:t>
      </w:r>
      <w:r>
        <w:rPr>
          <w:rFonts w:eastAsia="仿宋_GB2312" w:hint="eastAsia"/>
          <w:b/>
          <w:bCs/>
          <w:kern w:val="0"/>
          <w:sz w:val="32"/>
          <w:szCs w:val="32"/>
        </w:rPr>
        <w:t>二是</w:t>
      </w:r>
      <w:r>
        <w:rPr>
          <w:rFonts w:ascii="仿宋_GB2312" w:eastAsia="仿宋_GB2312" w:hAnsi="仿宋_GB2312" w:cs="仿宋_GB2312" w:hint="eastAsia"/>
          <w:kern w:val="0"/>
          <w:sz w:val="32"/>
          <w:szCs w:val="32"/>
        </w:rPr>
        <w:t>绩效目标填报完整、可行。市中心实行“清单制+责任制”，制定年度工作计划和重点工作任务清单，对目标绩效工作实行任务到科室，责任到人头。按照“谁申报、谁负责、谁实施”的原则，各责任科室分项目填报绩效目标和评价指标，分项制定实施管理方案，细化工作举措，明确时间节点。</w:t>
      </w:r>
      <w:r>
        <w:rPr>
          <w:rFonts w:eastAsia="仿宋_GB2312" w:hint="eastAsia"/>
          <w:b/>
          <w:bCs/>
          <w:kern w:val="0"/>
          <w:sz w:val="32"/>
          <w:szCs w:val="32"/>
        </w:rPr>
        <w:t>三是</w:t>
      </w:r>
      <w:r>
        <w:rPr>
          <w:rFonts w:ascii="仿宋_GB2312" w:eastAsia="仿宋_GB2312" w:hAnsi="仿宋_GB2312" w:cs="仿宋_GB2312" w:hint="eastAsia"/>
          <w:kern w:val="0"/>
          <w:sz w:val="32"/>
          <w:szCs w:val="32"/>
        </w:rPr>
        <w:t>绩效目标过程监控规范、长效。严格执行财经管理、行政审批、政府采购、公开招标等相关制度，加强项目实施管理，确保所有项目按时按质完成。</w:t>
      </w:r>
      <w:r>
        <w:rPr>
          <w:rFonts w:eastAsia="仿宋_GB2312" w:hint="eastAsia"/>
          <w:b/>
          <w:bCs/>
          <w:kern w:val="0"/>
          <w:sz w:val="32"/>
          <w:szCs w:val="32"/>
        </w:rPr>
        <w:t>四是</w:t>
      </w:r>
      <w:r>
        <w:rPr>
          <w:rFonts w:ascii="仿宋_GB2312" w:eastAsia="仿宋_GB2312" w:hAnsi="仿宋_GB2312" w:cs="仿宋_GB2312" w:hint="eastAsia"/>
          <w:kern w:val="0"/>
          <w:sz w:val="32"/>
          <w:szCs w:val="32"/>
        </w:rPr>
        <w:t>绩效评价客观、公正。认真对照《2020年市级部门整体支出绩效评价指标体系》，对照评价内容和评价标准，逐项自评打分，切实做到自评结果客观公正。</w:t>
      </w:r>
    </w:p>
    <w:p w:rsidR="00C91ED0" w:rsidRDefault="001C5ABB">
      <w:pPr>
        <w:widowControl/>
        <w:adjustRightInd w:val="0"/>
        <w:snapToGrid w:val="0"/>
        <w:spacing w:line="580" w:lineRule="exact"/>
        <w:ind w:firstLineChars="200" w:firstLine="643"/>
        <w:contextualSpacing/>
        <w:jc w:val="left"/>
        <w:rPr>
          <w:rFonts w:ascii="楷体_GB2312" w:eastAsia="楷体_GB2312" w:hAnsi="宋体" w:cs="宋体"/>
          <w:b/>
          <w:color w:val="000000"/>
          <w:kern w:val="0"/>
          <w:sz w:val="32"/>
          <w:szCs w:val="32"/>
          <w:shd w:val="clear" w:color="auto" w:fill="FFFFFF"/>
          <w:lang w:val="zh-CN"/>
        </w:rPr>
      </w:pPr>
      <w:r>
        <w:rPr>
          <w:rFonts w:ascii="楷体_GB2312" w:eastAsia="楷体_GB2312" w:hAnsi="楷体_GB2312" w:cs="楷体_GB2312" w:hint="eastAsia"/>
          <w:b/>
          <w:bCs/>
          <w:color w:val="000000"/>
          <w:sz w:val="32"/>
          <w:szCs w:val="32"/>
          <w:shd w:val="clear" w:color="auto" w:fill="FFFFFF"/>
        </w:rPr>
        <w:t>(二)</w:t>
      </w:r>
      <w:r>
        <w:rPr>
          <w:rFonts w:ascii="楷体_GB2312" w:eastAsia="楷体_GB2312" w:hAnsi="宋体" w:cs="宋体" w:hint="eastAsia"/>
          <w:b/>
          <w:color w:val="000000"/>
          <w:kern w:val="0"/>
          <w:sz w:val="32"/>
          <w:szCs w:val="32"/>
          <w:shd w:val="clear" w:color="auto" w:fill="FFFFFF"/>
          <w:lang w:val="zh-CN"/>
        </w:rPr>
        <w:t>结果应用情况</w:t>
      </w:r>
    </w:p>
    <w:p w:rsidR="00C91ED0" w:rsidRDefault="001C5ABB">
      <w:pPr>
        <w:spacing w:line="520" w:lineRule="exact"/>
        <w:ind w:firstLineChars="200" w:firstLine="643"/>
        <w:rPr>
          <w:rFonts w:ascii="仿宋_GB2312" w:eastAsia="仿宋_GB2312" w:hAnsi="仿宋_GB2312" w:cs="仿宋_GB2312"/>
          <w:kern w:val="0"/>
          <w:sz w:val="32"/>
          <w:szCs w:val="32"/>
        </w:rPr>
      </w:pPr>
      <w:r>
        <w:rPr>
          <w:rFonts w:ascii="楷体_GB2312" w:eastAsia="楷体_GB2312" w:hAnsi="楷体_GB2312" w:cs="楷体_GB2312" w:hint="eastAsia"/>
          <w:b/>
          <w:bCs/>
          <w:kern w:val="0"/>
          <w:sz w:val="32"/>
          <w:szCs w:val="32"/>
        </w:rPr>
        <w:t>一是</w:t>
      </w:r>
      <w:r>
        <w:rPr>
          <w:rFonts w:ascii="仿宋_GB2312" w:eastAsia="仿宋_GB2312" w:hAnsi="仿宋_GB2312" w:cs="仿宋_GB2312" w:hint="eastAsia"/>
          <w:kern w:val="0"/>
          <w:sz w:val="32"/>
          <w:szCs w:val="32"/>
        </w:rPr>
        <w:t>政府采购执行率100%。市中心2019年申报工程建设项目审批系统1个政府采购项目，按程序一次采购成功，有效提高政府采购效率。</w:t>
      </w:r>
      <w:r>
        <w:rPr>
          <w:rFonts w:ascii="楷体_GB2312" w:eastAsia="楷体_GB2312" w:hAnsi="楷体_GB2312" w:cs="楷体_GB2312" w:hint="eastAsia"/>
          <w:b/>
          <w:bCs/>
          <w:kern w:val="0"/>
          <w:sz w:val="32"/>
          <w:szCs w:val="32"/>
        </w:rPr>
        <w:t>二是</w:t>
      </w:r>
      <w:r>
        <w:rPr>
          <w:rFonts w:ascii="仿宋_GB2312" w:eastAsia="仿宋_GB2312" w:hAnsi="仿宋_GB2312" w:cs="仿宋_GB2312" w:hint="eastAsia"/>
          <w:kern w:val="0"/>
          <w:sz w:val="32"/>
          <w:szCs w:val="32"/>
        </w:rPr>
        <w:t>三公经费支出较2018年下降62.58%。严控“三公”经费支出，严管公务用车，严格公务接待，公务接待费用较2018年下降44.15%。</w:t>
      </w:r>
      <w:r>
        <w:rPr>
          <w:rFonts w:ascii="楷体_GB2312" w:eastAsia="楷体_GB2312" w:hAnsi="楷体_GB2312" w:cs="楷体_GB2312" w:hint="eastAsia"/>
          <w:b/>
          <w:bCs/>
          <w:kern w:val="0"/>
          <w:sz w:val="32"/>
          <w:szCs w:val="32"/>
        </w:rPr>
        <w:t>三是</w:t>
      </w:r>
      <w:r>
        <w:rPr>
          <w:rFonts w:ascii="仿宋_GB2312" w:eastAsia="仿宋_GB2312" w:hAnsi="仿宋_GB2312" w:cs="仿宋_GB2312" w:hint="eastAsia"/>
          <w:kern w:val="0"/>
          <w:sz w:val="32"/>
          <w:szCs w:val="32"/>
        </w:rPr>
        <w:t>加强资产管理。修订完善固定资产管理制度，及时清理登记固定资产，做到账、卡、物相符。</w:t>
      </w:r>
      <w:r>
        <w:rPr>
          <w:rFonts w:ascii="楷体_GB2312" w:eastAsia="楷体_GB2312" w:hAnsi="楷体_GB2312" w:cs="楷体_GB2312" w:hint="eastAsia"/>
          <w:b/>
          <w:bCs/>
          <w:kern w:val="0"/>
          <w:sz w:val="32"/>
          <w:szCs w:val="32"/>
        </w:rPr>
        <w:t>四是</w:t>
      </w:r>
      <w:r>
        <w:rPr>
          <w:rFonts w:ascii="仿宋_GB2312" w:eastAsia="仿宋_GB2312" w:hAnsi="仿宋_GB2312" w:cs="仿宋_GB2312" w:hint="eastAsia"/>
          <w:kern w:val="0"/>
          <w:sz w:val="32"/>
          <w:szCs w:val="32"/>
        </w:rPr>
        <w:t>信息公开及时主动。按照财务信息公开有关规定，每年预决算和“三公经费”使用情况均在市财政局网站、市中心网站上及时完整公开。</w:t>
      </w:r>
      <w:r>
        <w:rPr>
          <w:rFonts w:ascii="楷体_GB2312" w:eastAsia="楷体_GB2312" w:hAnsi="楷体_GB2312" w:cs="楷体_GB2312" w:hint="eastAsia"/>
          <w:b/>
          <w:bCs/>
          <w:kern w:val="0"/>
          <w:sz w:val="32"/>
          <w:szCs w:val="32"/>
        </w:rPr>
        <w:t>五是</w:t>
      </w:r>
      <w:r>
        <w:rPr>
          <w:rFonts w:ascii="仿宋_GB2312" w:eastAsia="仿宋_GB2312" w:hAnsi="仿宋_GB2312" w:cs="仿宋_GB2312" w:hint="eastAsia"/>
          <w:kern w:val="0"/>
          <w:sz w:val="32"/>
          <w:szCs w:val="32"/>
        </w:rPr>
        <w:t>主动接受财政监督。严格落实市财政局相关要求，及时报送工作信息，提供预决算、资金支出等财务报表，主动接受财政监督。</w:t>
      </w:r>
    </w:p>
    <w:p w:rsidR="00C91ED0" w:rsidRDefault="001C5ABB">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lastRenderedPageBreak/>
        <w:t>四、评价结论及建议</w:t>
      </w:r>
    </w:p>
    <w:p w:rsidR="00C91ED0" w:rsidRDefault="001C5ABB">
      <w:pPr>
        <w:widowControl/>
        <w:adjustRightInd w:val="0"/>
        <w:snapToGrid w:val="0"/>
        <w:spacing w:line="580" w:lineRule="exact"/>
        <w:ind w:firstLineChars="200" w:firstLine="643"/>
        <w:contextualSpacing/>
        <w:jc w:val="left"/>
        <w:rPr>
          <w:rFonts w:ascii="楷体_GB2312" w:eastAsia="楷体_GB2312" w:hAnsi="宋体" w:cs="宋体"/>
          <w:b/>
          <w:color w:val="000000"/>
          <w:kern w:val="0"/>
          <w:sz w:val="32"/>
          <w:szCs w:val="32"/>
          <w:shd w:val="clear" w:color="auto" w:fill="FFFFFF"/>
          <w:lang w:val="zh-CN"/>
        </w:rPr>
      </w:pPr>
      <w:r>
        <w:rPr>
          <w:rFonts w:ascii="楷体_GB2312" w:eastAsia="楷体_GB2312" w:hAnsi="楷体_GB2312" w:cs="楷体_GB2312" w:hint="eastAsia"/>
          <w:b/>
          <w:bCs/>
          <w:color w:val="000000"/>
          <w:sz w:val="32"/>
          <w:szCs w:val="32"/>
          <w:shd w:val="clear" w:color="auto" w:fill="FFFFFF"/>
        </w:rPr>
        <w:t>(一)</w:t>
      </w:r>
      <w:r>
        <w:rPr>
          <w:rFonts w:ascii="楷体_GB2312" w:eastAsia="楷体_GB2312" w:hAnsi="宋体" w:cs="宋体" w:hint="eastAsia"/>
          <w:b/>
          <w:color w:val="000000"/>
          <w:kern w:val="0"/>
          <w:sz w:val="32"/>
          <w:szCs w:val="32"/>
          <w:shd w:val="clear" w:color="auto" w:fill="FFFFFF"/>
          <w:lang w:val="zh-CN"/>
        </w:rPr>
        <w:t>评价结论</w:t>
      </w:r>
    </w:p>
    <w:p w:rsidR="00C91ED0" w:rsidRDefault="001C5ABB">
      <w:pPr>
        <w:widowControl/>
        <w:adjustRightInd w:val="0"/>
        <w:snapToGrid w:val="0"/>
        <w:spacing w:line="580" w:lineRule="exact"/>
        <w:ind w:firstLineChars="200" w:firstLine="640"/>
        <w:contextualSpacing/>
        <w:jc w:val="left"/>
        <w:rPr>
          <w:rFonts w:ascii="楷体_GB2312" w:eastAsia="楷体_GB2312" w:hAnsi="宋体" w:cs="宋体"/>
          <w:color w:val="000000"/>
          <w:kern w:val="0"/>
          <w:sz w:val="32"/>
          <w:szCs w:val="32"/>
          <w:shd w:val="clear" w:color="auto" w:fill="FFFFFF"/>
          <w:lang w:val="zh-CN"/>
        </w:rPr>
      </w:pPr>
      <w:r>
        <w:rPr>
          <w:rFonts w:ascii="仿宋_GB2312" w:eastAsia="仿宋_GB2312" w:hAnsi="仿宋_GB2312" w:cs="仿宋_GB2312" w:hint="eastAsia"/>
          <w:kern w:val="0"/>
          <w:sz w:val="32"/>
          <w:szCs w:val="32"/>
        </w:rPr>
        <w:t>对照《2020年市级部门整体支出绩效评价指标体系》的7个评价项目，通过自评打分，市中心2019年整体支出绩效评价为优秀。</w:t>
      </w:r>
    </w:p>
    <w:p w:rsidR="00C91ED0" w:rsidRDefault="001C5ABB">
      <w:pPr>
        <w:widowControl/>
        <w:adjustRightInd w:val="0"/>
        <w:snapToGrid w:val="0"/>
        <w:spacing w:line="580" w:lineRule="exact"/>
        <w:ind w:firstLineChars="200" w:firstLine="643"/>
        <w:contextualSpacing/>
        <w:jc w:val="left"/>
        <w:rPr>
          <w:rFonts w:ascii="楷体_GB2312" w:eastAsia="楷体_GB2312" w:hAnsi="宋体" w:cs="宋体"/>
          <w:b/>
          <w:color w:val="000000"/>
          <w:kern w:val="0"/>
          <w:sz w:val="32"/>
          <w:szCs w:val="32"/>
          <w:shd w:val="clear" w:color="auto" w:fill="FFFFFF"/>
          <w:lang w:val="zh-CN"/>
        </w:rPr>
      </w:pPr>
      <w:r>
        <w:rPr>
          <w:rFonts w:ascii="楷体_GB2312" w:eastAsia="楷体_GB2312" w:hAnsi="楷体_GB2312" w:cs="楷体_GB2312" w:hint="eastAsia"/>
          <w:b/>
          <w:bCs/>
          <w:color w:val="000000"/>
          <w:sz w:val="32"/>
          <w:szCs w:val="32"/>
          <w:shd w:val="clear" w:color="auto" w:fill="FFFFFF"/>
        </w:rPr>
        <w:t>(二)</w:t>
      </w:r>
      <w:r>
        <w:rPr>
          <w:rFonts w:ascii="楷体_GB2312" w:eastAsia="楷体_GB2312" w:hAnsi="宋体" w:cs="宋体" w:hint="eastAsia"/>
          <w:b/>
          <w:color w:val="000000"/>
          <w:kern w:val="0"/>
          <w:sz w:val="32"/>
          <w:szCs w:val="32"/>
          <w:shd w:val="clear" w:color="auto" w:fill="FFFFFF"/>
          <w:lang w:val="zh-CN"/>
        </w:rPr>
        <w:t>存在问题</w:t>
      </w:r>
    </w:p>
    <w:p w:rsidR="00C91ED0" w:rsidRDefault="001C5ABB">
      <w:pPr>
        <w:spacing w:line="520" w:lineRule="exact"/>
        <w:ind w:firstLineChars="200" w:firstLine="640"/>
        <w:rPr>
          <w:rFonts w:ascii="仿宋_GB2312" w:eastAsia="仿宋_GB2312" w:hAnsi="仿宋_GB2312" w:cs="仿宋_GB2312"/>
          <w:sz w:val="32"/>
          <w:szCs w:val="32"/>
        </w:rPr>
      </w:pPr>
      <w:r>
        <w:rPr>
          <w:rFonts w:eastAsia="仿宋_GB2312" w:hint="eastAsia"/>
          <w:sz w:val="32"/>
          <w:szCs w:val="32"/>
        </w:rPr>
        <w:t>2019</w:t>
      </w:r>
      <w:r>
        <w:rPr>
          <w:rFonts w:eastAsia="仿宋_GB2312" w:hint="eastAsia"/>
          <w:sz w:val="32"/>
          <w:szCs w:val="32"/>
        </w:rPr>
        <w:t>年，市中心</w:t>
      </w:r>
      <w:r>
        <w:rPr>
          <w:rFonts w:ascii="仿宋_GB2312" w:eastAsia="仿宋_GB2312" w:hAnsi="仿宋_GB2312" w:cs="仿宋_GB2312" w:hint="eastAsia"/>
          <w:sz w:val="32"/>
          <w:szCs w:val="32"/>
        </w:rPr>
        <w:t>整体支出绩效评价全面完成任务成效明显。但也存在一些不足之处，</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个别项目绩效指标不够具体、无法量化，以致在绩效自评时无法定量考核，难以同数据体现项目绩效。</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个别项目存在跨年度支付或实施。如，</w:t>
      </w:r>
      <w:r>
        <w:rPr>
          <w:rFonts w:ascii="仿宋_GB2312" w:eastAsia="仿宋_GB2312" w:hAnsi="楷体_GB2312" w:cs="楷体_GB2312" w:hint="eastAsia"/>
          <w:bCs/>
          <w:sz w:val="32"/>
          <w:szCs w:val="32"/>
        </w:rPr>
        <w:t>“市民之家”地下停车场装修项目</w:t>
      </w:r>
      <w:r>
        <w:rPr>
          <w:rFonts w:ascii="仿宋_GB2312" w:eastAsia="仿宋_GB2312" w:hAnsi="仿宋_GB2312" w:cs="仿宋_GB2312" w:hint="eastAsia"/>
          <w:sz w:val="32"/>
          <w:szCs w:val="32"/>
        </w:rPr>
        <w:t>，因地下室进水影响需跨年度实施，只有结转至2020年支付；2019年12月份的网络运行维护费、大厅运行保障费和第四季度的“12345”政务热线平台运行维护费等，只有结转至2020年一季度支付。</w:t>
      </w:r>
    </w:p>
    <w:p w:rsidR="00C91ED0" w:rsidRDefault="001C5ABB">
      <w:pPr>
        <w:widowControl/>
        <w:adjustRightInd w:val="0"/>
        <w:snapToGrid w:val="0"/>
        <w:spacing w:line="580" w:lineRule="exact"/>
        <w:ind w:firstLineChars="200" w:firstLine="643"/>
        <w:contextualSpacing/>
        <w:jc w:val="left"/>
        <w:rPr>
          <w:rFonts w:ascii="楷体_GB2312" w:eastAsia="楷体_GB2312" w:hAnsi="宋体" w:cs="宋体"/>
          <w:b/>
          <w:color w:val="000000"/>
          <w:kern w:val="0"/>
          <w:sz w:val="32"/>
          <w:szCs w:val="32"/>
          <w:shd w:val="clear" w:color="auto" w:fill="FFFFFF"/>
          <w:lang w:val="zh-CN"/>
        </w:rPr>
      </w:pPr>
      <w:r>
        <w:rPr>
          <w:rFonts w:ascii="楷体_GB2312" w:eastAsia="楷体_GB2312" w:hAnsi="楷体_GB2312" w:cs="楷体_GB2312" w:hint="eastAsia"/>
          <w:b/>
          <w:bCs/>
          <w:color w:val="000000"/>
          <w:sz w:val="32"/>
          <w:szCs w:val="32"/>
          <w:shd w:val="clear" w:color="auto" w:fill="FFFFFF"/>
        </w:rPr>
        <w:t>(三)</w:t>
      </w:r>
      <w:r>
        <w:rPr>
          <w:rFonts w:ascii="楷体_GB2312" w:eastAsia="楷体_GB2312" w:hAnsi="宋体" w:cs="宋体" w:hint="eastAsia"/>
          <w:b/>
          <w:color w:val="000000"/>
          <w:kern w:val="0"/>
          <w:sz w:val="32"/>
          <w:szCs w:val="32"/>
          <w:shd w:val="clear" w:color="auto" w:fill="FFFFFF"/>
          <w:lang w:val="zh-CN"/>
        </w:rPr>
        <w:t>改进建议</w:t>
      </w:r>
    </w:p>
    <w:p w:rsidR="00C91ED0" w:rsidRDefault="001C5A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2020年，市中心将结合本次绩效自评结果，严格按照财经管理相关规定，对存在的问题及时整改，完善绩效考核制度，加强绩效管理意识，逐步形成完善的绩效自评制度，进一步提高财政资金使用效益。</w:t>
      </w:r>
    </w:p>
    <w:p w:rsidR="00C91ED0" w:rsidRDefault="00C91ED0">
      <w:pPr>
        <w:spacing w:line="520" w:lineRule="exact"/>
        <w:ind w:firstLineChars="200" w:firstLine="640"/>
        <w:rPr>
          <w:rFonts w:ascii="仿宋_GB2312" w:eastAsia="仿宋_GB2312" w:hAnsi="仿宋_GB2312" w:cs="仿宋_GB2312"/>
          <w:sz w:val="32"/>
          <w:szCs w:val="32"/>
        </w:rPr>
      </w:pPr>
    </w:p>
    <w:p w:rsidR="00C91ED0" w:rsidRDefault="00C91ED0">
      <w:pPr>
        <w:spacing w:line="520" w:lineRule="exact"/>
        <w:ind w:firstLineChars="200" w:firstLine="640"/>
        <w:rPr>
          <w:rFonts w:ascii="仿宋_GB2312" w:eastAsia="仿宋_GB2312" w:hAnsi="仿宋_GB2312" w:cs="仿宋_GB2312"/>
          <w:sz w:val="32"/>
          <w:szCs w:val="32"/>
        </w:rPr>
      </w:pPr>
    </w:p>
    <w:p w:rsidR="00C91ED0" w:rsidRDefault="00C91ED0">
      <w:pPr>
        <w:spacing w:line="520" w:lineRule="exact"/>
        <w:ind w:firstLineChars="200" w:firstLine="640"/>
        <w:rPr>
          <w:rFonts w:ascii="仿宋_GB2312" w:eastAsia="仿宋_GB2312" w:hAnsi="仿宋_GB2312" w:cs="仿宋_GB2312"/>
          <w:sz w:val="32"/>
          <w:szCs w:val="32"/>
        </w:rPr>
      </w:pPr>
    </w:p>
    <w:p w:rsidR="00C91ED0" w:rsidRDefault="00C91ED0">
      <w:pPr>
        <w:spacing w:line="520" w:lineRule="exact"/>
        <w:ind w:firstLineChars="200" w:firstLine="640"/>
        <w:rPr>
          <w:rFonts w:ascii="仿宋_GB2312" w:eastAsia="仿宋_GB2312" w:hAnsi="仿宋_GB2312" w:cs="仿宋_GB2312"/>
          <w:sz w:val="32"/>
          <w:szCs w:val="32"/>
        </w:rPr>
      </w:pPr>
    </w:p>
    <w:p w:rsidR="00C91ED0" w:rsidRDefault="00C91ED0">
      <w:pPr>
        <w:spacing w:line="520" w:lineRule="exact"/>
        <w:ind w:firstLineChars="200" w:firstLine="640"/>
        <w:rPr>
          <w:rFonts w:ascii="仿宋_GB2312" w:eastAsia="仿宋_GB2312" w:hAnsi="仿宋_GB2312" w:cs="仿宋_GB2312"/>
          <w:sz w:val="32"/>
          <w:szCs w:val="32"/>
        </w:rPr>
      </w:pPr>
    </w:p>
    <w:p w:rsidR="00C91ED0" w:rsidRDefault="00C91ED0">
      <w:pPr>
        <w:spacing w:line="520" w:lineRule="exact"/>
        <w:ind w:firstLineChars="200" w:firstLine="640"/>
        <w:rPr>
          <w:rFonts w:ascii="仿宋_GB2312" w:eastAsia="仿宋_GB2312" w:hAnsi="仿宋_GB2312" w:cs="仿宋_GB2312"/>
          <w:sz w:val="32"/>
          <w:szCs w:val="32"/>
        </w:rPr>
      </w:pPr>
    </w:p>
    <w:p w:rsidR="00C91ED0" w:rsidRDefault="00C91ED0">
      <w:pPr>
        <w:spacing w:line="520" w:lineRule="exact"/>
        <w:ind w:firstLineChars="200" w:firstLine="640"/>
        <w:rPr>
          <w:rFonts w:ascii="仿宋_GB2312" w:eastAsia="仿宋_GB2312" w:hAnsi="仿宋_GB2312" w:cs="仿宋_GB2312"/>
          <w:sz w:val="32"/>
          <w:szCs w:val="32"/>
        </w:rPr>
      </w:pPr>
    </w:p>
    <w:p w:rsidR="00C91ED0" w:rsidRDefault="00C91ED0">
      <w:pPr>
        <w:spacing w:line="520" w:lineRule="exact"/>
        <w:ind w:firstLineChars="200" w:firstLine="640"/>
        <w:rPr>
          <w:rFonts w:ascii="仿宋_GB2312" w:eastAsia="仿宋_GB2312" w:hAnsi="仿宋_GB2312" w:cs="仿宋_GB2312"/>
          <w:sz w:val="32"/>
          <w:szCs w:val="32"/>
        </w:rPr>
      </w:pPr>
    </w:p>
    <w:p w:rsidR="00C91ED0" w:rsidRDefault="00C91ED0">
      <w:pPr>
        <w:spacing w:line="520" w:lineRule="exact"/>
        <w:ind w:firstLineChars="200" w:firstLine="640"/>
        <w:rPr>
          <w:rFonts w:ascii="仿宋_GB2312" w:eastAsia="仿宋_GB2312" w:hAnsi="仿宋_GB2312" w:cs="仿宋_GB2312"/>
          <w:sz w:val="32"/>
          <w:szCs w:val="32"/>
        </w:rPr>
      </w:pPr>
    </w:p>
    <w:p w:rsidR="00C91ED0" w:rsidRDefault="001C5ABB">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附件2</w:t>
      </w:r>
    </w:p>
    <w:p w:rsidR="00C91ED0" w:rsidRDefault="00C91ED0">
      <w:pPr>
        <w:spacing w:line="580" w:lineRule="exact"/>
        <w:ind w:firstLineChars="200" w:firstLine="640"/>
        <w:rPr>
          <w:rFonts w:ascii="仿宋_GB2312" w:eastAsia="仿宋_GB2312" w:hAnsi="仿宋_GB2312" w:cs="仿宋_GB2312"/>
          <w:sz w:val="32"/>
          <w:szCs w:val="32"/>
        </w:rPr>
      </w:pPr>
    </w:p>
    <w:p w:rsidR="00C91ED0" w:rsidRDefault="001C5ABB">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巴中市政务服务和公共资源交易服务中心发展类</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hint="eastAsia"/>
          <w:color w:val="000000"/>
          <w:kern w:val="0"/>
          <w:sz w:val="44"/>
          <w:szCs w:val="44"/>
        </w:rPr>
        <w:t>2019年</w:t>
      </w:r>
      <w:r>
        <w:rPr>
          <w:rFonts w:ascii="方正小标宋简体" w:eastAsia="方正小标宋简体" w:hAnsi="宋体" w:hint="eastAsia"/>
          <w:color w:val="000000"/>
          <w:kern w:val="0"/>
          <w:sz w:val="44"/>
          <w:szCs w:val="44"/>
          <w:lang w:val="zh-CN"/>
        </w:rPr>
        <w:t>绩效评价报告</w:t>
      </w:r>
    </w:p>
    <w:p w:rsidR="00C91ED0" w:rsidRDefault="00C91ED0">
      <w:pPr>
        <w:spacing w:line="600" w:lineRule="exact"/>
        <w:rPr>
          <w:rFonts w:ascii="宋体" w:hAnsi="宋体"/>
          <w:sz w:val="32"/>
          <w:szCs w:val="32"/>
          <w:lang w:val="zh-CN"/>
        </w:rPr>
      </w:pPr>
    </w:p>
    <w:p w:rsidR="00C91ED0" w:rsidRDefault="001C5ABB">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C91ED0" w:rsidRDefault="001C5AB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楷体_GB2312" w:cs="楷体_GB2312" w:hint="eastAsia"/>
          <w:b/>
          <w:bCs/>
          <w:color w:val="000000"/>
          <w:sz w:val="32"/>
          <w:szCs w:val="32"/>
          <w:shd w:val="clear" w:color="auto" w:fill="FFFFFF"/>
        </w:rPr>
        <w:t>(一)</w:t>
      </w:r>
      <w:r>
        <w:rPr>
          <w:rFonts w:ascii="楷体_GB2312" w:eastAsia="楷体_GB2312" w:hAnsi="宋体" w:hint="eastAsia"/>
          <w:b/>
          <w:sz w:val="32"/>
          <w:szCs w:val="32"/>
          <w:lang w:val="zh-CN"/>
        </w:rPr>
        <w:t>项目基本情况。</w:t>
      </w:r>
    </w:p>
    <w:p w:rsidR="00C91ED0" w:rsidRDefault="001C5ABB">
      <w:pPr>
        <w:shd w:val="clear" w:color="auto" w:fill="FFFFFF"/>
        <w:spacing w:line="560" w:lineRule="exact"/>
        <w:ind w:firstLine="645"/>
        <w:rPr>
          <w:rFonts w:ascii="仿宋_GB2312" w:eastAsia="仿宋_GB2312" w:hAnsi="楷体_GB2312" w:cs="楷体_GB2312"/>
          <w:bCs/>
          <w:color w:val="000000"/>
          <w:sz w:val="32"/>
          <w:szCs w:val="32"/>
          <w:shd w:val="clear" w:color="auto" w:fill="FFFFFF"/>
        </w:rPr>
      </w:pPr>
      <w:r>
        <w:rPr>
          <w:rFonts w:ascii="仿宋_GB2312" w:eastAsia="仿宋_GB2312" w:hAnsi="楷体_GB2312" w:cs="楷体_GB2312" w:hint="eastAsia"/>
          <w:bCs/>
          <w:color w:val="000000"/>
          <w:sz w:val="32"/>
          <w:szCs w:val="32"/>
          <w:shd w:val="clear" w:color="auto" w:fill="FFFFFF"/>
        </w:rPr>
        <w:t>2019年申报5个重点项目，其中：</w:t>
      </w:r>
    </w:p>
    <w:p w:rsidR="00C91ED0" w:rsidRDefault="001C5ABB">
      <w:pPr>
        <w:shd w:val="clear" w:color="auto" w:fill="FFFFFF"/>
        <w:spacing w:line="560" w:lineRule="exact"/>
        <w:ind w:firstLine="645"/>
        <w:rPr>
          <w:rFonts w:ascii="仿宋_GB2312" w:eastAsia="仿宋_GB2312" w:hAnsi="楷体_GB2312" w:cs="楷体_GB2312"/>
          <w:bCs/>
          <w:color w:val="000000"/>
          <w:sz w:val="32"/>
          <w:szCs w:val="32"/>
          <w:shd w:val="clear" w:color="auto" w:fill="FFFFFF"/>
        </w:rPr>
      </w:pPr>
      <w:r>
        <w:rPr>
          <w:rFonts w:ascii="仿宋_GB2312" w:eastAsia="仿宋_GB2312" w:hAnsi="楷体_GB2312" w:cs="楷体_GB2312" w:hint="eastAsia"/>
          <w:bCs/>
          <w:color w:val="000000"/>
          <w:sz w:val="32"/>
          <w:szCs w:val="32"/>
          <w:shd w:val="clear" w:color="auto" w:fill="FFFFFF"/>
        </w:rPr>
        <w:t>1.“市民之家”标识标牌制作项目，根据市委市政府领导批示及巴财预</w:t>
      </w:r>
      <w:r>
        <w:rPr>
          <w:rFonts w:ascii="仿宋_GB2312" w:eastAsia="仿宋_GB2312" w:hAnsi="宋体" w:cs="楷体_GB2312" w:hint="eastAsia"/>
          <w:bCs/>
          <w:color w:val="000000"/>
          <w:sz w:val="32"/>
          <w:szCs w:val="32"/>
          <w:shd w:val="clear" w:color="auto" w:fill="FFFFFF"/>
        </w:rPr>
        <w:t>〔2019〕1号、巴财〔综〕第43号文件要求，</w:t>
      </w:r>
      <w:r>
        <w:rPr>
          <w:rFonts w:ascii="仿宋_GB2312" w:eastAsia="仿宋_GB2312" w:hAnsi="楷体_GB2312" w:cs="楷体_GB2312" w:hint="eastAsia"/>
          <w:bCs/>
          <w:color w:val="000000"/>
          <w:sz w:val="32"/>
          <w:szCs w:val="32"/>
          <w:shd w:val="clear" w:color="auto" w:fill="FFFFFF"/>
        </w:rPr>
        <w:t>申报一般公共预算资金30万元，财政批复30万元。</w:t>
      </w:r>
    </w:p>
    <w:p w:rsidR="00C91ED0" w:rsidRDefault="001C5ABB">
      <w:pPr>
        <w:shd w:val="clear" w:color="auto" w:fill="FFFFFF"/>
        <w:spacing w:line="560" w:lineRule="exact"/>
        <w:ind w:firstLine="645"/>
        <w:rPr>
          <w:rFonts w:ascii="仿宋_GB2312" w:eastAsia="仿宋_GB2312" w:hAnsi="宋体" w:cs="楷体_GB2312"/>
          <w:bCs/>
          <w:color w:val="000000"/>
          <w:sz w:val="32"/>
          <w:szCs w:val="32"/>
          <w:shd w:val="clear" w:color="auto" w:fill="FFFFFF"/>
        </w:rPr>
      </w:pPr>
      <w:r>
        <w:rPr>
          <w:rFonts w:ascii="仿宋_GB2312" w:eastAsia="仿宋_GB2312" w:hAnsi="楷体_GB2312" w:cs="楷体_GB2312" w:hint="eastAsia"/>
          <w:bCs/>
          <w:sz w:val="32"/>
          <w:szCs w:val="32"/>
        </w:rPr>
        <w:t>2.“市民之家”窗帘制作项目，</w:t>
      </w:r>
      <w:r>
        <w:rPr>
          <w:rFonts w:ascii="仿宋_GB2312" w:eastAsia="仿宋_GB2312" w:hAnsi="楷体_GB2312" w:cs="楷体_GB2312" w:hint="eastAsia"/>
          <w:bCs/>
          <w:color w:val="000000"/>
          <w:sz w:val="32"/>
          <w:szCs w:val="32"/>
          <w:shd w:val="clear" w:color="auto" w:fill="FFFFFF"/>
        </w:rPr>
        <w:t>根据市委市政府领导批示及巴财预</w:t>
      </w:r>
      <w:r>
        <w:rPr>
          <w:rFonts w:ascii="仿宋_GB2312" w:eastAsia="仿宋_GB2312" w:hAnsi="宋体" w:cs="楷体_GB2312" w:hint="eastAsia"/>
          <w:bCs/>
          <w:color w:val="000000"/>
          <w:sz w:val="32"/>
          <w:szCs w:val="32"/>
          <w:shd w:val="clear" w:color="auto" w:fill="FFFFFF"/>
        </w:rPr>
        <w:t>〔2019〕1号、巴财〔综〕第44号文件要求，申报一般公共预算资金18万元，财政批复15.77万元。</w:t>
      </w:r>
    </w:p>
    <w:p w:rsidR="00C91ED0" w:rsidRDefault="001C5ABB">
      <w:pPr>
        <w:shd w:val="clear" w:color="auto" w:fill="FFFFFF"/>
        <w:spacing w:line="560" w:lineRule="exact"/>
        <w:ind w:firstLine="645"/>
        <w:rPr>
          <w:rFonts w:ascii="仿宋_GB2312" w:eastAsia="仿宋_GB2312" w:hAnsi="宋体" w:cs="楷体_GB2312"/>
          <w:bCs/>
          <w:color w:val="000000"/>
          <w:sz w:val="32"/>
          <w:szCs w:val="32"/>
          <w:shd w:val="clear" w:color="auto" w:fill="FFFFFF"/>
        </w:rPr>
      </w:pPr>
      <w:r>
        <w:rPr>
          <w:rFonts w:ascii="仿宋_GB2312" w:eastAsia="仿宋_GB2312" w:hAnsi="宋体" w:cs="楷体_GB2312" w:hint="eastAsia"/>
          <w:bCs/>
          <w:color w:val="000000"/>
          <w:sz w:val="32"/>
          <w:szCs w:val="32"/>
          <w:shd w:val="clear" w:color="auto" w:fill="FFFFFF"/>
        </w:rPr>
        <w:t>3.</w:t>
      </w:r>
      <w:r w:rsidR="0023004F">
        <w:rPr>
          <w:rFonts w:ascii="仿宋_GB2312" w:eastAsia="仿宋_GB2312" w:hAnsi="楷体_GB2312" w:cs="楷体_GB2312" w:hint="eastAsia"/>
          <w:bCs/>
          <w:sz w:val="32"/>
          <w:szCs w:val="32"/>
        </w:rPr>
        <w:t>服务外来投资企业及开展项目帮办代办费用</w:t>
      </w:r>
      <w:r>
        <w:rPr>
          <w:rFonts w:ascii="仿宋_GB2312" w:eastAsia="仿宋_GB2312" w:hAnsi="楷体_GB2312" w:cs="楷体_GB2312" w:hint="eastAsia"/>
          <w:bCs/>
          <w:sz w:val="32"/>
          <w:szCs w:val="32"/>
        </w:rPr>
        <w:t>项目，根据</w:t>
      </w:r>
      <w:r>
        <w:rPr>
          <w:rFonts w:ascii="仿宋_GB2312" w:eastAsia="仿宋_GB2312" w:hAnsi="楷体_GB2312" w:cs="楷体_GB2312" w:hint="eastAsia"/>
          <w:bCs/>
          <w:color w:val="000000"/>
          <w:sz w:val="32"/>
          <w:szCs w:val="32"/>
          <w:shd w:val="clear" w:color="auto" w:fill="FFFFFF"/>
        </w:rPr>
        <w:t>巴财预</w:t>
      </w:r>
      <w:r w:rsidR="00C20412">
        <w:rPr>
          <w:rFonts w:ascii="仿宋_GB2312" w:eastAsia="仿宋_GB2312" w:hAnsi="楷体_GB2312" w:cs="楷体_GB2312" w:hint="eastAsia"/>
          <w:bCs/>
          <w:color w:val="000000"/>
          <w:sz w:val="32"/>
          <w:szCs w:val="32"/>
          <w:shd w:val="clear" w:color="auto" w:fill="FFFFFF"/>
        </w:rPr>
        <w:t>项</w:t>
      </w:r>
      <w:r>
        <w:rPr>
          <w:rFonts w:ascii="仿宋_GB2312" w:eastAsia="仿宋_GB2312" w:hAnsi="宋体" w:cs="楷体_GB2312" w:hint="eastAsia"/>
          <w:bCs/>
          <w:color w:val="000000"/>
          <w:sz w:val="32"/>
          <w:szCs w:val="32"/>
          <w:shd w:val="clear" w:color="auto" w:fill="FFFFFF"/>
        </w:rPr>
        <w:t>〔2019〕1</w:t>
      </w:r>
      <w:r w:rsidR="00C20412">
        <w:rPr>
          <w:rFonts w:ascii="仿宋_GB2312" w:eastAsia="仿宋_GB2312" w:hAnsi="宋体" w:cs="楷体_GB2312" w:hint="eastAsia"/>
          <w:bCs/>
          <w:color w:val="000000"/>
          <w:sz w:val="32"/>
          <w:szCs w:val="32"/>
          <w:shd w:val="clear" w:color="auto" w:fill="FFFFFF"/>
        </w:rPr>
        <w:t>7</w:t>
      </w:r>
      <w:r>
        <w:rPr>
          <w:rFonts w:ascii="仿宋_GB2312" w:eastAsia="仿宋_GB2312" w:hAnsi="宋体" w:cs="楷体_GB2312" w:hint="eastAsia"/>
          <w:bCs/>
          <w:color w:val="000000"/>
          <w:sz w:val="32"/>
          <w:szCs w:val="32"/>
          <w:shd w:val="clear" w:color="auto" w:fill="FFFFFF"/>
        </w:rPr>
        <w:t>号文件要求，申报一般公共预算资金</w:t>
      </w:r>
      <w:r w:rsidR="0023004F">
        <w:rPr>
          <w:rFonts w:ascii="仿宋_GB2312" w:eastAsia="仿宋_GB2312" w:hAnsi="宋体" w:cs="楷体_GB2312" w:hint="eastAsia"/>
          <w:bCs/>
          <w:color w:val="000000"/>
          <w:sz w:val="32"/>
          <w:szCs w:val="32"/>
          <w:shd w:val="clear" w:color="auto" w:fill="FFFFFF"/>
        </w:rPr>
        <w:t>5</w:t>
      </w:r>
      <w:r>
        <w:rPr>
          <w:rFonts w:ascii="仿宋_GB2312" w:eastAsia="仿宋_GB2312" w:hAnsi="宋体" w:cs="楷体_GB2312" w:hint="eastAsia"/>
          <w:bCs/>
          <w:color w:val="000000"/>
          <w:sz w:val="32"/>
          <w:szCs w:val="32"/>
          <w:shd w:val="clear" w:color="auto" w:fill="FFFFFF"/>
        </w:rPr>
        <w:t>万元，财政批复</w:t>
      </w:r>
      <w:r w:rsidR="0023004F">
        <w:rPr>
          <w:rFonts w:ascii="仿宋_GB2312" w:eastAsia="仿宋_GB2312" w:hAnsi="宋体" w:cs="楷体_GB2312" w:hint="eastAsia"/>
          <w:bCs/>
          <w:color w:val="000000"/>
          <w:sz w:val="32"/>
          <w:szCs w:val="32"/>
          <w:shd w:val="clear" w:color="auto" w:fill="FFFFFF"/>
        </w:rPr>
        <w:t>5</w:t>
      </w:r>
      <w:r>
        <w:rPr>
          <w:rFonts w:ascii="仿宋_GB2312" w:eastAsia="仿宋_GB2312" w:hAnsi="宋体" w:cs="楷体_GB2312" w:hint="eastAsia"/>
          <w:bCs/>
          <w:color w:val="000000"/>
          <w:sz w:val="32"/>
          <w:szCs w:val="32"/>
          <w:shd w:val="clear" w:color="auto" w:fill="FFFFFF"/>
        </w:rPr>
        <w:t>万元。</w:t>
      </w:r>
    </w:p>
    <w:p w:rsidR="00C91ED0" w:rsidRDefault="001C5ABB">
      <w:pPr>
        <w:shd w:val="clear" w:color="auto" w:fill="FFFFFF"/>
        <w:spacing w:line="560" w:lineRule="exact"/>
        <w:ind w:firstLine="645"/>
        <w:rPr>
          <w:rFonts w:ascii="仿宋_GB2312" w:eastAsia="仿宋_GB2312" w:hAnsi="宋体" w:cs="楷体_GB2312"/>
          <w:bCs/>
          <w:color w:val="000000"/>
          <w:sz w:val="32"/>
          <w:szCs w:val="32"/>
          <w:shd w:val="clear" w:color="auto" w:fill="FFFFFF"/>
        </w:rPr>
      </w:pPr>
      <w:r>
        <w:rPr>
          <w:rFonts w:ascii="仿宋_GB2312" w:eastAsia="仿宋_GB2312" w:hAnsi="宋体" w:cs="楷体_GB2312" w:hint="eastAsia"/>
          <w:bCs/>
          <w:color w:val="000000"/>
          <w:sz w:val="32"/>
          <w:szCs w:val="32"/>
          <w:shd w:val="clear" w:color="auto" w:fill="FFFFFF"/>
        </w:rPr>
        <w:lastRenderedPageBreak/>
        <w:t>4.“12345”市民热线平台运行维护费项目，根据市委市政府会议决定及巴财预项〔2019〕15号文件要求，申报一般公共预算资金300万元，财政批复300万元。</w:t>
      </w:r>
    </w:p>
    <w:p w:rsidR="00C91ED0" w:rsidRPr="0023004F" w:rsidRDefault="001C5ABB" w:rsidP="0023004F">
      <w:pPr>
        <w:shd w:val="clear" w:color="auto" w:fill="FFFFFF"/>
        <w:spacing w:line="560" w:lineRule="exact"/>
        <w:ind w:firstLine="645"/>
        <w:rPr>
          <w:rFonts w:ascii="仿宋_GB2312" w:eastAsia="仿宋_GB2312" w:hAnsi="宋体" w:cs="楷体_GB2312"/>
          <w:bCs/>
          <w:color w:val="000000"/>
          <w:sz w:val="32"/>
          <w:szCs w:val="32"/>
          <w:shd w:val="clear" w:color="auto" w:fill="FFFFFF"/>
        </w:rPr>
      </w:pPr>
      <w:r>
        <w:rPr>
          <w:rFonts w:ascii="仿宋_GB2312" w:eastAsia="仿宋_GB2312" w:hAnsi="宋体" w:cs="楷体_GB2312" w:hint="eastAsia"/>
          <w:bCs/>
          <w:color w:val="000000"/>
          <w:sz w:val="32"/>
          <w:szCs w:val="32"/>
          <w:shd w:val="clear" w:color="auto" w:fill="FFFFFF"/>
        </w:rPr>
        <w:t>5.</w:t>
      </w:r>
      <w:r>
        <w:rPr>
          <w:rFonts w:ascii="仿宋_GB2312" w:eastAsia="仿宋_GB2312" w:hAnsi="楷体_GB2312" w:cs="楷体_GB2312" w:hint="eastAsia"/>
          <w:bCs/>
          <w:sz w:val="32"/>
          <w:szCs w:val="32"/>
        </w:rPr>
        <w:t xml:space="preserve"> “市民之家”并联审批工作经费项目，根据</w:t>
      </w:r>
      <w:r>
        <w:rPr>
          <w:rFonts w:ascii="仿宋_GB2312" w:eastAsia="仿宋_GB2312" w:hAnsi="楷体_GB2312" w:cs="楷体_GB2312" w:hint="eastAsia"/>
          <w:bCs/>
          <w:color w:val="000000"/>
          <w:sz w:val="32"/>
          <w:szCs w:val="32"/>
          <w:shd w:val="clear" w:color="auto" w:fill="FFFFFF"/>
        </w:rPr>
        <w:t>巴财预项</w:t>
      </w:r>
      <w:r>
        <w:rPr>
          <w:rFonts w:ascii="仿宋_GB2312" w:eastAsia="仿宋_GB2312" w:hAnsi="宋体" w:cs="楷体_GB2312" w:hint="eastAsia"/>
          <w:bCs/>
          <w:color w:val="000000"/>
          <w:sz w:val="32"/>
          <w:szCs w:val="32"/>
          <w:shd w:val="clear" w:color="auto" w:fill="FFFFFF"/>
        </w:rPr>
        <w:t>〔2019〕2号文件要求，申报一般公共预算资金5万元，财政批复5万元。以上5个重点项目严格按照预算资金实施，合理合规使用资金，较好的完成项目实施。</w:t>
      </w:r>
    </w:p>
    <w:p w:rsidR="00C91ED0" w:rsidRDefault="001C5AB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楷体_GB2312" w:cs="楷体_GB2312" w:hint="eastAsia"/>
          <w:b/>
          <w:bCs/>
          <w:color w:val="000000"/>
          <w:sz w:val="32"/>
          <w:szCs w:val="32"/>
          <w:shd w:val="clear" w:color="auto" w:fill="FFFFFF"/>
        </w:rPr>
        <w:t>(二)</w:t>
      </w:r>
      <w:r>
        <w:rPr>
          <w:rFonts w:ascii="楷体_GB2312" w:eastAsia="楷体_GB2312" w:hAnsi="宋体" w:hint="eastAsia"/>
          <w:b/>
          <w:sz w:val="32"/>
          <w:szCs w:val="32"/>
          <w:lang w:val="zh-CN"/>
        </w:rPr>
        <w:t>项目绩效目标。</w:t>
      </w:r>
    </w:p>
    <w:p w:rsidR="00C91ED0" w:rsidRDefault="001C5A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2019年，市中心申报并被市财政批复的5个发展类项目严格按照上级要求和工作需要，详细制定了年度总体目标，细化量化绩效指标</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其中：</w:t>
      </w:r>
    </w:p>
    <w:p w:rsidR="00C91ED0" w:rsidRDefault="001C5A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1.“市民之家”标识标牌制作项目，在“市民之家”制作大型标识牌、总平面展示、楼层索引、标识标牌、地下停车场指示等256个，为办事企业和群众提供清晰指引，更加方便群众办事。</w:t>
      </w:r>
    </w:p>
    <w:p w:rsidR="00C91ED0" w:rsidRDefault="001C5ABB">
      <w:pPr>
        <w:spacing w:line="560" w:lineRule="exact"/>
        <w:ind w:firstLineChars="200" w:firstLine="640"/>
        <w:rPr>
          <w:rFonts w:ascii="仿宋_GB2312" w:eastAsia="仿宋_GB2312" w:hAnsi="楷体_GB2312" w:cs="楷体_GB2312"/>
          <w:bCs/>
          <w:sz w:val="32"/>
          <w:szCs w:val="32"/>
        </w:rPr>
      </w:pPr>
      <w:r>
        <w:rPr>
          <w:rFonts w:ascii="仿宋_GB2312" w:eastAsia="仿宋_GB2312" w:hAnsi="仿宋_GB2312" w:cs="仿宋_GB2312" w:hint="eastAsia"/>
          <w:sz w:val="32"/>
          <w:szCs w:val="32"/>
        </w:rPr>
        <w:t>2.</w:t>
      </w:r>
      <w:r>
        <w:rPr>
          <w:rFonts w:ascii="仿宋_GB2312" w:eastAsia="仿宋_GB2312" w:hAnsi="楷体_GB2312" w:cs="楷体_GB2312" w:hint="eastAsia"/>
          <w:bCs/>
          <w:sz w:val="32"/>
          <w:szCs w:val="32"/>
        </w:rPr>
        <w:t>“市民之家”窗帘制作项目，在“市民之家”制作安装窗帘235幅，为办事企业群众和窗口工作人员提供良好的办公和服务环境。</w:t>
      </w:r>
    </w:p>
    <w:p w:rsidR="00C91ED0" w:rsidRDefault="001C5ABB">
      <w:pPr>
        <w:spacing w:line="560" w:lineRule="exact"/>
        <w:ind w:firstLineChars="200" w:firstLine="640"/>
        <w:rPr>
          <w:rFonts w:ascii="仿宋_GB2312" w:eastAsia="仿宋_GB2312" w:hAnsi="仿宋_GB2312" w:cs="仿宋_GB2312"/>
          <w:sz w:val="32"/>
          <w:szCs w:val="32"/>
        </w:rPr>
      </w:pPr>
      <w:r>
        <w:rPr>
          <w:rFonts w:ascii="仿宋_GB2312" w:eastAsia="仿宋_GB2312" w:hAnsi="楷体_GB2312" w:cs="楷体_GB2312" w:hint="eastAsia"/>
          <w:bCs/>
          <w:sz w:val="32"/>
          <w:szCs w:val="32"/>
        </w:rPr>
        <w:t>3.</w:t>
      </w:r>
      <w:r w:rsidR="0023004F" w:rsidRPr="0023004F">
        <w:rPr>
          <w:rFonts w:ascii="仿宋_GB2312" w:eastAsia="仿宋_GB2312" w:hAnsi="楷体_GB2312" w:cs="楷体_GB2312" w:hint="eastAsia"/>
          <w:bCs/>
          <w:sz w:val="32"/>
          <w:szCs w:val="32"/>
        </w:rPr>
        <w:t xml:space="preserve"> </w:t>
      </w:r>
      <w:r w:rsidR="0023004F">
        <w:rPr>
          <w:rFonts w:ascii="仿宋_GB2312" w:eastAsia="仿宋_GB2312" w:hAnsi="楷体_GB2312" w:cs="楷体_GB2312" w:hint="eastAsia"/>
          <w:bCs/>
          <w:sz w:val="32"/>
          <w:szCs w:val="32"/>
        </w:rPr>
        <w:t>服务外来投资企业及开展项目帮办代办费用项目，及时推介行政审批、金融信贷、公共服务等一站式服务，快速协调解决项目落地困难。</w:t>
      </w:r>
    </w:p>
    <w:p w:rsidR="00C91ED0" w:rsidRDefault="001C5ABB">
      <w:pPr>
        <w:shd w:val="clear" w:color="auto" w:fill="FFFFFF"/>
        <w:spacing w:line="560" w:lineRule="exact"/>
        <w:ind w:firstLine="645"/>
        <w:rPr>
          <w:rFonts w:ascii="仿宋_GB2312" w:eastAsia="仿宋_GB2312" w:hAnsi="宋体" w:cs="楷体_GB2312"/>
          <w:bCs/>
          <w:color w:val="000000"/>
          <w:sz w:val="32"/>
          <w:szCs w:val="32"/>
          <w:shd w:val="clear" w:color="auto" w:fill="FFFFFF"/>
        </w:rPr>
      </w:pPr>
      <w:r>
        <w:rPr>
          <w:rFonts w:ascii="仿宋_GB2312" w:eastAsia="仿宋_GB2312" w:hAnsi="宋体" w:cs="楷体_GB2312" w:hint="eastAsia"/>
          <w:bCs/>
          <w:color w:val="000000"/>
          <w:sz w:val="32"/>
          <w:szCs w:val="32"/>
          <w:shd w:val="clear" w:color="auto" w:fill="FFFFFF"/>
        </w:rPr>
        <w:t>4.“12345”市民热线平台运行维护费项目，按照三届市政府第101次常务会议要求，打造“12345”市民热线品牌，充分</w:t>
      </w:r>
      <w:r>
        <w:rPr>
          <w:rFonts w:ascii="仿宋_GB2312" w:eastAsia="仿宋_GB2312" w:hAnsi="宋体" w:cs="楷体_GB2312" w:hint="eastAsia"/>
          <w:bCs/>
          <w:color w:val="000000"/>
          <w:sz w:val="32"/>
          <w:szCs w:val="32"/>
          <w:shd w:val="clear" w:color="auto" w:fill="FFFFFF"/>
        </w:rPr>
        <w:lastRenderedPageBreak/>
        <w:t>发挥服务热线的功能和作用，听民声、集民智、察民情、解民忧、帮民困，为群众提供高效便捷的政务服务。</w:t>
      </w:r>
    </w:p>
    <w:p w:rsidR="00C91ED0" w:rsidRDefault="001C5ABB">
      <w:pPr>
        <w:shd w:val="clear" w:color="auto" w:fill="FFFFFF"/>
        <w:spacing w:line="560" w:lineRule="exact"/>
        <w:ind w:firstLine="645"/>
        <w:rPr>
          <w:rFonts w:ascii="仿宋_GB2312" w:eastAsia="仿宋_GB2312" w:hAnsi="宋体" w:cs="楷体_GB2312"/>
          <w:bCs/>
          <w:color w:val="000000"/>
          <w:sz w:val="32"/>
          <w:szCs w:val="32"/>
          <w:shd w:val="clear" w:color="auto" w:fill="FFFFFF"/>
        </w:rPr>
      </w:pPr>
      <w:r>
        <w:rPr>
          <w:rFonts w:ascii="仿宋_GB2312" w:eastAsia="仿宋_GB2312" w:hAnsi="宋体" w:cs="楷体_GB2312" w:hint="eastAsia"/>
          <w:bCs/>
          <w:color w:val="000000"/>
          <w:sz w:val="32"/>
          <w:szCs w:val="32"/>
          <w:shd w:val="clear" w:color="auto" w:fill="FFFFFF"/>
        </w:rPr>
        <w:t>5.</w:t>
      </w:r>
      <w:r>
        <w:rPr>
          <w:rFonts w:ascii="仿宋_GB2312" w:eastAsia="仿宋_GB2312" w:hAnsi="楷体_GB2312" w:cs="楷体_GB2312" w:hint="eastAsia"/>
          <w:bCs/>
          <w:sz w:val="32"/>
          <w:szCs w:val="32"/>
        </w:rPr>
        <w:t>“市民之家”并联审批工作经费项目，完善“一站式”服务工作机制，年办结并联审批100件以上，进一步优化提升我市招商引资环境。</w:t>
      </w:r>
    </w:p>
    <w:p w:rsidR="00C91ED0" w:rsidRDefault="001C5AB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楷体_GB2312" w:cs="楷体_GB2312" w:hint="eastAsia"/>
          <w:b/>
          <w:bCs/>
          <w:sz w:val="32"/>
          <w:szCs w:val="32"/>
          <w:shd w:val="clear" w:color="auto" w:fill="FFFFFF"/>
        </w:rPr>
        <w:t>(三)</w:t>
      </w:r>
      <w:r>
        <w:rPr>
          <w:rFonts w:ascii="楷体_GB2312" w:eastAsia="楷体_GB2312" w:hAnsi="宋体" w:hint="eastAsia"/>
          <w:b/>
          <w:sz w:val="32"/>
          <w:szCs w:val="32"/>
          <w:lang w:val="zh-CN"/>
        </w:rPr>
        <w:t>项目自评步骤及方法。</w:t>
      </w:r>
    </w:p>
    <w:p w:rsidR="00C91ED0" w:rsidRDefault="001C5ABB">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hint="eastAsia"/>
          <w:sz w:val="32"/>
          <w:szCs w:val="32"/>
          <w:lang w:val="zh-CN"/>
        </w:rPr>
        <w:t>根据年初预算申报的项目支出绩效目标情况，逐一对项目绩效开展自评，涉及自评内容：三级指标、评价内容、评价标准、评价得分，汇总得分测算自评情况。</w:t>
      </w:r>
    </w:p>
    <w:p w:rsidR="00C91ED0" w:rsidRDefault="001C5ABB">
      <w:pPr>
        <w:adjustRightInd w:val="0"/>
        <w:snapToGrid w:val="0"/>
        <w:spacing w:line="600" w:lineRule="exact"/>
        <w:rPr>
          <w:rFonts w:ascii="黑体" w:eastAsia="黑体" w:hAnsi="宋体"/>
          <w:sz w:val="32"/>
          <w:szCs w:val="32"/>
        </w:rPr>
      </w:pPr>
      <w:r>
        <w:rPr>
          <w:rFonts w:ascii="仿宋_GB2312" w:eastAsia="仿宋_GB2312" w:hAnsi="宋体" w:hint="eastAsia"/>
          <w:sz w:val="32"/>
          <w:szCs w:val="32"/>
          <w:lang w:val="zh-CN"/>
        </w:rPr>
        <w:t>。</w:t>
      </w:r>
      <w:r>
        <w:rPr>
          <w:rFonts w:ascii="黑体" w:eastAsia="黑体" w:hAnsi="宋体" w:hint="eastAsia"/>
          <w:sz w:val="32"/>
          <w:szCs w:val="32"/>
        </w:rPr>
        <w:t>二、项目资金申报及使用情况</w:t>
      </w:r>
    </w:p>
    <w:p w:rsidR="00C91ED0" w:rsidRDefault="001C5AB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楷体_GB2312" w:cs="楷体_GB2312" w:hint="eastAsia"/>
          <w:b/>
          <w:bCs/>
          <w:color w:val="000000"/>
          <w:sz w:val="32"/>
          <w:szCs w:val="32"/>
          <w:shd w:val="clear" w:color="auto" w:fill="FFFFFF"/>
        </w:rPr>
        <w:t>(一)</w:t>
      </w:r>
      <w:r>
        <w:rPr>
          <w:rFonts w:ascii="楷体_GB2312" w:eastAsia="楷体_GB2312" w:hAnsi="宋体" w:hint="eastAsia"/>
          <w:b/>
          <w:sz w:val="32"/>
          <w:szCs w:val="32"/>
          <w:lang w:val="zh-CN"/>
        </w:rPr>
        <w:t>项目资金申报及批复情况。</w:t>
      </w:r>
    </w:p>
    <w:p w:rsidR="00C91ED0" w:rsidRDefault="001C5AB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2019年，市中心申报项目20个，申报项目支出预算1414.9万元。市财政批复重点类项目5个，批复项目资金3</w:t>
      </w:r>
      <w:r w:rsidR="004E3483">
        <w:rPr>
          <w:rFonts w:ascii="仿宋_GB2312" w:eastAsia="仿宋_GB2312" w:hAnsi="仿宋_GB2312" w:cs="仿宋_GB2312" w:hint="eastAsia"/>
          <w:sz w:val="32"/>
          <w:szCs w:val="32"/>
        </w:rPr>
        <w:t>55</w:t>
      </w:r>
      <w:r>
        <w:rPr>
          <w:rFonts w:ascii="仿宋_GB2312" w:eastAsia="仿宋_GB2312" w:hAnsi="仿宋_GB2312" w:cs="仿宋_GB2312" w:hint="eastAsia"/>
          <w:sz w:val="32"/>
          <w:szCs w:val="32"/>
        </w:rPr>
        <w:t>.77万元。其中：</w:t>
      </w:r>
    </w:p>
    <w:p w:rsidR="00C91ED0" w:rsidRDefault="001C5ABB">
      <w:pPr>
        <w:spacing w:line="560" w:lineRule="exact"/>
        <w:ind w:firstLineChars="200" w:firstLine="640"/>
        <w:rPr>
          <w:rFonts w:ascii="仿宋_GB2312" w:eastAsia="仿宋_GB2312" w:hAnsi="楷体_GB2312" w:cs="楷体_GB2312"/>
          <w:bCs/>
          <w:sz w:val="32"/>
          <w:szCs w:val="32"/>
        </w:rPr>
      </w:pPr>
      <w:r>
        <w:rPr>
          <w:rFonts w:ascii="仿宋_GB2312" w:eastAsia="仿宋_GB2312" w:hAnsi="仿宋_GB2312" w:cs="仿宋_GB2312" w:hint="eastAsia"/>
          <w:sz w:val="32"/>
          <w:szCs w:val="32"/>
        </w:rPr>
        <w:t>1.“市民之家”标识标牌制作费</w:t>
      </w:r>
      <w:r>
        <w:rPr>
          <w:rFonts w:ascii="仿宋_GB2312" w:eastAsia="仿宋_GB2312" w:hAnsi="楷体_GB2312" w:cs="楷体_GB2312" w:hint="eastAsia"/>
          <w:bCs/>
          <w:sz w:val="32"/>
          <w:szCs w:val="32"/>
        </w:rPr>
        <w:t>申报30万元、批复30万元。</w:t>
      </w:r>
    </w:p>
    <w:p w:rsidR="00C91ED0" w:rsidRDefault="001C5ABB">
      <w:pPr>
        <w:spacing w:line="560" w:lineRule="exact"/>
        <w:ind w:firstLineChars="200" w:firstLine="640"/>
        <w:rPr>
          <w:rFonts w:ascii="仿宋_GB2312" w:eastAsia="仿宋_GB2312" w:hAnsi="楷体_GB2312" w:cs="楷体_GB2312"/>
          <w:bCs/>
          <w:sz w:val="32"/>
          <w:szCs w:val="32"/>
        </w:rPr>
      </w:pPr>
      <w:r>
        <w:rPr>
          <w:rFonts w:ascii="仿宋_GB2312" w:eastAsia="仿宋_GB2312" w:hAnsi="楷体_GB2312" w:cs="楷体_GB2312" w:hint="eastAsia"/>
          <w:bCs/>
          <w:sz w:val="32"/>
          <w:szCs w:val="32"/>
        </w:rPr>
        <w:t>2.“市民之家”窗帘制作费申报18万元、批复15.77万元。</w:t>
      </w:r>
    </w:p>
    <w:p w:rsidR="00C91ED0" w:rsidRDefault="001C5ABB">
      <w:pPr>
        <w:spacing w:line="560" w:lineRule="exact"/>
        <w:ind w:firstLineChars="200" w:firstLine="640"/>
        <w:rPr>
          <w:rFonts w:ascii="仿宋_GB2312" w:eastAsia="仿宋_GB2312" w:hAnsi="楷体_GB2312" w:cs="楷体_GB2312"/>
          <w:bCs/>
          <w:sz w:val="32"/>
          <w:szCs w:val="32"/>
        </w:rPr>
      </w:pPr>
      <w:r>
        <w:rPr>
          <w:rFonts w:ascii="仿宋_GB2312" w:eastAsia="仿宋_GB2312" w:hAnsi="楷体_GB2312" w:cs="楷体_GB2312" w:hint="eastAsia"/>
          <w:bCs/>
          <w:sz w:val="32"/>
          <w:szCs w:val="32"/>
        </w:rPr>
        <w:t>3.</w:t>
      </w:r>
      <w:r w:rsidR="004E3483" w:rsidRPr="004E3483">
        <w:rPr>
          <w:rFonts w:ascii="仿宋_GB2312" w:eastAsia="仿宋_GB2312" w:hAnsi="楷体_GB2312" w:cs="楷体_GB2312" w:hint="eastAsia"/>
          <w:bCs/>
          <w:sz w:val="32"/>
          <w:szCs w:val="32"/>
        </w:rPr>
        <w:t xml:space="preserve"> </w:t>
      </w:r>
      <w:r w:rsidR="004E3483">
        <w:rPr>
          <w:rFonts w:ascii="仿宋_GB2312" w:eastAsia="仿宋_GB2312" w:hAnsi="楷体_GB2312" w:cs="楷体_GB2312" w:hint="eastAsia"/>
          <w:bCs/>
          <w:sz w:val="32"/>
          <w:szCs w:val="32"/>
        </w:rPr>
        <w:t>服务外来投资企业及开展项目帮办代办费</w:t>
      </w:r>
      <w:r>
        <w:rPr>
          <w:rFonts w:ascii="仿宋_GB2312" w:eastAsia="仿宋_GB2312" w:hAnsi="楷体_GB2312" w:cs="楷体_GB2312" w:hint="eastAsia"/>
          <w:bCs/>
          <w:sz w:val="32"/>
          <w:szCs w:val="32"/>
        </w:rPr>
        <w:t>申报</w:t>
      </w:r>
      <w:r w:rsidR="004E3483">
        <w:rPr>
          <w:rFonts w:ascii="仿宋_GB2312" w:eastAsia="仿宋_GB2312" w:hAnsi="楷体_GB2312" w:cs="楷体_GB2312" w:hint="eastAsia"/>
          <w:bCs/>
          <w:sz w:val="32"/>
          <w:szCs w:val="32"/>
        </w:rPr>
        <w:t>5</w:t>
      </w:r>
      <w:r>
        <w:rPr>
          <w:rFonts w:ascii="仿宋_GB2312" w:eastAsia="仿宋_GB2312" w:hAnsi="楷体_GB2312" w:cs="楷体_GB2312" w:hint="eastAsia"/>
          <w:bCs/>
          <w:sz w:val="32"/>
          <w:szCs w:val="32"/>
        </w:rPr>
        <w:t>万元、批复</w:t>
      </w:r>
      <w:r w:rsidR="004E3483">
        <w:rPr>
          <w:rFonts w:ascii="仿宋_GB2312" w:eastAsia="仿宋_GB2312" w:hAnsi="楷体_GB2312" w:cs="楷体_GB2312" w:hint="eastAsia"/>
          <w:bCs/>
          <w:sz w:val="32"/>
          <w:szCs w:val="32"/>
        </w:rPr>
        <w:t>5</w:t>
      </w:r>
      <w:r>
        <w:rPr>
          <w:rFonts w:ascii="仿宋_GB2312" w:eastAsia="仿宋_GB2312" w:hAnsi="楷体_GB2312" w:cs="楷体_GB2312" w:hint="eastAsia"/>
          <w:bCs/>
          <w:sz w:val="32"/>
          <w:szCs w:val="32"/>
        </w:rPr>
        <w:t>万元。</w:t>
      </w:r>
    </w:p>
    <w:p w:rsidR="00C91ED0" w:rsidRDefault="001C5ABB">
      <w:pPr>
        <w:shd w:val="clear" w:color="auto" w:fill="FFFFFF"/>
        <w:spacing w:line="560" w:lineRule="exact"/>
        <w:ind w:firstLine="645"/>
        <w:rPr>
          <w:rFonts w:ascii="仿宋_GB2312" w:eastAsia="仿宋_GB2312" w:hAnsi="宋体" w:cs="楷体_GB2312"/>
          <w:bCs/>
          <w:color w:val="000000"/>
          <w:sz w:val="32"/>
          <w:szCs w:val="32"/>
          <w:shd w:val="clear" w:color="auto" w:fill="FFFFFF"/>
        </w:rPr>
      </w:pPr>
      <w:r>
        <w:rPr>
          <w:rFonts w:ascii="仿宋_GB2312" w:eastAsia="仿宋_GB2312" w:hAnsi="宋体" w:cs="楷体_GB2312" w:hint="eastAsia"/>
          <w:bCs/>
          <w:color w:val="000000"/>
          <w:sz w:val="32"/>
          <w:szCs w:val="32"/>
          <w:shd w:val="clear" w:color="auto" w:fill="FFFFFF"/>
        </w:rPr>
        <w:t>4.“12345”市民热线平台运行维护费项目，申报300万元、批复300万元。</w:t>
      </w:r>
    </w:p>
    <w:p w:rsidR="00C91ED0" w:rsidRDefault="001C5ABB">
      <w:pPr>
        <w:shd w:val="clear" w:color="auto" w:fill="FFFFFF"/>
        <w:spacing w:line="560" w:lineRule="exact"/>
        <w:ind w:firstLine="645"/>
        <w:rPr>
          <w:rFonts w:ascii="仿宋_GB2312" w:eastAsia="仿宋_GB2312" w:hAnsi="宋体" w:cs="楷体_GB2312"/>
          <w:bCs/>
          <w:color w:val="000000"/>
          <w:sz w:val="32"/>
          <w:szCs w:val="32"/>
          <w:shd w:val="clear" w:color="auto" w:fill="FFFFFF"/>
        </w:rPr>
      </w:pPr>
      <w:r>
        <w:rPr>
          <w:rFonts w:ascii="仿宋_GB2312" w:eastAsia="仿宋_GB2312" w:hAnsi="宋体" w:cs="楷体_GB2312" w:hint="eastAsia"/>
          <w:bCs/>
          <w:color w:val="000000"/>
          <w:sz w:val="32"/>
          <w:szCs w:val="32"/>
          <w:shd w:val="clear" w:color="auto" w:fill="FFFFFF"/>
        </w:rPr>
        <w:t>5.</w:t>
      </w:r>
      <w:r>
        <w:rPr>
          <w:rFonts w:ascii="仿宋_GB2312" w:eastAsia="仿宋_GB2312" w:hAnsi="楷体_GB2312" w:cs="楷体_GB2312" w:hint="eastAsia"/>
          <w:bCs/>
          <w:sz w:val="32"/>
          <w:szCs w:val="32"/>
        </w:rPr>
        <w:t>“市民之家”并联审批工作经费项目，</w:t>
      </w:r>
      <w:r>
        <w:rPr>
          <w:rFonts w:ascii="仿宋_GB2312" w:eastAsia="仿宋_GB2312" w:hAnsi="宋体" w:cs="楷体_GB2312" w:hint="eastAsia"/>
          <w:bCs/>
          <w:color w:val="000000"/>
          <w:sz w:val="32"/>
          <w:szCs w:val="32"/>
          <w:shd w:val="clear" w:color="auto" w:fill="FFFFFF"/>
        </w:rPr>
        <w:t>申报5万元、批复5万元。</w:t>
      </w:r>
    </w:p>
    <w:p w:rsidR="00C91ED0" w:rsidRDefault="001C5ABB">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楷体_GB2312" w:cs="楷体_GB2312" w:hint="eastAsia"/>
          <w:b/>
          <w:bCs/>
          <w:color w:val="000000"/>
          <w:sz w:val="32"/>
          <w:szCs w:val="32"/>
          <w:shd w:val="clear" w:color="auto" w:fill="FFFFFF"/>
        </w:rPr>
        <w:lastRenderedPageBreak/>
        <w:t xml:space="preserve"> (二)</w:t>
      </w:r>
      <w:r>
        <w:rPr>
          <w:rFonts w:ascii="楷体_GB2312" w:eastAsia="楷体_GB2312" w:hAnsi="宋体" w:hint="eastAsia"/>
          <w:b/>
          <w:sz w:val="32"/>
          <w:szCs w:val="32"/>
          <w:lang w:val="zh-CN"/>
        </w:rPr>
        <w:t>资金计划、到位及使用情况</w:t>
      </w:r>
    </w:p>
    <w:p w:rsidR="00C91ED0" w:rsidRDefault="001C5ABB">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1.资金计划。</w:t>
      </w:r>
      <w:r>
        <w:rPr>
          <w:rFonts w:ascii="仿宋_GB2312" w:eastAsia="仿宋_GB2312" w:hAnsi="仿宋_GB2312" w:cs="仿宋_GB2312" w:hint="eastAsia"/>
          <w:bCs/>
          <w:sz w:val="32"/>
          <w:szCs w:val="32"/>
        </w:rPr>
        <w:t>2019年重点项目共计划申报</w:t>
      </w:r>
      <w:r w:rsidR="004E3483">
        <w:rPr>
          <w:rFonts w:ascii="仿宋_GB2312" w:eastAsia="仿宋_GB2312" w:hAnsi="仿宋_GB2312" w:cs="仿宋_GB2312" w:hint="eastAsia"/>
          <w:bCs/>
          <w:sz w:val="32"/>
          <w:szCs w:val="32"/>
        </w:rPr>
        <w:t>358</w:t>
      </w:r>
      <w:r>
        <w:rPr>
          <w:rFonts w:ascii="仿宋_GB2312" w:eastAsia="仿宋_GB2312" w:hAnsi="仿宋_GB2312" w:cs="仿宋_GB2312" w:hint="eastAsia"/>
          <w:bCs/>
          <w:sz w:val="32"/>
          <w:szCs w:val="32"/>
        </w:rPr>
        <w:t>万元，财政批复</w:t>
      </w:r>
      <w:r w:rsidR="004E3483">
        <w:rPr>
          <w:rFonts w:ascii="仿宋_GB2312" w:eastAsia="仿宋_GB2312" w:hAnsi="仿宋_GB2312" w:cs="仿宋_GB2312" w:hint="eastAsia"/>
          <w:bCs/>
          <w:sz w:val="32"/>
          <w:szCs w:val="32"/>
        </w:rPr>
        <w:t>355</w:t>
      </w:r>
      <w:r>
        <w:rPr>
          <w:rFonts w:ascii="仿宋_GB2312" w:eastAsia="仿宋_GB2312" w:hAnsi="仿宋_GB2312" w:cs="仿宋_GB2312" w:hint="eastAsia"/>
          <w:bCs/>
          <w:sz w:val="32"/>
          <w:szCs w:val="32"/>
        </w:rPr>
        <w:t>.77万元。</w:t>
      </w:r>
    </w:p>
    <w:p w:rsidR="00C91ED0" w:rsidRDefault="001C5ABB">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2.资金到位。</w:t>
      </w:r>
      <w:r>
        <w:rPr>
          <w:rFonts w:ascii="仿宋_GB2312" w:eastAsia="仿宋_GB2312" w:hAnsi="仿宋_GB2312" w:cs="仿宋_GB2312" w:hint="eastAsia"/>
          <w:sz w:val="32"/>
          <w:szCs w:val="32"/>
        </w:rPr>
        <w:t>2019年重点项目资金全部按时到位，到位资金</w:t>
      </w:r>
      <w:r w:rsidR="004E3483">
        <w:rPr>
          <w:rFonts w:ascii="仿宋_GB2312" w:eastAsia="仿宋_GB2312" w:hAnsi="仿宋_GB2312" w:cs="仿宋_GB2312" w:hint="eastAsia"/>
          <w:sz w:val="32"/>
          <w:szCs w:val="32"/>
        </w:rPr>
        <w:t>355</w:t>
      </w:r>
      <w:r>
        <w:rPr>
          <w:rFonts w:ascii="仿宋_GB2312" w:eastAsia="仿宋_GB2312" w:hAnsi="仿宋_GB2312" w:cs="仿宋_GB2312" w:hint="eastAsia"/>
          <w:sz w:val="32"/>
          <w:szCs w:val="32"/>
        </w:rPr>
        <w:t>.77万元，到位率100%。</w:t>
      </w:r>
    </w:p>
    <w:p w:rsidR="00C91ED0" w:rsidRDefault="001C5ABB">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仿宋_GB2312" w:cs="仿宋_GB2312" w:hint="eastAsia"/>
          <w:b/>
          <w:bCs/>
          <w:sz w:val="32"/>
          <w:szCs w:val="32"/>
        </w:rPr>
        <w:t>3.资金使用。</w:t>
      </w:r>
      <w:r>
        <w:rPr>
          <w:rFonts w:ascii="仿宋_GB2312" w:eastAsia="仿宋_GB2312" w:hAnsi="仿宋_GB2312" w:cs="仿宋_GB2312" w:hint="eastAsia"/>
          <w:sz w:val="32"/>
          <w:szCs w:val="32"/>
        </w:rPr>
        <w:t>2019年，市中心严格按照程序申请、管理、使用项目资金，资金支付范围、支付标准、支付进度、支付依据合规合法，与预算相符，共支付重点项目资金</w:t>
      </w:r>
      <w:r w:rsidR="004E3483">
        <w:rPr>
          <w:rFonts w:ascii="仿宋_GB2312" w:eastAsia="仿宋_GB2312" w:hAnsi="仿宋_GB2312" w:cs="仿宋_GB2312" w:hint="eastAsia"/>
          <w:sz w:val="32"/>
          <w:szCs w:val="32"/>
        </w:rPr>
        <w:t>355</w:t>
      </w:r>
      <w:r>
        <w:rPr>
          <w:rFonts w:ascii="仿宋_GB2312" w:eastAsia="仿宋_GB2312" w:hAnsi="仿宋_GB2312" w:cs="仿宋_GB2312" w:hint="eastAsia"/>
          <w:sz w:val="32"/>
          <w:szCs w:val="32"/>
        </w:rPr>
        <w:t>.77万元。</w:t>
      </w:r>
    </w:p>
    <w:p w:rsidR="00C91ED0" w:rsidRDefault="001C5AB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楷体_GB2312" w:cs="楷体_GB2312" w:hint="eastAsia"/>
          <w:b/>
          <w:bCs/>
          <w:color w:val="000000"/>
          <w:sz w:val="32"/>
          <w:szCs w:val="32"/>
          <w:shd w:val="clear" w:color="auto" w:fill="FFFFFF"/>
        </w:rPr>
        <w:t>(三)</w:t>
      </w:r>
      <w:r>
        <w:rPr>
          <w:rFonts w:ascii="楷体_GB2312" w:eastAsia="楷体_GB2312" w:hAnsi="宋体" w:hint="eastAsia"/>
          <w:b/>
          <w:sz w:val="32"/>
          <w:szCs w:val="32"/>
          <w:lang w:val="zh-CN"/>
        </w:rPr>
        <w:t>项目财务管理情况。</w:t>
      </w:r>
    </w:p>
    <w:p w:rsidR="00C91ED0" w:rsidRDefault="001C5ABB">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中心建立健全了财务管理制度，专人专职负责会计核算及账务处理，做到财务处理及时、会计核算规范。严格执行财务管理相关规定，严格项目资金支付管理，支付项目资金5000元以上20000元以内的，经主任办公会研究同意后按程序支付；支付项目资金20000元以上的，经市中心党组会研究同意后按程序支付。同时，市中心建立了财务内审制度，定期开展项目支出审核，切实加强内审管理，强化财务公开。</w:t>
      </w:r>
    </w:p>
    <w:p w:rsidR="00C91ED0" w:rsidRDefault="001C5ABB">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C91ED0" w:rsidRDefault="001C5ABB">
      <w:pPr>
        <w:adjustRightInd w:val="0"/>
        <w:snapToGrid w:val="0"/>
        <w:spacing w:line="600" w:lineRule="exact"/>
        <w:ind w:firstLine="720"/>
        <w:rPr>
          <w:rFonts w:ascii="黑体" w:eastAsia="黑体" w:hAnsi="宋体"/>
          <w:sz w:val="32"/>
          <w:szCs w:val="32"/>
        </w:rPr>
      </w:pPr>
      <w:r>
        <w:rPr>
          <w:rFonts w:ascii="楷体_GB2312" w:eastAsia="楷体_GB2312" w:hAnsi="楷体_GB2312" w:cs="楷体_GB2312" w:hint="eastAsia"/>
          <w:b/>
          <w:bCs/>
          <w:color w:val="000000"/>
          <w:sz w:val="32"/>
          <w:szCs w:val="32"/>
          <w:shd w:val="clear" w:color="auto" w:fill="FFFFFF"/>
        </w:rPr>
        <w:t>(一)</w:t>
      </w:r>
      <w:r>
        <w:rPr>
          <w:rFonts w:ascii="楷体_GB2312" w:eastAsia="楷体_GB2312" w:hAnsi="宋体" w:hint="eastAsia"/>
          <w:b/>
          <w:sz w:val="32"/>
          <w:szCs w:val="32"/>
          <w:lang w:val="zh-CN"/>
        </w:rPr>
        <w:t>项目组织架构及实施流程</w:t>
      </w:r>
    </w:p>
    <w:p w:rsidR="00C91ED0" w:rsidRDefault="001C5ABB">
      <w:pPr>
        <w:spacing w:line="560" w:lineRule="exact"/>
        <w:ind w:firstLineChars="200" w:firstLine="640"/>
        <w:rPr>
          <w:rFonts w:ascii="楷体_GB2312" w:eastAsia="楷体_GB2312" w:hAnsi="楷体_GB2312" w:cs="楷体_GB2312"/>
          <w:b/>
          <w:bCs/>
          <w:sz w:val="32"/>
          <w:szCs w:val="32"/>
        </w:rPr>
      </w:pPr>
      <w:r>
        <w:rPr>
          <w:rFonts w:ascii="仿宋_GB2312" w:eastAsia="仿宋_GB2312" w:hAnsi="仿宋_GB2312" w:cs="仿宋_GB2312" w:hint="eastAsia"/>
          <w:sz w:val="32"/>
          <w:szCs w:val="32"/>
        </w:rPr>
        <w:t>按照“谁申报、谁负责、谁实施”的原则，市中心实行“清单制+责任制”，制定年度工作计划和重点工作任务清单，对批复的项目实行任务到科室，责任到人头。各责任科室分项目制定实施方案，细化工作举措，明确时间节点。</w:t>
      </w:r>
    </w:p>
    <w:p w:rsidR="00C91ED0" w:rsidRDefault="001C5ABB">
      <w:pPr>
        <w:spacing w:line="560" w:lineRule="exact"/>
        <w:ind w:firstLineChars="200" w:firstLine="643"/>
        <w:rPr>
          <w:rFonts w:ascii="楷体_GB2312" w:eastAsia="楷体_GB2312" w:hAnsi="宋体"/>
          <w:b/>
          <w:sz w:val="32"/>
          <w:szCs w:val="32"/>
          <w:lang w:val="zh-CN"/>
        </w:rPr>
      </w:pPr>
      <w:r>
        <w:rPr>
          <w:rFonts w:ascii="楷体_GB2312" w:eastAsia="楷体_GB2312" w:hAnsi="楷体_GB2312" w:cs="楷体_GB2312" w:hint="eastAsia"/>
          <w:b/>
          <w:bCs/>
          <w:color w:val="000000"/>
          <w:sz w:val="32"/>
          <w:szCs w:val="32"/>
          <w:shd w:val="clear" w:color="auto" w:fill="FFFFFF"/>
        </w:rPr>
        <w:lastRenderedPageBreak/>
        <w:t>(二)</w:t>
      </w:r>
      <w:r>
        <w:rPr>
          <w:rFonts w:ascii="楷体_GB2312" w:eastAsia="楷体_GB2312" w:hAnsi="宋体" w:hint="eastAsia"/>
          <w:b/>
          <w:sz w:val="32"/>
          <w:szCs w:val="32"/>
          <w:lang w:val="zh-CN"/>
        </w:rPr>
        <w:t>项目管理情况</w:t>
      </w:r>
    </w:p>
    <w:p w:rsidR="00C91ED0" w:rsidRDefault="001C5ABB">
      <w:pPr>
        <w:spacing w:line="560" w:lineRule="exact"/>
        <w:ind w:firstLineChars="200" w:firstLine="640"/>
        <w:rPr>
          <w:rFonts w:ascii="楷体_GB2312" w:eastAsia="楷体_GB2312" w:hAnsi="楷体_GB2312" w:cs="楷体_GB2312"/>
          <w:b/>
          <w:bCs/>
          <w:sz w:val="32"/>
          <w:szCs w:val="32"/>
        </w:rPr>
      </w:pPr>
      <w:r>
        <w:rPr>
          <w:rFonts w:ascii="仿宋_GB2312" w:eastAsia="仿宋_GB2312" w:hAnsi="仿宋_GB2312" w:cs="仿宋_GB2312" w:hint="eastAsia"/>
          <w:sz w:val="32"/>
          <w:szCs w:val="32"/>
        </w:rPr>
        <w:t>严格执行财经管理、行政审批、政府采购、公开招标等相关制度，确保所有项目按时按质完成。</w:t>
      </w:r>
    </w:p>
    <w:p w:rsidR="00C91ED0" w:rsidRDefault="001C5AB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楷体_GB2312" w:cs="楷体_GB2312" w:hint="eastAsia"/>
          <w:b/>
          <w:bCs/>
          <w:color w:val="000000"/>
          <w:sz w:val="32"/>
          <w:szCs w:val="32"/>
          <w:shd w:val="clear" w:color="auto" w:fill="FFFFFF"/>
        </w:rPr>
        <w:t>(三)</w:t>
      </w:r>
      <w:r>
        <w:rPr>
          <w:rFonts w:ascii="楷体_GB2312" w:eastAsia="楷体_GB2312" w:hAnsi="宋体" w:hint="eastAsia"/>
          <w:b/>
          <w:sz w:val="32"/>
          <w:szCs w:val="32"/>
          <w:lang w:val="zh-CN"/>
        </w:rPr>
        <w:t>项目监管情况</w:t>
      </w:r>
    </w:p>
    <w:p w:rsidR="00C91ED0" w:rsidRDefault="001C5ABB">
      <w:pPr>
        <w:spacing w:line="560" w:lineRule="exact"/>
        <w:rPr>
          <w:rFonts w:ascii="仿宋_GB2312" w:eastAsia="仿宋_GB2312" w:hAnsi="楷体_GB2312" w:cs="楷体_GB2312"/>
          <w:bCs/>
          <w:sz w:val="32"/>
          <w:szCs w:val="32"/>
        </w:rPr>
      </w:pPr>
      <w:r>
        <w:rPr>
          <w:rFonts w:ascii="仿宋_GB2312" w:eastAsia="仿宋_GB2312" w:hAnsi="楷体_GB2312" w:cs="楷体_GB2312" w:hint="eastAsia"/>
          <w:bCs/>
          <w:sz w:val="32"/>
          <w:szCs w:val="32"/>
        </w:rPr>
        <w:t>各项目主管领导采取定期+不定时+现场抽查方式，对项目实施的程序及开展情况进行严格监管，项目实施完成后，及时公布完成情况。</w:t>
      </w:r>
    </w:p>
    <w:p w:rsidR="00C91ED0" w:rsidRDefault="001C5ABB">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hint="eastAsia"/>
          <w:sz w:val="32"/>
          <w:szCs w:val="32"/>
          <w:lang w:val="zh-CN"/>
        </w:rPr>
        <w:tab/>
      </w:r>
    </w:p>
    <w:p w:rsidR="00C91ED0" w:rsidRDefault="001C5AB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楷体_GB2312" w:cs="楷体_GB2312" w:hint="eastAsia"/>
          <w:b/>
          <w:bCs/>
          <w:color w:val="000000"/>
          <w:sz w:val="32"/>
          <w:szCs w:val="32"/>
          <w:shd w:val="clear" w:color="auto" w:fill="FFFFFF"/>
        </w:rPr>
        <w:t>(一)</w:t>
      </w:r>
      <w:r>
        <w:rPr>
          <w:rFonts w:ascii="楷体_GB2312" w:eastAsia="楷体_GB2312" w:hAnsi="宋体" w:hint="eastAsia"/>
          <w:b/>
          <w:sz w:val="32"/>
          <w:szCs w:val="32"/>
          <w:lang w:val="zh-CN"/>
        </w:rPr>
        <w:t>项目完成情况。</w:t>
      </w:r>
    </w:p>
    <w:p w:rsidR="00C91ED0" w:rsidRDefault="001C5ABB">
      <w:pPr>
        <w:spacing w:line="560" w:lineRule="exact"/>
        <w:ind w:firstLineChars="200" w:firstLine="643"/>
        <w:rPr>
          <w:rFonts w:eastAsia="仿宋_GB2312"/>
          <w:sz w:val="32"/>
          <w:szCs w:val="32"/>
        </w:rPr>
      </w:pPr>
      <w:r>
        <w:rPr>
          <w:rFonts w:ascii="仿宋_GB2312" w:eastAsia="仿宋_GB2312" w:hAnsi="仿宋_GB2312" w:cs="仿宋_GB2312" w:hint="eastAsia"/>
          <w:b/>
          <w:bCs/>
          <w:sz w:val="32"/>
          <w:szCs w:val="32"/>
        </w:rPr>
        <w:t>1.目标任务量完成情况。</w:t>
      </w:r>
      <w:r>
        <w:rPr>
          <w:rFonts w:eastAsia="仿宋_GB2312"/>
          <w:sz w:val="32"/>
          <w:szCs w:val="32"/>
        </w:rPr>
        <w:t>2019</w:t>
      </w:r>
      <w:r>
        <w:rPr>
          <w:rFonts w:eastAsia="仿宋_GB2312"/>
          <w:sz w:val="32"/>
          <w:szCs w:val="32"/>
        </w:rPr>
        <w:t>年，市中</w:t>
      </w:r>
      <w:r>
        <w:rPr>
          <w:rFonts w:eastAsia="仿宋_GB2312" w:hint="eastAsia"/>
          <w:sz w:val="32"/>
          <w:szCs w:val="32"/>
        </w:rPr>
        <w:t>心完成</w:t>
      </w:r>
      <w:r>
        <w:rPr>
          <w:rFonts w:eastAsia="仿宋_GB2312" w:hint="eastAsia"/>
          <w:sz w:val="32"/>
          <w:szCs w:val="32"/>
        </w:rPr>
        <w:t>4</w:t>
      </w:r>
      <w:r>
        <w:rPr>
          <w:rFonts w:eastAsia="仿宋_GB2312" w:hint="eastAsia"/>
          <w:sz w:val="32"/>
          <w:szCs w:val="32"/>
        </w:rPr>
        <w:t>个重点项目。完成对</w:t>
      </w:r>
      <w:r>
        <w:rPr>
          <w:rFonts w:eastAsia="仿宋_GB2312" w:hint="eastAsia"/>
          <w:sz w:val="32"/>
          <w:szCs w:val="32"/>
        </w:rPr>
        <w:t xml:space="preserve"> </w:t>
      </w:r>
      <w:r>
        <w:rPr>
          <w:rFonts w:eastAsia="仿宋_GB2312" w:hint="eastAsia"/>
          <w:sz w:val="32"/>
          <w:szCs w:val="32"/>
        </w:rPr>
        <w:t>“市民之家”制作大型标识牌、总平面展示、楼层索引、标识标牌、地下停车场指示等</w:t>
      </w:r>
      <w:r>
        <w:rPr>
          <w:rFonts w:eastAsia="仿宋_GB2312" w:hint="eastAsia"/>
          <w:sz w:val="32"/>
          <w:szCs w:val="32"/>
        </w:rPr>
        <w:t>256</w:t>
      </w:r>
      <w:r>
        <w:rPr>
          <w:rFonts w:eastAsia="仿宋_GB2312" w:hint="eastAsia"/>
          <w:sz w:val="32"/>
          <w:szCs w:val="32"/>
        </w:rPr>
        <w:t>个，为办事企业和群众提供清晰指引，更加方便群众办事。完成</w:t>
      </w:r>
      <w:r>
        <w:rPr>
          <w:rFonts w:eastAsia="仿宋_GB2312" w:hint="eastAsia"/>
          <w:sz w:val="32"/>
          <w:szCs w:val="32"/>
        </w:rPr>
        <w:t xml:space="preserve"> </w:t>
      </w:r>
      <w:r>
        <w:rPr>
          <w:rFonts w:eastAsia="仿宋_GB2312" w:hint="eastAsia"/>
          <w:sz w:val="32"/>
          <w:szCs w:val="32"/>
        </w:rPr>
        <w:t>“市民之家”制作安装窗帘</w:t>
      </w:r>
      <w:r>
        <w:rPr>
          <w:rFonts w:eastAsia="仿宋_GB2312" w:hint="eastAsia"/>
          <w:sz w:val="32"/>
          <w:szCs w:val="32"/>
        </w:rPr>
        <w:t>235</w:t>
      </w:r>
      <w:r>
        <w:rPr>
          <w:rFonts w:eastAsia="仿宋_GB2312" w:hint="eastAsia"/>
          <w:sz w:val="32"/>
          <w:szCs w:val="32"/>
        </w:rPr>
        <w:t>幅，为办事企业群众和窗口工作人员提供良好的办公和服务环境。打造“</w:t>
      </w:r>
      <w:r>
        <w:rPr>
          <w:rFonts w:eastAsia="仿宋_GB2312" w:hint="eastAsia"/>
          <w:sz w:val="32"/>
          <w:szCs w:val="32"/>
        </w:rPr>
        <w:t>12345</w:t>
      </w:r>
      <w:r>
        <w:rPr>
          <w:rFonts w:eastAsia="仿宋_GB2312" w:hint="eastAsia"/>
          <w:sz w:val="32"/>
          <w:szCs w:val="32"/>
        </w:rPr>
        <w:t>”市民热线品牌，充分发挥服务热线的功能和作用，听民声、集民智、察民情、解民忧、帮民困，为群众提供高效便捷的政务服务。完善“一站式”服务工作机制，年办结并联审批</w:t>
      </w:r>
      <w:r>
        <w:rPr>
          <w:rFonts w:eastAsia="仿宋_GB2312" w:hint="eastAsia"/>
          <w:sz w:val="32"/>
          <w:szCs w:val="32"/>
        </w:rPr>
        <w:t>100</w:t>
      </w:r>
      <w:r>
        <w:rPr>
          <w:rFonts w:eastAsia="仿宋_GB2312" w:hint="eastAsia"/>
          <w:sz w:val="32"/>
          <w:szCs w:val="32"/>
        </w:rPr>
        <w:t>件以上，进一步优化提升我市招商引资环境。</w:t>
      </w:r>
    </w:p>
    <w:p w:rsidR="00C91ED0" w:rsidRDefault="001C5ABB">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2.目标质量完成情况。</w:t>
      </w:r>
    </w:p>
    <w:p w:rsidR="00C91ED0" w:rsidRDefault="0092393E">
      <w:pPr>
        <w:spacing w:line="560" w:lineRule="exact"/>
        <w:ind w:firstLineChars="200" w:firstLine="640"/>
        <w:rPr>
          <w:rFonts w:ascii="楷体_GB2312" w:eastAsia="楷体_GB2312" w:hAnsi="楷体_GB2312" w:cs="楷体_GB2312"/>
          <w:b/>
          <w:bCs/>
          <w:sz w:val="32"/>
          <w:szCs w:val="32"/>
        </w:rPr>
      </w:pPr>
      <w:r>
        <w:rPr>
          <w:rFonts w:ascii="仿宋_GB2312" w:eastAsia="仿宋_GB2312" w:hAnsi="仿宋_GB2312" w:cs="仿宋_GB2312" w:hint="eastAsia"/>
          <w:sz w:val="32"/>
          <w:szCs w:val="32"/>
        </w:rPr>
        <w:t>2019</w:t>
      </w:r>
      <w:r w:rsidR="001C5ABB">
        <w:rPr>
          <w:rFonts w:ascii="仿宋_GB2312" w:eastAsia="仿宋_GB2312" w:hAnsi="仿宋_GB2312" w:cs="仿宋_GB2312" w:hint="eastAsia"/>
          <w:sz w:val="32"/>
          <w:szCs w:val="32"/>
        </w:rPr>
        <w:t>年，重点项目目标质量优良，完成项目绩效既定质量目标，完成率</w:t>
      </w:r>
      <w:r>
        <w:rPr>
          <w:rFonts w:ascii="仿宋_GB2312" w:eastAsia="仿宋_GB2312" w:hAnsi="仿宋_GB2312" w:cs="仿宋_GB2312" w:hint="eastAsia"/>
          <w:sz w:val="32"/>
          <w:szCs w:val="32"/>
        </w:rPr>
        <w:t>100</w:t>
      </w:r>
      <w:r w:rsidR="001C5ABB">
        <w:rPr>
          <w:rFonts w:ascii="仿宋_GB2312" w:eastAsia="仿宋_GB2312" w:hAnsi="仿宋_GB2312" w:cs="仿宋_GB2312" w:hint="eastAsia"/>
          <w:sz w:val="32"/>
          <w:szCs w:val="32"/>
        </w:rPr>
        <w:t>%。</w:t>
      </w:r>
    </w:p>
    <w:p w:rsidR="00C91ED0" w:rsidRDefault="001C5ABB">
      <w:pPr>
        <w:spacing w:line="560" w:lineRule="exact"/>
        <w:ind w:firstLineChars="200" w:firstLine="643"/>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3.目标进度完成情况。</w:t>
      </w:r>
    </w:p>
    <w:p w:rsidR="00C91ED0" w:rsidRDefault="001C5ABB">
      <w:pPr>
        <w:spacing w:line="560" w:lineRule="exact"/>
        <w:ind w:firstLineChars="200" w:firstLine="640"/>
        <w:rPr>
          <w:rFonts w:ascii="仿宋_GB2312" w:eastAsia="仿宋_GB2312" w:hAnsi="楷体_GB2312" w:cs="楷体_GB2312"/>
          <w:b/>
          <w:bCs/>
          <w:sz w:val="32"/>
          <w:szCs w:val="32"/>
        </w:rPr>
      </w:pPr>
      <w:r>
        <w:rPr>
          <w:rFonts w:ascii="仿宋_GB2312" w:eastAsia="仿宋_GB2312" w:hAnsi="仿宋_GB2312" w:cs="仿宋_GB2312" w:hint="eastAsia"/>
          <w:sz w:val="32"/>
          <w:szCs w:val="32"/>
        </w:rPr>
        <w:lastRenderedPageBreak/>
        <w:t>2019年“市民之家”标识标牌制作项目、“市民之家”</w:t>
      </w:r>
      <w:r>
        <w:rPr>
          <w:rFonts w:ascii="仿宋_GB2312" w:eastAsia="仿宋_GB2312" w:hAnsi="楷体_GB2312" w:cs="楷体_GB2312" w:hint="eastAsia"/>
          <w:bCs/>
          <w:sz w:val="32"/>
          <w:szCs w:val="32"/>
        </w:rPr>
        <w:t>窗帘制作项目、</w:t>
      </w:r>
      <w:r w:rsidR="0092393E">
        <w:rPr>
          <w:rFonts w:ascii="仿宋_GB2312" w:eastAsia="仿宋_GB2312" w:hAnsi="楷体_GB2312" w:cs="楷体_GB2312" w:hint="eastAsia"/>
          <w:bCs/>
          <w:sz w:val="32"/>
          <w:szCs w:val="32"/>
        </w:rPr>
        <w:t>服务外来投资企业及开展项目帮办代办费用项目、</w:t>
      </w:r>
      <w:r>
        <w:rPr>
          <w:rFonts w:ascii="仿宋_GB2312" w:eastAsia="仿宋_GB2312" w:hAnsi="宋体" w:cs="楷体_GB2312" w:hint="eastAsia"/>
          <w:bCs/>
          <w:color w:val="000000"/>
          <w:sz w:val="32"/>
          <w:szCs w:val="32"/>
          <w:shd w:val="clear" w:color="auto" w:fill="FFFFFF"/>
        </w:rPr>
        <w:t>“12345”市民热线平台运行维护费项目及</w:t>
      </w:r>
      <w:r>
        <w:rPr>
          <w:rFonts w:ascii="仿宋_GB2312" w:eastAsia="仿宋_GB2312" w:hAnsi="楷体_GB2312" w:cs="楷体_GB2312" w:hint="eastAsia"/>
          <w:bCs/>
          <w:sz w:val="32"/>
          <w:szCs w:val="32"/>
        </w:rPr>
        <w:t>“市民之家”并联审批工作经费项目</w:t>
      </w:r>
      <w:r>
        <w:rPr>
          <w:rFonts w:ascii="仿宋_GB2312" w:eastAsia="仿宋_GB2312" w:hAnsi="仿宋_GB2312" w:cs="仿宋_GB2312" w:hint="eastAsia"/>
          <w:sz w:val="32"/>
          <w:szCs w:val="32"/>
        </w:rPr>
        <w:t>均按照项目计划有序推进，执行率100%。</w:t>
      </w:r>
    </w:p>
    <w:p w:rsidR="00C91ED0" w:rsidRDefault="001C5AB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楷体_GB2312" w:cs="楷体_GB2312" w:hint="eastAsia"/>
          <w:b/>
          <w:bCs/>
          <w:color w:val="000000"/>
          <w:sz w:val="32"/>
          <w:szCs w:val="32"/>
          <w:shd w:val="clear" w:color="auto" w:fill="FFFFFF"/>
        </w:rPr>
        <w:t xml:space="preserve"> (二)</w:t>
      </w:r>
      <w:r>
        <w:rPr>
          <w:rFonts w:ascii="楷体_GB2312" w:eastAsia="楷体_GB2312" w:hAnsi="宋体" w:hint="eastAsia"/>
          <w:b/>
          <w:sz w:val="32"/>
          <w:szCs w:val="32"/>
          <w:lang w:val="zh-CN"/>
        </w:rPr>
        <w:t>项目效益情况。</w:t>
      </w:r>
    </w:p>
    <w:p w:rsidR="00C91ED0" w:rsidRDefault="001C5ABB">
      <w:pPr>
        <w:spacing w:line="560" w:lineRule="exact"/>
        <w:ind w:firstLineChars="200" w:firstLine="640"/>
        <w:rPr>
          <w:rFonts w:eastAsia="仿宋_GB2312"/>
          <w:sz w:val="32"/>
          <w:szCs w:val="32"/>
        </w:rPr>
      </w:pPr>
      <w:r>
        <w:rPr>
          <w:rFonts w:eastAsia="仿宋_GB2312" w:hint="eastAsia"/>
          <w:sz w:val="32"/>
          <w:szCs w:val="32"/>
        </w:rPr>
        <w:t>2019</w:t>
      </w:r>
      <w:r>
        <w:rPr>
          <w:rFonts w:eastAsia="仿宋_GB2312" w:hint="eastAsia"/>
          <w:sz w:val="32"/>
          <w:szCs w:val="32"/>
        </w:rPr>
        <w:t>年，重点项目的完成改善了大厅工作环境，为企业群众办事提供了清晰指引，有力推动了“三办”改革和政务服务标准化建设，实现了只通过了一扇门、最多跑一次的目标。办事企业群众和窗口工作人员满意度达</w:t>
      </w:r>
      <w:r>
        <w:rPr>
          <w:rFonts w:eastAsia="仿宋_GB2312" w:hint="eastAsia"/>
          <w:sz w:val="32"/>
          <w:szCs w:val="32"/>
        </w:rPr>
        <w:t>100%</w:t>
      </w:r>
      <w:r>
        <w:rPr>
          <w:rFonts w:eastAsia="仿宋_GB2312" w:hint="eastAsia"/>
          <w:sz w:val="32"/>
          <w:szCs w:val="32"/>
        </w:rPr>
        <w:t>，为创建“全省最优、全国一流”营商环境奠定了坚实基础。</w:t>
      </w:r>
    </w:p>
    <w:p w:rsidR="00C91ED0" w:rsidRDefault="001C5ABB">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C91ED0" w:rsidRDefault="001C5AB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楷体_GB2312" w:cs="楷体_GB2312" w:hint="eastAsia"/>
          <w:b/>
          <w:bCs/>
          <w:color w:val="000000"/>
          <w:sz w:val="32"/>
          <w:szCs w:val="32"/>
          <w:shd w:val="clear" w:color="auto" w:fill="FFFFFF"/>
        </w:rPr>
        <w:t>(一)</w:t>
      </w:r>
      <w:r>
        <w:rPr>
          <w:rFonts w:ascii="楷体_GB2312" w:eastAsia="楷体_GB2312" w:hAnsi="宋体" w:hint="eastAsia"/>
          <w:b/>
          <w:sz w:val="32"/>
          <w:szCs w:val="32"/>
          <w:lang w:val="zh-CN"/>
        </w:rPr>
        <w:t>评价结论。</w:t>
      </w:r>
    </w:p>
    <w:p w:rsidR="00C91ED0" w:rsidRDefault="001C5ABB">
      <w:pPr>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对照《2020年市级财政项目支出绩效评价指标体系》的4个评价项目，通过自评打分，市中心2019年财政项目支出绩效评价为优秀。</w:t>
      </w:r>
    </w:p>
    <w:p w:rsidR="00C91ED0" w:rsidRDefault="001C5AB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楷体_GB2312" w:cs="楷体_GB2312" w:hint="eastAsia"/>
          <w:b/>
          <w:bCs/>
          <w:color w:val="000000"/>
          <w:sz w:val="32"/>
          <w:szCs w:val="32"/>
          <w:shd w:val="clear" w:color="auto" w:fill="FFFFFF"/>
        </w:rPr>
        <w:t xml:space="preserve"> (二)</w:t>
      </w:r>
      <w:r>
        <w:rPr>
          <w:rFonts w:ascii="楷体_GB2312" w:eastAsia="楷体_GB2312" w:hAnsi="宋体" w:hint="eastAsia"/>
          <w:b/>
          <w:sz w:val="32"/>
          <w:szCs w:val="32"/>
          <w:lang w:val="zh-CN"/>
        </w:rPr>
        <w:t>存在的问题。</w:t>
      </w:r>
    </w:p>
    <w:p w:rsidR="00C91ED0" w:rsidRDefault="001C5ABB">
      <w:pPr>
        <w:spacing w:line="560" w:lineRule="exact"/>
        <w:ind w:firstLineChars="200" w:firstLine="640"/>
        <w:rPr>
          <w:rFonts w:ascii="仿宋_GB2312" w:eastAsia="仿宋_GB2312" w:hAnsi="仿宋_GB2312" w:cs="仿宋_GB2312"/>
          <w:sz w:val="32"/>
          <w:szCs w:val="32"/>
        </w:rPr>
      </w:pPr>
      <w:r>
        <w:rPr>
          <w:rFonts w:eastAsia="仿宋_GB2312" w:hint="eastAsia"/>
          <w:sz w:val="32"/>
          <w:szCs w:val="32"/>
        </w:rPr>
        <w:t>2019</w:t>
      </w:r>
      <w:r>
        <w:rPr>
          <w:rFonts w:eastAsia="仿宋_GB2312" w:hint="eastAsia"/>
          <w:sz w:val="32"/>
          <w:szCs w:val="32"/>
        </w:rPr>
        <w:t>年，市中心</w:t>
      </w:r>
      <w:r>
        <w:rPr>
          <w:rFonts w:ascii="仿宋_GB2312" w:eastAsia="仿宋_GB2312" w:hAnsi="仿宋_GB2312" w:cs="仿宋_GB2312" w:hint="eastAsia"/>
          <w:sz w:val="32"/>
          <w:szCs w:val="32"/>
        </w:rPr>
        <w:t>在项目申报时结合工作实际做到合理可行；在项目实施中，严格规范实施做到管理到位；在目标绩效任务上，全面完成任务成效明显。但也存在一些不足之处，</w:t>
      </w:r>
      <w:r>
        <w:rPr>
          <w:rFonts w:ascii="仿宋_GB2312" w:eastAsia="仿宋_GB2312" w:hAnsi="仿宋_GB2312" w:cs="仿宋_GB2312" w:hint="eastAsia"/>
          <w:b/>
          <w:sz w:val="32"/>
          <w:szCs w:val="32"/>
        </w:rPr>
        <w:t>一是</w:t>
      </w:r>
      <w:r>
        <w:rPr>
          <w:rFonts w:ascii="仿宋_GB2312" w:eastAsia="仿宋_GB2312" w:hAnsi="仿宋_GB2312" w:cs="仿宋_GB2312" w:hint="eastAsia"/>
          <w:sz w:val="32"/>
          <w:szCs w:val="32"/>
        </w:rPr>
        <w:t>个别项目绩效指标不够具体、无法量化，以致在绩效自评时无法定量考核，难以同数据体现项目绩效。</w:t>
      </w: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个别项目存在跨年度支付。如</w:t>
      </w:r>
      <w:r w:rsidR="00CD63E6">
        <w:rPr>
          <w:rFonts w:ascii="仿宋_GB2312" w:eastAsia="仿宋_GB2312" w:hAnsi="楷体_GB2312" w:cs="楷体_GB2312" w:hint="eastAsia"/>
          <w:bCs/>
          <w:sz w:val="32"/>
          <w:szCs w:val="32"/>
        </w:rPr>
        <w:t>政务和交易大厅运行保障费</w:t>
      </w:r>
      <w:r>
        <w:rPr>
          <w:rFonts w:ascii="仿宋_GB2312" w:eastAsia="仿宋_GB2312" w:hAnsi="楷体_GB2312" w:cs="楷体_GB2312" w:hint="eastAsia"/>
          <w:bCs/>
          <w:sz w:val="32"/>
          <w:szCs w:val="32"/>
        </w:rPr>
        <w:t>项目</w:t>
      </w:r>
      <w:r>
        <w:rPr>
          <w:rFonts w:ascii="仿宋_GB2312" w:eastAsia="仿宋_GB2312" w:hAnsi="仿宋_GB2312" w:cs="仿宋_GB2312" w:hint="eastAsia"/>
          <w:sz w:val="32"/>
          <w:szCs w:val="32"/>
        </w:rPr>
        <w:t>，</w:t>
      </w:r>
      <w:r w:rsidR="00CD63E6">
        <w:rPr>
          <w:rFonts w:ascii="仿宋_GB2312" w:eastAsia="仿宋_GB2312" w:hAnsi="仿宋_GB2312" w:cs="仿宋_GB2312" w:hint="eastAsia"/>
          <w:sz w:val="32"/>
          <w:szCs w:val="32"/>
        </w:rPr>
        <w:t>需保障2020年第一季度经费开</w:t>
      </w:r>
      <w:r w:rsidR="00CD63E6">
        <w:rPr>
          <w:rFonts w:ascii="仿宋_GB2312" w:eastAsia="仿宋_GB2312" w:hAnsi="仿宋_GB2312" w:cs="仿宋_GB2312" w:hint="eastAsia"/>
          <w:sz w:val="32"/>
          <w:szCs w:val="32"/>
        </w:rPr>
        <w:lastRenderedPageBreak/>
        <w:t>支，</w:t>
      </w:r>
      <w:r>
        <w:rPr>
          <w:rFonts w:ascii="仿宋_GB2312" w:eastAsia="仿宋_GB2312" w:hAnsi="仿宋_GB2312" w:cs="仿宋_GB2312" w:hint="eastAsia"/>
          <w:sz w:val="32"/>
          <w:szCs w:val="32"/>
        </w:rPr>
        <w:t>故结转至2020年支付。</w:t>
      </w:r>
    </w:p>
    <w:p w:rsidR="00C91ED0" w:rsidRDefault="001C5ABB">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楷体_GB2312" w:cs="楷体_GB2312" w:hint="eastAsia"/>
          <w:b/>
          <w:bCs/>
          <w:color w:val="000000"/>
          <w:sz w:val="32"/>
          <w:szCs w:val="32"/>
          <w:shd w:val="clear" w:color="auto" w:fill="FFFFFF"/>
        </w:rPr>
        <w:t>(三)</w:t>
      </w:r>
      <w:r>
        <w:rPr>
          <w:rFonts w:ascii="楷体_GB2312" w:eastAsia="楷体_GB2312" w:hAnsi="宋体" w:hint="eastAsia"/>
          <w:b/>
          <w:sz w:val="32"/>
          <w:szCs w:val="32"/>
          <w:lang w:val="zh-CN"/>
        </w:rPr>
        <w:t>相关建议。</w:t>
      </w:r>
    </w:p>
    <w:p w:rsidR="00C91ED0" w:rsidRDefault="001C5AB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2020年，市中心将结合本次绩效自评结果，严格按照财经管理相关规定，对存在的问题及时整改，完善绩效考核制度，加强绩效管理，进一步提高财政资金使用效益。</w:t>
      </w:r>
    </w:p>
    <w:p w:rsidR="00C91ED0" w:rsidRDefault="00C91ED0">
      <w:pPr>
        <w:spacing w:line="580" w:lineRule="exact"/>
        <w:ind w:firstLine="640"/>
        <w:rPr>
          <w:rFonts w:ascii="仿宋_GB2312" w:eastAsia="仿宋_GB2312" w:hAnsi="仿宋_GB2312" w:cs="仿宋_GB2312"/>
          <w:sz w:val="32"/>
          <w:szCs w:val="32"/>
        </w:rPr>
      </w:pPr>
    </w:p>
    <w:p w:rsidR="00C91ED0" w:rsidRDefault="00C91ED0">
      <w:pPr>
        <w:spacing w:line="580" w:lineRule="exact"/>
        <w:ind w:firstLine="640"/>
        <w:rPr>
          <w:rFonts w:ascii="仿宋_GB2312" w:eastAsia="仿宋_GB2312" w:hAnsi="仿宋_GB2312" w:cs="仿宋_GB2312"/>
          <w:sz w:val="32"/>
          <w:szCs w:val="32"/>
        </w:rPr>
      </w:pPr>
    </w:p>
    <w:p w:rsidR="00C91ED0" w:rsidRDefault="00C91ED0">
      <w:pPr>
        <w:widowControl/>
        <w:jc w:val="left"/>
        <w:rPr>
          <w:rStyle w:val="1Char"/>
          <w:rFonts w:ascii="黑体" w:eastAsia="黑体" w:hAnsi="黑体"/>
          <w:b w:val="0"/>
        </w:rPr>
      </w:pPr>
    </w:p>
    <w:p w:rsidR="00C91ED0" w:rsidRDefault="001C5ABB">
      <w:pPr>
        <w:widowControl/>
        <w:jc w:val="left"/>
        <w:rPr>
          <w:rStyle w:val="1Char"/>
          <w:rFonts w:ascii="黑体" w:eastAsia="黑体" w:hAnsi="黑体"/>
          <w:b w:val="0"/>
        </w:rPr>
      </w:pPr>
      <w:r>
        <w:rPr>
          <w:rStyle w:val="1Char"/>
          <w:rFonts w:ascii="黑体" w:eastAsia="黑体" w:hAnsi="黑体"/>
          <w:b w:val="0"/>
        </w:rPr>
        <w:br w:type="page"/>
      </w:r>
    </w:p>
    <w:p w:rsidR="00C91ED0" w:rsidRDefault="00C91ED0">
      <w:pPr>
        <w:spacing w:line="600" w:lineRule="exact"/>
        <w:jc w:val="center"/>
        <w:outlineLvl w:val="0"/>
        <w:rPr>
          <w:rStyle w:val="1Char"/>
          <w:rFonts w:ascii="黑体" w:eastAsia="黑体" w:hAnsi="黑体"/>
          <w:b w:val="0"/>
        </w:rPr>
      </w:pPr>
    </w:p>
    <w:p w:rsidR="00C91ED0" w:rsidRPr="00886068" w:rsidRDefault="001C5ABB" w:rsidP="00886068">
      <w:pPr>
        <w:spacing w:line="600" w:lineRule="exact"/>
        <w:jc w:val="center"/>
        <w:outlineLvl w:val="0"/>
        <w:rPr>
          <w:rFonts w:ascii="黑体" w:eastAsia="黑体" w:hAnsi="黑体"/>
          <w:bCs/>
          <w:kern w:val="44"/>
          <w:sz w:val="44"/>
          <w:szCs w:val="44"/>
        </w:rPr>
      </w:pPr>
      <w:bookmarkStart w:id="64" w:name="_Toc15396618"/>
      <w:r>
        <w:rPr>
          <w:rFonts w:ascii="黑体" w:eastAsia="黑体" w:hAnsi="黑体" w:hint="eastAsia"/>
          <w:color w:val="000000"/>
          <w:sz w:val="44"/>
          <w:szCs w:val="44"/>
        </w:rPr>
        <w:t>第</w:t>
      </w:r>
      <w:r>
        <w:rPr>
          <w:rStyle w:val="1Char"/>
          <w:rFonts w:ascii="黑体" w:eastAsia="黑体" w:hAnsi="黑体" w:hint="eastAsia"/>
          <w:b w:val="0"/>
        </w:rPr>
        <w:t>五部分 附表</w:t>
      </w:r>
      <w:bookmarkEnd w:id="62"/>
      <w:bookmarkEnd w:id="64"/>
    </w:p>
    <w:p w:rsidR="00C91ED0" w:rsidRDefault="001C5ABB">
      <w:pPr>
        <w:pStyle w:val="2"/>
        <w:rPr>
          <w:rFonts w:ascii="仿宋" w:eastAsia="仿宋" w:hAnsi="仿宋"/>
          <w:color w:val="000000"/>
        </w:rPr>
      </w:pPr>
      <w:bookmarkStart w:id="65" w:name="_Toc15396619"/>
      <w:r>
        <w:rPr>
          <w:rFonts w:ascii="仿宋" w:eastAsia="仿宋" w:hAnsi="仿宋" w:hint="eastAsia"/>
          <w:b w:val="0"/>
          <w:color w:val="000000"/>
        </w:rPr>
        <w:t>一、收</w:t>
      </w:r>
      <w:r>
        <w:rPr>
          <w:rStyle w:val="2Char"/>
          <w:rFonts w:ascii="仿宋" w:eastAsia="仿宋" w:hAnsi="仿宋" w:hint="eastAsia"/>
        </w:rPr>
        <w:t>入支出决算总表</w:t>
      </w:r>
      <w:bookmarkEnd w:id="65"/>
    </w:p>
    <w:p w:rsidR="00C91ED0" w:rsidRDefault="001C5ABB">
      <w:pPr>
        <w:pStyle w:val="2"/>
        <w:rPr>
          <w:rFonts w:ascii="仿宋" w:eastAsia="仿宋" w:hAnsi="仿宋"/>
          <w:color w:val="000000"/>
        </w:rPr>
      </w:pPr>
      <w:bookmarkStart w:id="66" w:name="_Toc15396620"/>
      <w:r>
        <w:rPr>
          <w:rFonts w:ascii="仿宋" w:eastAsia="仿宋" w:hAnsi="仿宋" w:hint="eastAsia"/>
          <w:b w:val="0"/>
          <w:color w:val="000000"/>
        </w:rPr>
        <w:t>二、收</w:t>
      </w:r>
      <w:r>
        <w:rPr>
          <w:rStyle w:val="2Char"/>
          <w:rFonts w:ascii="仿宋" w:eastAsia="仿宋" w:hAnsi="仿宋" w:hint="eastAsia"/>
        </w:rPr>
        <w:t>入决算表</w:t>
      </w:r>
      <w:bookmarkEnd w:id="66"/>
    </w:p>
    <w:p w:rsidR="00C91ED0" w:rsidRDefault="001C5ABB">
      <w:pPr>
        <w:pStyle w:val="2"/>
        <w:rPr>
          <w:rFonts w:ascii="仿宋" w:eastAsia="仿宋" w:hAnsi="仿宋"/>
          <w:color w:val="000000"/>
        </w:rPr>
      </w:pPr>
      <w:bookmarkStart w:id="67"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7"/>
    </w:p>
    <w:p w:rsidR="00C91ED0" w:rsidRDefault="001C5ABB">
      <w:pPr>
        <w:pStyle w:val="2"/>
        <w:rPr>
          <w:rFonts w:ascii="仿宋" w:eastAsia="仿宋" w:hAnsi="仿宋"/>
          <w:b w:val="0"/>
          <w:color w:val="000000"/>
        </w:rPr>
      </w:pPr>
      <w:bookmarkStart w:id="68"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8"/>
    </w:p>
    <w:p w:rsidR="00C91ED0" w:rsidRDefault="001C5ABB">
      <w:pPr>
        <w:pStyle w:val="2"/>
        <w:rPr>
          <w:rStyle w:val="2Char"/>
          <w:rFonts w:ascii="仿宋" w:eastAsia="仿宋" w:hAnsi="仿宋"/>
        </w:rPr>
      </w:pPr>
      <w:bookmarkStart w:id="69"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70" w:name="_Toc15396624"/>
      <w:bookmarkEnd w:id="69"/>
    </w:p>
    <w:p w:rsidR="00C91ED0" w:rsidRDefault="001C5ABB">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70"/>
    </w:p>
    <w:p w:rsidR="00C91ED0" w:rsidRDefault="001C5ABB">
      <w:pPr>
        <w:pStyle w:val="2"/>
        <w:rPr>
          <w:rFonts w:ascii="仿宋" w:eastAsia="仿宋" w:hAnsi="仿宋"/>
          <w:color w:val="000000"/>
        </w:rPr>
      </w:pPr>
      <w:bookmarkStart w:id="71"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71"/>
    </w:p>
    <w:p w:rsidR="00C91ED0" w:rsidRDefault="001C5ABB">
      <w:pPr>
        <w:pStyle w:val="2"/>
        <w:rPr>
          <w:rFonts w:ascii="仿宋" w:eastAsia="仿宋" w:hAnsi="仿宋"/>
          <w:color w:val="000000"/>
        </w:rPr>
      </w:pPr>
      <w:bookmarkStart w:id="72"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2"/>
    </w:p>
    <w:p w:rsidR="00C91ED0" w:rsidRDefault="001C5ABB">
      <w:pPr>
        <w:pStyle w:val="2"/>
        <w:rPr>
          <w:rFonts w:ascii="仿宋" w:eastAsia="仿宋" w:hAnsi="仿宋"/>
          <w:color w:val="000000"/>
        </w:rPr>
      </w:pPr>
      <w:bookmarkStart w:id="73"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3"/>
    </w:p>
    <w:p w:rsidR="00C91ED0" w:rsidRDefault="001C5ABB">
      <w:pPr>
        <w:pStyle w:val="2"/>
        <w:rPr>
          <w:rFonts w:ascii="仿宋" w:eastAsia="仿宋" w:hAnsi="仿宋"/>
          <w:color w:val="000000"/>
        </w:rPr>
      </w:pPr>
      <w:bookmarkStart w:id="74"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4"/>
    </w:p>
    <w:p w:rsidR="00C91ED0" w:rsidRDefault="001C5ABB">
      <w:pPr>
        <w:pStyle w:val="2"/>
        <w:rPr>
          <w:rFonts w:ascii="仿宋" w:eastAsia="仿宋" w:hAnsi="仿宋"/>
          <w:color w:val="000000"/>
        </w:rPr>
      </w:pPr>
      <w:bookmarkStart w:id="75"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5"/>
    </w:p>
    <w:p w:rsidR="00C91ED0" w:rsidRDefault="001C5ABB">
      <w:pPr>
        <w:pStyle w:val="2"/>
        <w:rPr>
          <w:rFonts w:ascii="仿宋" w:eastAsia="仿宋" w:hAnsi="仿宋"/>
          <w:color w:val="000000"/>
        </w:rPr>
      </w:pPr>
      <w:bookmarkStart w:id="76"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6"/>
    </w:p>
    <w:p w:rsidR="00C91ED0" w:rsidRDefault="001C5ABB">
      <w:pPr>
        <w:pStyle w:val="2"/>
        <w:rPr>
          <w:rFonts w:ascii="仿宋" w:eastAsia="仿宋" w:hAnsi="仿宋"/>
          <w:color w:val="000000" w:themeColor="text1"/>
        </w:rPr>
      </w:pPr>
      <w:bookmarkStart w:id="77"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7"/>
    </w:p>
    <w:sectPr w:rsidR="00C91ED0" w:rsidSect="00C91ED0">
      <w:headerReference w:type="default" r:id="rId16"/>
      <w:footerReference w:type="default" r:id="rId17"/>
      <w:pgSz w:w="11906" w:h="16838"/>
      <w:pgMar w:top="2098" w:right="1474" w:bottom="1984" w:left="158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CCE" w:rsidRDefault="00FC4CCE" w:rsidP="00C91ED0">
      <w:r>
        <w:separator/>
      </w:r>
    </w:p>
  </w:endnote>
  <w:endnote w:type="continuationSeparator" w:id="1">
    <w:p w:rsidR="00FC4CCE" w:rsidRDefault="00FC4CCE" w:rsidP="00C91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1C5ABB" w:rsidRDefault="006B561D">
        <w:pPr>
          <w:pStyle w:val="a6"/>
          <w:jc w:val="center"/>
        </w:pPr>
        <w:r w:rsidRPr="006B561D">
          <w:fldChar w:fldCharType="begin"/>
        </w:r>
        <w:r w:rsidR="001C5ABB">
          <w:instrText>PAGE   \* MERGEFORMAT</w:instrText>
        </w:r>
        <w:r w:rsidRPr="006B561D">
          <w:fldChar w:fldCharType="separate"/>
        </w:r>
        <w:r w:rsidR="00436945" w:rsidRPr="00436945">
          <w:rPr>
            <w:noProof/>
            <w:lang w:val="zh-CN"/>
          </w:rPr>
          <w:t>20</w:t>
        </w:r>
        <w:r>
          <w:rPr>
            <w:lang w:val="zh-CN"/>
          </w:rPr>
          <w:fldChar w:fldCharType="end"/>
        </w:r>
      </w:p>
    </w:sdtContent>
  </w:sdt>
  <w:p w:rsidR="001C5ABB" w:rsidRDefault="001C5A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CCE" w:rsidRDefault="00FC4CCE" w:rsidP="00C91ED0">
      <w:r>
        <w:separator/>
      </w:r>
    </w:p>
  </w:footnote>
  <w:footnote w:type="continuationSeparator" w:id="1">
    <w:p w:rsidR="00FC4CCE" w:rsidRDefault="00FC4CCE" w:rsidP="00C91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BB" w:rsidRDefault="001C5ABB">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0019B"/>
    <w:rsid w:val="00000756"/>
    <w:rsid w:val="000116D2"/>
    <w:rsid w:val="000157BC"/>
    <w:rsid w:val="000175CC"/>
    <w:rsid w:val="000222C6"/>
    <w:rsid w:val="0002549F"/>
    <w:rsid w:val="00030101"/>
    <w:rsid w:val="000325CC"/>
    <w:rsid w:val="000468DB"/>
    <w:rsid w:val="00046A91"/>
    <w:rsid w:val="00053C7A"/>
    <w:rsid w:val="0006487A"/>
    <w:rsid w:val="00065F8F"/>
    <w:rsid w:val="00070A43"/>
    <w:rsid w:val="000768F2"/>
    <w:rsid w:val="0008253C"/>
    <w:rsid w:val="0009184B"/>
    <w:rsid w:val="00094236"/>
    <w:rsid w:val="0009593C"/>
    <w:rsid w:val="00097322"/>
    <w:rsid w:val="000A6A92"/>
    <w:rsid w:val="000B047F"/>
    <w:rsid w:val="000B5923"/>
    <w:rsid w:val="000B5A48"/>
    <w:rsid w:val="000B6FF3"/>
    <w:rsid w:val="000C3467"/>
    <w:rsid w:val="000C3833"/>
    <w:rsid w:val="000C3CA6"/>
    <w:rsid w:val="000D1267"/>
    <w:rsid w:val="000D131C"/>
    <w:rsid w:val="000D1D50"/>
    <w:rsid w:val="000D2790"/>
    <w:rsid w:val="000D5782"/>
    <w:rsid w:val="000E6613"/>
    <w:rsid w:val="000E7119"/>
    <w:rsid w:val="000F129F"/>
    <w:rsid w:val="001019CA"/>
    <w:rsid w:val="0010370F"/>
    <w:rsid w:val="00114C53"/>
    <w:rsid w:val="00114E9B"/>
    <w:rsid w:val="0012231E"/>
    <w:rsid w:val="00142216"/>
    <w:rsid w:val="00143DC5"/>
    <w:rsid w:val="00144D6A"/>
    <w:rsid w:val="0014729F"/>
    <w:rsid w:val="00153ADE"/>
    <w:rsid w:val="001560AE"/>
    <w:rsid w:val="00157BAB"/>
    <w:rsid w:val="001654D1"/>
    <w:rsid w:val="00174518"/>
    <w:rsid w:val="001757F6"/>
    <w:rsid w:val="0018106D"/>
    <w:rsid w:val="0018162F"/>
    <w:rsid w:val="0018172A"/>
    <w:rsid w:val="001865CA"/>
    <w:rsid w:val="001869B9"/>
    <w:rsid w:val="001877A7"/>
    <w:rsid w:val="00191536"/>
    <w:rsid w:val="00196687"/>
    <w:rsid w:val="001C0962"/>
    <w:rsid w:val="001C5ABB"/>
    <w:rsid w:val="001D23DC"/>
    <w:rsid w:val="001D2CA4"/>
    <w:rsid w:val="001D2FBE"/>
    <w:rsid w:val="001D3EF6"/>
    <w:rsid w:val="001D7531"/>
    <w:rsid w:val="001D7741"/>
    <w:rsid w:val="001D77FC"/>
    <w:rsid w:val="001E737D"/>
    <w:rsid w:val="001F0592"/>
    <w:rsid w:val="001F7506"/>
    <w:rsid w:val="002006CD"/>
    <w:rsid w:val="00202B36"/>
    <w:rsid w:val="00204B7A"/>
    <w:rsid w:val="00204CDE"/>
    <w:rsid w:val="0021101A"/>
    <w:rsid w:val="002170CA"/>
    <w:rsid w:val="00217A77"/>
    <w:rsid w:val="00220536"/>
    <w:rsid w:val="0023004F"/>
    <w:rsid w:val="00235629"/>
    <w:rsid w:val="002373A8"/>
    <w:rsid w:val="002423BC"/>
    <w:rsid w:val="002455F7"/>
    <w:rsid w:val="0024725C"/>
    <w:rsid w:val="00260C38"/>
    <w:rsid w:val="002616C0"/>
    <w:rsid w:val="00265372"/>
    <w:rsid w:val="002662AA"/>
    <w:rsid w:val="00280496"/>
    <w:rsid w:val="0028748B"/>
    <w:rsid w:val="00294DC9"/>
    <w:rsid w:val="00295495"/>
    <w:rsid w:val="002A31DE"/>
    <w:rsid w:val="002B2613"/>
    <w:rsid w:val="002C34DF"/>
    <w:rsid w:val="002D19B0"/>
    <w:rsid w:val="002D6D05"/>
    <w:rsid w:val="002E11A4"/>
    <w:rsid w:val="002E2E1D"/>
    <w:rsid w:val="002E4B2F"/>
    <w:rsid w:val="002F051C"/>
    <w:rsid w:val="002F1818"/>
    <w:rsid w:val="002F567B"/>
    <w:rsid w:val="003216A9"/>
    <w:rsid w:val="00325269"/>
    <w:rsid w:val="00335A74"/>
    <w:rsid w:val="00342949"/>
    <w:rsid w:val="00342E85"/>
    <w:rsid w:val="003461C5"/>
    <w:rsid w:val="0036561B"/>
    <w:rsid w:val="003700D1"/>
    <w:rsid w:val="0037013F"/>
    <w:rsid w:val="00380C92"/>
    <w:rsid w:val="0038356B"/>
    <w:rsid w:val="003850D3"/>
    <w:rsid w:val="00392AF2"/>
    <w:rsid w:val="003A484F"/>
    <w:rsid w:val="003A4883"/>
    <w:rsid w:val="003B0BE0"/>
    <w:rsid w:val="003B0C1B"/>
    <w:rsid w:val="003B688C"/>
    <w:rsid w:val="003B6FB6"/>
    <w:rsid w:val="003C0291"/>
    <w:rsid w:val="003C39AE"/>
    <w:rsid w:val="003C498A"/>
    <w:rsid w:val="003C7B60"/>
    <w:rsid w:val="003D0C0F"/>
    <w:rsid w:val="003D1FB2"/>
    <w:rsid w:val="003D66DA"/>
    <w:rsid w:val="003E1310"/>
    <w:rsid w:val="003E6F55"/>
    <w:rsid w:val="003F0BC8"/>
    <w:rsid w:val="00401661"/>
    <w:rsid w:val="00406254"/>
    <w:rsid w:val="00406FCE"/>
    <w:rsid w:val="00407F2B"/>
    <w:rsid w:val="00413841"/>
    <w:rsid w:val="00416CD4"/>
    <w:rsid w:val="004223DE"/>
    <w:rsid w:val="0042673E"/>
    <w:rsid w:val="00433919"/>
    <w:rsid w:val="00434489"/>
    <w:rsid w:val="00436945"/>
    <w:rsid w:val="00437085"/>
    <w:rsid w:val="00442F8B"/>
    <w:rsid w:val="00443880"/>
    <w:rsid w:val="004464F4"/>
    <w:rsid w:val="004542C5"/>
    <w:rsid w:val="00471401"/>
    <w:rsid w:val="00473746"/>
    <w:rsid w:val="00473F31"/>
    <w:rsid w:val="00474FB7"/>
    <w:rsid w:val="00476BD7"/>
    <w:rsid w:val="0048263A"/>
    <w:rsid w:val="00487E5D"/>
    <w:rsid w:val="004910A1"/>
    <w:rsid w:val="004A711F"/>
    <w:rsid w:val="004B199D"/>
    <w:rsid w:val="004B4690"/>
    <w:rsid w:val="004C2CB0"/>
    <w:rsid w:val="004C6EF8"/>
    <w:rsid w:val="004E0A2D"/>
    <w:rsid w:val="004E206B"/>
    <w:rsid w:val="004E3483"/>
    <w:rsid w:val="004E6DF7"/>
    <w:rsid w:val="004F0FBD"/>
    <w:rsid w:val="004F403E"/>
    <w:rsid w:val="005046C4"/>
    <w:rsid w:val="00505A47"/>
    <w:rsid w:val="00506574"/>
    <w:rsid w:val="00510E82"/>
    <w:rsid w:val="00512FDA"/>
    <w:rsid w:val="00513E96"/>
    <w:rsid w:val="00520DA0"/>
    <w:rsid w:val="00523200"/>
    <w:rsid w:val="005353FE"/>
    <w:rsid w:val="00536ADC"/>
    <w:rsid w:val="005664BB"/>
    <w:rsid w:val="00566FFA"/>
    <w:rsid w:val="00571824"/>
    <w:rsid w:val="0057481D"/>
    <w:rsid w:val="005756C3"/>
    <w:rsid w:val="00575F0B"/>
    <w:rsid w:val="00582510"/>
    <w:rsid w:val="0058486E"/>
    <w:rsid w:val="00585B33"/>
    <w:rsid w:val="005871A7"/>
    <w:rsid w:val="0059014D"/>
    <w:rsid w:val="005B5C64"/>
    <w:rsid w:val="005B5F35"/>
    <w:rsid w:val="005B7C76"/>
    <w:rsid w:val="005C6BD0"/>
    <w:rsid w:val="005C6C4C"/>
    <w:rsid w:val="005D1C8B"/>
    <w:rsid w:val="005D468D"/>
    <w:rsid w:val="005D5CED"/>
    <w:rsid w:val="005D641B"/>
    <w:rsid w:val="005E33BB"/>
    <w:rsid w:val="005F1A4C"/>
    <w:rsid w:val="00600E97"/>
    <w:rsid w:val="006025EC"/>
    <w:rsid w:val="006034FD"/>
    <w:rsid w:val="00605688"/>
    <w:rsid w:val="00605BCF"/>
    <w:rsid w:val="006070AF"/>
    <w:rsid w:val="00607E6C"/>
    <w:rsid w:val="006101B1"/>
    <w:rsid w:val="00614E44"/>
    <w:rsid w:val="006223F4"/>
    <w:rsid w:val="0062270A"/>
    <w:rsid w:val="00622830"/>
    <w:rsid w:val="00623DA0"/>
    <w:rsid w:val="00630AEF"/>
    <w:rsid w:val="006325F8"/>
    <w:rsid w:val="00633463"/>
    <w:rsid w:val="00634C9A"/>
    <w:rsid w:val="006440E4"/>
    <w:rsid w:val="0066092A"/>
    <w:rsid w:val="006610F0"/>
    <w:rsid w:val="0066343B"/>
    <w:rsid w:val="00664777"/>
    <w:rsid w:val="006748A4"/>
    <w:rsid w:val="006765B8"/>
    <w:rsid w:val="00677572"/>
    <w:rsid w:val="00681A31"/>
    <w:rsid w:val="00681FC8"/>
    <w:rsid w:val="00683E73"/>
    <w:rsid w:val="00694E54"/>
    <w:rsid w:val="006A3141"/>
    <w:rsid w:val="006A5E34"/>
    <w:rsid w:val="006B2422"/>
    <w:rsid w:val="006B2B9A"/>
    <w:rsid w:val="006B561D"/>
    <w:rsid w:val="006B7A92"/>
    <w:rsid w:val="006C1937"/>
    <w:rsid w:val="006D37E8"/>
    <w:rsid w:val="006F020C"/>
    <w:rsid w:val="006F35FE"/>
    <w:rsid w:val="006F3A66"/>
    <w:rsid w:val="006F50E1"/>
    <w:rsid w:val="0070354F"/>
    <w:rsid w:val="007127B7"/>
    <w:rsid w:val="00715573"/>
    <w:rsid w:val="00716701"/>
    <w:rsid w:val="0071798E"/>
    <w:rsid w:val="0072091E"/>
    <w:rsid w:val="00727533"/>
    <w:rsid w:val="00734F7B"/>
    <w:rsid w:val="00740BBB"/>
    <w:rsid w:val="007416B6"/>
    <w:rsid w:val="00746F48"/>
    <w:rsid w:val="0075404D"/>
    <w:rsid w:val="0076182A"/>
    <w:rsid w:val="00767B7E"/>
    <w:rsid w:val="00767EA2"/>
    <w:rsid w:val="00770D6A"/>
    <w:rsid w:val="00772117"/>
    <w:rsid w:val="007770C3"/>
    <w:rsid w:val="0078189B"/>
    <w:rsid w:val="00784D24"/>
    <w:rsid w:val="00785FBA"/>
    <w:rsid w:val="00786E4A"/>
    <w:rsid w:val="007875EB"/>
    <w:rsid w:val="00787DC7"/>
    <w:rsid w:val="0079426B"/>
    <w:rsid w:val="007B2A96"/>
    <w:rsid w:val="007D1682"/>
    <w:rsid w:val="007D312A"/>
    <w:rsid w:val="007D3F19"/>
    <w:rsid w:val="007E23B0"/>
    <w:rsid w:val="007E2CFA"/>
    <w:rsid w:val="007E591F"/>
    <w:rsid w:val="007F1991"/>
    <w:rsid w:val="007F2C2F"/>
    <w:rsid w:val="007F55FC"/>
    <w:rsid w:val="007F5665"/>
    <w:rsid w:val="00800112"/>
    <w:rsid w:val="00813348"/>
    <w:rsid w:val="00816472"/>
    <w:rsid w:val="008253BB"/>
    <w:rsid w:val="00833962"/>
    <w:rsid w:val="0083706E"/>
    <w:rsid w:val="008408F6"/>
    <w:rsid w:val="008423A5"/>
    <w:rsid w:val="00843396"/>
    <w:rsid w:val="0084370C"/>
    <w:rsid w:val="00850625"/>
    <w:rsid w:val="00853718"/>
    <w:rsid w:val="00855221"/>
    <w:rsid w:val="00855881"/>
    <w:rsid w:val="00860645"/>
    <w:rsid w:val="00861D22"/>
    <w:rsid w:val="00862FEF"/>
    <w:rsid w:val="008631E5"/>
    <w:rsid w:val="00866B87"/>
    <w:rsid w:val="0087095A"/>
    <w:rsid w:val="00871F71"/>
    <w:rsid w:val="00872FD8"/>
    <w:rsid w:val="00880370"/>
    <w:rsid w:val="0088582A"/>
    <w:rsid w:val="00885AF4"/>
    <w:rsid w:val="00886068"/>
    <w:rsid w:val="008939CD"/>
    <w:rsid w:val="008939D5"/>
    <w:rsid w:val="008976AA"/>
    <w:rsid w:val="008B5DB9"/>
    <w:rsid w:val="008B641B"/>
    <w:rsid w:val="008B768C"/>
    <w:rsid w:val="008C4DB1"/>
    <w:rsid w:val="008C4EAF"/>
    <w:rsid w:val="008C5176"/>
    <w:rsid w:val="008C7FD0"/>
    <w:rsid w:val="008E1DE7"/>
    <w:rsid w:val="008E520D"/>
    <w:rsid w:val="008E63B3"/>
    <w:rsid w:val="008E68D8"/>
    <w:rsid w:val="008E707C"/>
    <w:rsid w:val="00900054"/>
    <w:rsid w:val="00900B08"/>
    <w:rsid w:val="00902155"/>
    <w:rsid w:val="009029C2"/>
    <w:rsid w:val="00902FA3"/>
    <w:rsid w:val="00921162"/>
    <w:rsid w:val="00923564"/>
    <w:rsid w:val="0092392E"/>
    <w:rsid w:val="0092393E"/>
    <w:rsid w:val="009315F9"/>
    <w:rsid w:val="00933499"/>
    <w:rsid w:val="00935C98"/>
    <w:rsid w:val="00943342"/>
    <w:rsid w:val="00946945"/>
    <w:rsid w:val="00951248"/>
    <w:rsid w:val="0095152F"/>
    <w:rsid w:val="009547DD"/>
    <w:rsid w:val="00954C49"/>
    <w:rsid w:val="00955E37"/>
    <w:rsid w:val="0097099F"/>
    <w:rsid w:val="00971002"/>
    <w:rsid w:val="00971997"/>
    <w:rsid w:val="00971FFC"/>
    <w:rsid w:val="0097592A"/>
    <w:rsid w:val="009809A5"/>
    <w:rsid w:val="0098660A"/>
    <w:rsid w:val="00986E3B"/>
    <w:rsid w:val="0099251B"/>
    <w:rsid w:val="009931C3"/>
    <w:rsid w:val="009A31A1"/>
    <w:rsid w:val="009B2C43"/>
    <w:rsid w:val="009B4EAE"/>
    <w:rsid w:val="009B6F25"/>
    <w:rsid w:val="009B7573"/>
    <w:rsid w:val="009C16D7"/>
    <w:rsid w:val="009C22F4"/>
    <w:rsid w:val="009C2E98"/>
    <w:rsid w:val="009C37FB"/>
    <w:rsid w:val="009D3447"/>
    <w:rsid w:val="009D4711"/>
    <w:rsid w:val="009D679E"/>
    <w:rsid w:val="009E1FC2"/>
    <w:rsid w:val="009F1185"/>
    <w:rsid w:val="009F18CD"/>
    <w:rsid w:val="009F1DE1"/>
    <w:rsid w:val="009F2A13"/>
    <w:rsid w:val="009F7527"/>
    <w:rsid w:val="00A016DB"/>
    <w:rsid w:val="00A039ED"/>
    <w:rsid w:val="00A04EB0"/>
    <w:rsid w:val="00A13CC1"/>
    <w:rsid w:val="00A16847"/>
    <w:rsid w:val="00A20738"/>
    <w:rsid w:val="00A237D8"/>
    <w:rsid w:val="00A268C4"/>
    <w:rsid w:val="00A27458"/>
    <w:rsid w:val="00A307CD"/>
    <w:rsid w:val="00A30DE9"/>
    <w:rsid w:val="00A331C8"/>
    <w:rsid w:val="00A35117"/>
    <w:rsid w:val="00A40A00"/>
    <w:rsid w:val="00A4142F"/>
    <w:rsid w:val="00A422EB"/>
    <w:rsid w:val="00A45BB7"/>
    <w:rsid w:val="00A46F6F"/>
    <w:rsid w:val="00A52D68"/>
    <w:rsid w:val="00A56DF2"/>
    <w:rsid w:val="00A56E6E"/>
    <w:rsid w:val="00A67AB5"/>
    <w:rsid w:val="00A733B2"/>
    <w:rsid w:val="00A741C2"/>
    <w:rsid w:val="00A8487C"/>
    <w:rsid w:val="00A90054"/>
    <w:rsid w:val="00A9101D"/>
    <w:rsid w:val="00A91760"/>
    <w:rsid w:val="00A92C4D"/>
    <w:rsid w:val="00A93B00"/>
    <w:rsid w:val="00A93C21"/>
    <w:rsid w:val="00AA540B"/>
    <w:rsid w:val="00AB64C9"/>
    <w:rsid w:val="00AC3C6A"/>
    <w:rsid w:val="00AD0F83"/>
    <w:rsid w:val="00AD2698"/>
    <w:rsid w:val="00AD3808"/>
    <w:rsid w:val="00AD5620"/>
    <w:rsid w:val="00AD656B"/>
    <w:rsid w:val="00AD7C1B"/>
    <w:rsid w:val="00AE16BA"/>
    <w:rsid w:val="00AE1EBE"/>
    <w:rsid w:val="00B008B6"/>
    <w:rsid w:val="00B03C9D"/>
    <w:rsid w:val="00B060AE"/>
    <w:rsid w:val="00B10517"/>
    <w:rsid w:val="00B11570"/>
    <w:rsid w:val="00B14E76"/>
    <w:rsid w:val="00B161B8"/>
    <w:rsid w:val="00B2048C"/>
    <w:rsid w:val="00B310B9"/>
    <w:rsid w:val="00B35F3F"/>
    <w:rsid w:val="00B36CBB"/>
    <w:rsid w:val="00B425E0"/>
    <w:rsid w:val="00B440AA"/>
    <w:rsid w:val="00B44B70"/>
    <w:rsid w:val="00B53C56"/>
    <w:rsid w:val="00B56E57"/>
    <w:rsid w:val="00B57005"/>
    <w:rsid w:val="00B571F8"/>
    <w:rsid w:val="00B5762F"/>
    <w:rsid w:val="00B57DAF"/>
    <w:rsid w:val="00B77EA6"/>
    <w:rsid w:val="00B81598"/>
    <w:rsid w:val="00B81FC6"/>
    <w:rsid w:val="00B841F1"/>
    <w:rsid w:val="00B90B92"/>
    <w:rsid w:val="00B944D6"/>
    <w:rsid w:val="00BA4965"/>
    <w:rsid w:val="00BB2BAE"/>
    <w:rsid w:val="00BB4DF0"/>
    <w:rsid w:val="00BC289F"/>
    <w:rsid w:val="00BC2D50"/>
    <w:rsid w:val="00BC5361"/>
    <w:rsid w:val="00BC5460"/>
    <w:rsid w:val="00BC6B50"/>
    <w:rsid w:val="00BD0E25"/>
    <w:rsid w:val="00BD3814"/>
    <w:rsid w:val="00BD38BA"/>
    <w:rsid w:val="00BE0973"/>
    <w:rsid w:val="00BE2C0A"/>
    <w:rsid w:val="00BF0F26"/>
    <w:rsid w:val="00BF3045"/>
    <w:rsid w:val="00BF3797"/>
    <w:rsid w:val="00BF5BD6"/>
    <w:rsid w:val="00C03E31"/>
    <w:rsid w:val="00C20412"/>
    <w:rsid w:val="00C2642D"/>
    <w:rsid w:val="00C30E69"/>
    <w:rsid w:val="00C33329"/>
    <w:rsid w:val="00C33E72"/>
    <w:rsid w:val="00C354B2"/>
    <w:rsid w:val="00C35554"/>
    <w:rsid w:val="00C36811"/>
    <w:rsid w:val="00C36B19"/>
    <w:rsid w:val="00C42709"/>
    <w:rsid w:val="00C434F5"/>
    <w:rsid w:val="00C46560"/>
    <w:rsid w:val="00C52D7A"/>
    <w:rsid w:val="00C533CC"/>
    <w:rsid w:val="00C5751C"/>
    <w:rsid w:val="00C61BFC"/>
    <w:rsid w:val="00C62B85"/>
    <w:rsid w:val="00C65438"/>
    <w:rsid w:val="00C740DD"/>
    <w:rsid w:val="00C830C3"/>
    <w:rsid w:val="00C91CBB"/>
    <w:rsid w:val="00C91ED0"/>
    <w:rsid w:val="00CA615D"/>
    <w:rsid w:val="00CB3119"/>
    <w:rsid w:val="00CB4E70"/>
    <w:rsid w:val="00CC09B6"/>
    <w:rsid w:val="00CC666F"/>
    <w:rsid w:val="00CD1E3F"/>
    <w:rsid w:val="00CD363E"/>
    <w:rsid w:val="00CD63E6"/>
    <w:rsid w:val="00CE385D"/>
    <w:rsid w:val="00CE44F6"/>
    <w:rsid w:val="00CE49DA"/>
    <w:rsid w:val="00CE76CD"/>
    <w:rsid w:val="00CE7B61"/>
    <w:rsid w:val="00D00095"/>
    <w:rsid w:val="00D114F0"/>
    <w:rsid w:val="00D115CA"/>
    <w:rsid w:val="00D13EA0"/>
    <w:rsid w:val="00D20620"/>
    <w:rsid w:val="00D2224D"/>
    <w:rsid w:val="00D22F63"/>
    <w:rsid w:val="00D2349B"/>
    <w:rsid w:val="00D254F7"/>
    <w:rsid w:val="00D26091"/>
    <w:rsid w:val="00D2685C"/>
    <w:rsid w:val="00D33913"/>
    <w:rsid w:val="00D34E7C"/>
    <w:rsid w:val="00D35489"/>
    <w:rsid w:val="00D36AFE"/>
    <w:rsid w:val="00D415EB"/>
    <w:rsid w:val="00D51276"/>
    <w:rsid w:val="00D51648"/>
    <w:rsid w:val="00D5707D"/>
    <w:rsid w:val="00D575D7"/>
    <w:rsid w:val="00D577AE"/>
    <w:rsid w:val="00D65B63"/>
    <w:rsid w:val="00D7035F"/>
    <w:rsid w:val="00D83BEE"/>
    <w:rsid w:val="00DA47AD"/>
    <w:rsid w:val="00DA634F"/>
    <w:rsid w:val="00DA65AC"/>
    <w:rsid w:val="00DB1913"/>
    <w:rsid w:val="00DC35B3"/>
    <w:rsid w:val="00DC410D"/>
    <w:rsid w:val="00DC5A81"/>
    <w:rsid w:val="00DC68CA"/>
    <w:rsid w:val="00DC7CBA"/>
    <w:rsid w:val="00DD46FA"/>
    <w:rsid w:val="00DD4AE2"/>
    <w:rsid w:val="00DD73B7"/>
    <w:rsid w:val="00DE3762"/>
    <w:rsid w:val="00DF28BC"/>
    <w:rsid w:val="00DF34B9"/>
    <w:rsid w:val="00E01053"/>
    <w:rsid w:val="00E07ACF"/>
    <w:rsid w:val="00E331A1"/>
    <w:rsid w:val="00E33202"/>
    <w:rsid w:val="00E336A9"/>
    <w:rsid w:val="00E41334"/>
    <w:rsid w:val="00E4543F"/>
    <w:rsid w:val="00E472B1"/>
    <w:rsid w:val="00E50624"/>
    <w:rsid w:val="00E568DF"/>
    <w:rsid w:val="00E569D0"/>
    <w:rsid w:val="00E64269"/>
    <w:rsid w:val="00E66797"/>
    <w:rsid w:val="00E75A9D"/>
    <w:rsid w:val="00E82267"/>
    <w:rsid w:val="00E8440D"/>
    <w:rsid w:val="00E853CE"/>
    <w:rsid w:val="00E867B6"/>
    <w:rsid w:val="00E87F08"/>
    <w:rsid w:val="00E90518"/>
    <w:rsid w:val="00E94709"/>
    <w:rsid w:val="00EA010F"/>
    <w:rsid w:val="00EA0AEC"/>
    <w:rsid w:val="00EA1004"/>
    <w:rsid w:val="00EA2128"/>
    <w:rsid w:val="00EA3917"/>
    <w:rsid w:val="00EB43D1"/>
    <w:rsid w:val="00ED1B63"/>
    <w:rsid w:val="00ED3C1F"/>
    <w:rsid w:val="00ED4085"/>
    <w:rsid w:val="00ED420E"/>
    <w:rsid w:val="00ED517B"/>
    <w:rsid w:val="00ED6FBE"/>
    <w:rsid w:val="00EE2F57"/>
    <w:rsid w:val="00EE2F67"/>
    <w:rsid w:val="00EF4C34"/>
    <w:rsid w:val="00EF6D42"/>
    <w:rsid w:val="00EF77C6"/>
    <w:rsid w:val="00F05438"/>
    <w:rsid w:val="00F102E0"/>
    <w:rsid w:val="00F1361C"/>
    <w:rsid w:val="00F1460E"/>
    <w:rsid w:val="00F156F0"/>
    <w:rsid w:val="00F160C7"/>
    <w:rsid w:val="00F2408F"/>
    <w:rsid w:val="00F240E9"/>
    <w:rsid w:val="00F31A75"/>
    <w:rsid w:val="00F34177"/>
    <w:rsid w:val="00F36D8F"/>
    <w:rsid w:val="00F3797A"/>
    <w:rsid w:val="00F37DB6"/>
    <w:rsid w:val="00F417B1"/>
    <w:rsid w:val="00F45853"/>
    <w:rsid w:val="00F535A8"/>
    <w:rsid w:val="00F602DF"/>
    <w:rsid w:val="00F71C33"/>
    <w:rsid w:val="00F754A1"/>
    <w:rsid w:val="00F81FD9"/>
    <w:rsid w:val="00F83041"/>
    <w:rsid w:val="00F841AA"/>
    <w:rsid w:val="00F84A94"/>
    <w:rsid w:val="00F87E96"/>
    <w:rsid w:val="00F928DA"/>
    <w:rsid w:val="00F97DA1"/>
    <w:rsid w:val="00FA23E8"/>
    <w:rsid w:val="00FA5EF9"/>
    <w:rsid w:val="00FC2C10"/>
    <w:rsid w:val="00FC4CCE"/>
    <w:rsid w:val="00FD3CC1"/>
    <w:rsid w:val="00FD644F"/>
    <w:rsid w:val="00FD647C"/>
    <w:rsid w:val="00FF1E02"/>
    <w:rsid w:val="00FF30B4"/>
    <w:rsid w:val="00FF400E"/>
    <w:rsid w:val="0BDD5A20"/>
    <w:rsid w:val="0FBB5983"/>
    <w:rsid w:val="10C055FF"/>
    <w:rsid w:val="16BB723D"/>
    <w:rsid w:val="1C8979F4"/>
    <w:rsid w:val="240371BF"/>
    <w:rsid w:val="25E349C0"/>
    <w:rsid w:val="29FD04D3"/>
    <w:rsid w:val="2A3C1494"/>
    <w:rsid w:val="2CBA41E2"/>
    <w:rsid w:val="319F7F4E"/>
    <w:rsid w:val="383C6189"/>
    <w:rsid w:val="48762FE7"/>
    <w:rsid w:val="4ECE2238"/>
    <w:rsid w:val="6E0D03C5"/>
    <w:rsid w:val="70B7777F"/>
    <w:rsid w:val="72734D90"/>
    <w:rsid w:val="7A3F2E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Plain Text" w:semiHidden="0" w:qFormat="1"/>
    <w:lsdException w:name="Normal (Web)" w:semiHidden="0" w:uiPriority="0"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D0"/>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C91ED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91ED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91ED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C91ED0"/>
    <w:pPr>
      <w:spacing w:beforeLines="30"/>
    </w:pPr>
    <w:rPr>
      <w:rFonts w:ascii="仿宋_GB2312" w:eastAsia="仿宋_GB2312"/>
      <w:kern w:val="0"/>
      <w:sz w:val="30"/>
    </w:rPr>
  </w:style>
  <w:style w:type="paragraph" w:styleId="30">
    <w:name w:val="toc 3"/>
    <w:basedOn w:val="a"/>
    <w:next w:val="a"/>
    <w:uiPriority w:val="39"/>
    <w:unhideWhenUsed/>
    <w:qFormat/>
    <w:rsid w:val="00C91ED0"/>
    <w:pPr>
      <w:tabs>
        <w:tab w:val="right" w:leader="dot" w:pos="8296"/>
      </w:tabs>
      <w:ind w:leftChars="400" w:left="840"/>
    </w:pPr>
  </w:style>
  <w:style w:type="paragraph" w:styleId="a4">
    <w:name w:val="Plain Text"/>
    <w:basedOn w:val="a"/>
    <w:link w:val="Char0"/>
    <w:uiPriority w:val="99"/>
    <w:unhideWhenUsed/>
    <w:qFormat/>
    <w:rsid w:val="00C91ED0"/>
    <w:pPr>
      <w:widowControl/>
      <w:adjustRightInd w:val="0"/>
      <w:snapToGrid w:val="0"/>
      <w:spacing w:after="200"/>
      <w:jc w:val="left"/>
    </w:pPr>
    <w:rPr>
      <w:rFonts w:ascii="宋体" w:eastAsia="微软雅黑" w:hAnsi="Courier New" w:cs="Courier New"/>
      <w:kern w:val="0"/>
      <w:sz w:val="22"/>
      <w:szCs w:val="21"/>
    </w:rPr>
  </w:style>
  <w:style w:type="paragraph" w:styleId="a5">
    <w:name w:val="Balloon Text"/>
    <w:basedOn w:val="a"/>
    <w:link w:val="Char1"/>
    <w:uiPriority w:val="99"/>
    <w:unhideWhenUsed/>
    <w:qFormat/>
    <w:rsid w:val="00C91ED0"/>
    <w:rPr>
      <w:sz w:val="18"/>
      <w:szCs w:val="18"/>
    </w:rPr>
  </w:style>
  <w:style w:type="paragraph" w:styleId="a6">
    <w:name w:val="footer"/>
    <w:basedOn w:val="a"/>
    <w:link w:val="Char2"/>
    <w:uiPriority w:val="99"/>
    <w:qFormat/>
    <w:rsid w:val="00C91ED0"/>
    <w:pPr>
      <w:tabs>
        <w:tab w:val="center" w:pos="4153"/>
        <w:tab w:val="right" w:pos="8306"/>
      </w:tabs>
      <w:snapToGrid w:val="0"/>
      <w:jc w:val="left"/>
    </w:pPr>
    <w:rPr>
      <w:rFonts w:ascii="Calibri" w:hAnsi="Calibri"/>
      <w:kern w:val="0"/>
      <w:sz w:val="18"/>
      <w:szCs w:val="18"/>
    </w:rPr>
  </w:style>
  <w:style w:type="paragraph" w:styleId="a7">
    <w:name w:val="header"/>
    <w:basedOn w:val="a"/>
    <w:link w:val="Char3"/>
    <w:uiPriority w:val="99"/>
    <w:semiHidden/>
    <w:qFormat/>
    <w:rsid w:val="00C91ED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C91ED0"/>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C91ED0"/>
    <w:pPr>
      <w:tabs>
        <w:tab w:val="right" w:leader="dot" w:pos="8296"/>
      </w:tabs>
      <w:ind w:leftChars="200" w:left="420"/>
    </w:pPr>
  </w:style>
  <w:style w:type="paragraph" w:styleId="a8">
    <w:name w:val="Normal (Web)"/>
    <w:basedOn w:val="a"/>
    <w:rsid w:val="00C91ED0"/>
    <w:pPr>
      <w:spacing w:after="150"/>
      <w:jc w:val="left"/>
    </w:pPr>
    <w:rPr>
      <w:rFonts w:ascii="Calibri" w:hAnsi="Calibri"/>
      <w:kern w:val="0"/>
      <w:sz w:val="24"/>
    </w:rPr>
  </w:style>
  <w:style w:type="character" w:styleId="a9">
    <w:name w:val="Strong"/>
    <w:basedOn w:val="a0"/>
    <w:uiPriority w:val="99"/>
    <w:qFormat/>
    <w:rsid w:val="00C91ED0"/>
    <w:rPr>
      <w:b/>
    </w:rPr>
  </w:style>
  <w:style w:type="character" w:styleId="aa">
    <w:name w:val="Hyperlink"/>
    <w:basedOn w:val="a0"/>
    <w:uiPriority w:val="99"/>
    <w:unhideWhenUsed/>
    <w:qFormat/>
    <w:rsid w:val="00C91ED0"/>
    <w:rPr>
      <w:color w:val="0000FF" w:themeColor="hyperlink"/>
      <w:u w:val="single"/>
    </w:rPr>
  </w:style>
  <w:style w:type="character" w:customStyle="1" w:styleId="HeaderChar">
    <w:name w:val="Header Char"/>
    <w:basedOn w:val="a0"/>
    <w:uiPriority w:val="99"/>
    <w:semiHidden/>
    <w:qFormat/>
    <w:rsid w:val="00C91ED0"/>
    <w:rPr>
      <w:rFonts w:ascii="Times New Roman" w:hAnsi="Times New Roman"/>
      <w:sz w:val="18"/>
      <w:szCs w:val="18"/>
    </w:rPr>
  </w:style>
  <w:style w:type="character" w:customStyle="1" w:styleId="Char3">
    <w:name w:val="页眉 Char"/>
    <w:link w:val="a7"/>
    <w:uiPriority w:val="99"/>
    <w:semiHidden/>
    <w:qFormat/>
    <w:locked/>
    <w:rsid w:val="00C91ED0"/>
    <w:rPr>
      <w:sz w:val="18"/>
    </w:rPr>
  </w:style>
  <w:style w:type="character" w:customStyle="1" w:styleId="FooterChar">
    <w:name w:val="Footer Char"/>
    <w:basedOn w:val="a0"/>
    <w:uiPriority w:val="99"/>
    <w:semiHidden/>
    <w:qFormat/>
    <w:rsid w:val="00C91ED0"/>
    <w:rPr>
      <w:rFonts w:ascii="Times New Roman" w:hAnsi="Times New Roman"/>
      <w:sz w:val="18"/>
      <w:szCs w:val="18"/>
    </w:rPr>
  </w:style>
  <w:style w:type="character" w:customStyle="1" w:styleId="Char2">
    <w:name w:val="页脚 Char"/>
    <w:link w:val="a6"/>
    <w:uiPriority w:val="99"/>
    <w:qFormat/>
    <w:locked/>
    <w:rsid w:val="00C91ED0"/>
    <w:rPr>
      <w:sz w:val="18"/>
    </w:rPr>
  </w:style>
  <w:style w:type="character" w:customStyle="1" w:styleId="BodyTextChar">
    <w:name w:val="Body Text Char"/>
    <w:basedOn w:val="a0"/>
    <w:uiPriority w:val="99"/>
    <w:semiHidden/>
    <w:qFormat/>
    <w:rsid w:val="00C91ED0"/>
    <w:rPr>
      <w:rFonts w:ascii="Times New Roman" w:hAnsi="Times New Roman"/>
      <w:szCs w:val="24"/>
    </w:rPr>
  </w:style>
  <w:style w:type="character" w:customStyle="1" w:styleId="Char">
    <w:name w:val="正文文本 Char"/>
    <w:link w:val="a3"/>
    <w:uiPriority w:val="99"/>
    <w:qFormat/>
    <w:locked/>
    <w:rsid w:val="00C91ED0"/>
    <w:rPr>
      <w:rFonts w:ascii="仿宋_GB2312" w:eastAsia="仿宋_GB2312" w:hAnsi="Times New Roman"/>
      <w:sz w:val="24"/>
    </w:rPr>
  </w:style>
  <w:style w:type="paragraph" w:customStyle="1" w:styleId="Default">
    <w:name w:val="Default"/>
    <w:uiPriority w:val="99"/>
    <w:qFormat/>
    <w:rsid w:val="00C91ED0"/>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C91ED0"/>
    <w:pPr>
      <w:ind w:firstLineChars="200" w:firstLine="420"/>
    </w:pPr>
  </w:style>
  <w:style w:type="character" w:customStyle="1" w:styleId="1Char">
    <w:name w:val="标题 1 Char"/>
    <w:basedOn w:val="a0"/>
    <w:link w:val="1"/>
    <w:uiPriority w:val="9"/>
    <w:qFormat/>
    <w:rsid w:val="00C91ED0"/>
    <w:rPr>
      <w:rFonts w:ascii="Times New Roman" w:hAnsi="Times New Roman"/>
      <w:b/>
      <w:bCs/>
      <w:kern w:val="44"/>
      <w:sz w:val="44"/>
      <w:szCs w:val="44"/>
    </w:rPr>
  </w:style>
  <w:style w:type="character" w:customStyle="1" w:styleId="2Char">
    <w:name w:val="标题 2 Char"/>
    <w:basedOn w:val="a0"/>
    <w:link w:val="2"/>
    <w:uiPriority w:val="9"/>
    <w:qFormat/>
    <w:rsid w:val="00C91ED0"/>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C91ED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0"/>
    <w:link w:val="a5"/>
    <w:uiPriority w:val="99"/>
    <w:semiHidden/>
    <w:qFormat/>
    <w:rsid w:val="00C91ED0"/>
    <w:rPr>
      <w:rFonts w:ascii="Times New Roman" w:hAnsi="Times New Roman"/>
      <w:kern w:val="2"/>
      <w:sz w:val="18"/>
      <w:szCs w:val="18"/>
    </w:rPr>
  </w:style>
  <w:style w:type="character" w:customStyle="1" w:styleId="3Char">
    <w:name w:val="标题 3 Char"/>
    <w:basedOn w:val="a0"/>
    <w:link w:val="3"/>
    <w:uiPriority w:val="9"/>
    <w:qFormat/>
    <w:rsid w:val="00C91ED0"/>
    <w:rPr>
      <w:rFonts w:ascii="Times New Roman" w:hAnsi="Times New Roman"/>
      <w:b/>
      <w:bCs/>
      <w:kern w:val="2"/>
      <w:sz w:val="32"/>
      <w:szCs w:val="32"/>
    </w:rPr>
  </w:style>
  <w:style w:type="paragraph" w:customStyle="1" w:styleId="TOC2">
    <w:name w:val="TOC 标题2"/>
    <w:basedOn w:val="1"/>
    <w:next w:val="a"/>
    <w:uiPriority w:val="39"/>
    <w:unhideWhenUsed/>
    <w:qFormat/>
    <w:rsid w:val="00C91ED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纯文本 Char"/>
    <w:basedOn w:val="a0"/>
    <w:link w:val="a4"/>
    <w:uiPriority w:val="99"/>
    <w:qFormat/>
    <w:rsid w:val="00C91ED0"/>
    <w:rPr>
      <w:rFonts w:ascii="宋体" w:eastAsia="微软雅黑" w:hAnsi="Courier New" w:cs="Courier New"/>
      <w:sz w:val="22"/>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3"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1344;&#27604;&#222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3"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3"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1344;&#27604;&#222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1344;&#27604;&#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vertOverflow="ellipsis" anchor="ctr" anchorCtr="1"/>
          <a:lstStyle/>
          <a:p>
            <a:pPr algn="ctr" defTabSz="914400">
              <a:defRPr sz="1600" b="1" kern="1200">
                <a:solidFill>
                  <a:schemeClr val="tx2"/>
                </a:solidFill>
                <a:latin typeface="+mn-lt"/>
                <a:ea typeface="+mn-ea"/>
                <a:cs typeface="+mn-cs"/>
              </a:defRPr>
            </a:pPr>
            <a:r>
              <a:rPr sz="1600" b="1" i="0" u="none" strike="noStrike" kern="1200" cap="none" spc="0" normalizeH="0" baseline="0">
                <a:solidFill>
                  <a:schemeClr val="tx2"/>
                </a:solidFill>
                <a:effectLst/>
                <a:latin typeface="+mn-lt"/>
                <a:ea typeface="+mn-ea"/>
                <a:cs typeface="+mn-cs"/>
              </a:rPr>
              <a:t>收、支决算总计变动情况图</a:t>
            </a:r>
          </a:p>
        </c:rich>
      </c:tx>
      <c:layout>
        <c:manualLayout>
          <c:xMode val="edge"/>
          <c:yMode val="edge"/>
          <c:x val="0.25879265091863479"/>
          <c:y val="4.5138888888888916E-2"/>
        </c:manualLayout>
      </c:layout>
      <c:spPr>
        <a:noFill/>
        <a:ln>
          <a:noFill/>
        </a:ln>
        <a:effectLst/>
      </c:spPr>
    </c:title>
    <c:plotArea>
      <c:layout/>
      <c:barChart>
        <c:barDir val="col"/>
        <c:grouping val="clustered"/>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chemeClr val="accent1">
                  <a:alpha val="35000"/>
                </a:schemeClr>
              </a:outerShdw>
            </a:effectLst>
          </c:spPr>
          <c:dPt>
            <c:idx val="1"/>
            <c:spPr>
              <a:solidFill>
                <a:schemeClr val="accent2"/>
              </a:solidFill>
              <a:ln>
                <a:noFill/>
              </a:ln>
              <a:effectLst>
                <a:outerShdw blurRad="40000" dist="23000" dir="5400000" rotWithShape="0">
                  <a:schemeClr val="accent1">
                    <a:alpha val="35000"/>
                  </a:schemeClr>
                </a:outerShdw>
              </a:effectLst>
            </c:spPr>
          </c:dPt>
          <c:dLbls>
            <c:spPr>
              <a:noFill/>
              <a:ln>
                <a:noFill/>
              </a:ln>
              <a:effectLst/>
            </c:spPr>
            <c:txPr>
              <a:bodyPr rot="0" spcFirstLastPara="0" vertOverflow="ellipsis" horzOverflow="overflow" vert="horz" wrap="square" anchor="ctr" anchorCtr="1"/>
              <a:lstStyle/>
              <a:p>
                <a:pPr>
                  <a:defRPr sz="900" kern="1200">
                    <a:solidFill>
                      <a:schemeClr val="tx2"/>
                    </a:solidFill>
                    <a:latin typeface="+mn-lt"/>
                    <a:ea typeface="+mn-ea"/>
                    <a:cs typeface="+mn-cs"/>
                  </a:defRPr>
                </a:pPr>
                <a:endParaRPr lang="zh-CN"/>
              </a:p>
            </c:txPr>
            <c:dLblPos val="inEnd"/>
            <c:showVal val="1"/>
            <c:extLst>
              <c:ext xmlns:c15="http://schemas.microsoft.com/office/drawing/2012/chart" uri="{CE6537A1-D6FC-4f65-9D91-7224C49458BB}">
                <c15:layout/>
                <c15:showLeaderLines val="1"/>
                <c15:leaderLines>
                  <c:spPr>
                    <a:noFill/>
                    <a:ln w="9525">
                      <a:solidFill>
                        <a:schemeClr val="tx2">
                          <a:lumMod val="35000"/>
                          <a:lumOff val="65000"/>
                        </a:schemeClr>
                      </a:solidFill>
                    </a:ln>
                    <a:effectLst/>
                  </c:spPr>
                </c15:leaderLines>
              </c:ext>
            </c:extLst>
          </c:dLbls>
          <c:cat>
            <c:strRef>
              <c:f>[工作簿3]Sheet1!$C$5:$D$5</c:f>
              <c:strCache>
                <c:ptCount val="2"/>
                <c:pt idx="0">
                  <c:v>2018年</c:v>
                </c:pt>
                <c:pt idx="1">
                  <c:v>2019年</c:v>
                </c:pt>
              </c:strCache>
            </c:strRef>
          </c:cat>
          <c:val>
            <c:numRef>
              <c:f>[工作簿3]Sheet1!$C$6:$D$6</c:f>
              <c:numCache>
                <c:formatCode>General</c:formatCode>
                <c:ptCount val="2"/>
                <c:pt idx="0">
                  <c:v>3027.82</c:v>
                </c:pt>
                <c:pt idx="1">
                  <c:v>2428.15</c:v>
                </c:pt>
              </c:numCache>
            </c:numRef>
          </c:val>
        </c:ser>
        <c:gapWidth val="100"/>
        <c:overlap val="-24"/>
        <c:axId val="64954368"/>
        <c:axId val="64984192"/>
      </c:barChart>
      <c:catAx>
        <c:axId val="64954368"/>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0" vertOverflow="ellipsis" horzOverflow="overflow" vert="horz" wrap="square" anchor="ctr" anchorCtr="1"/>
          <a:lstStyle/>
          <a:p>
            <a:pPr>
              <a:defRPr sz="900" kern="1200">
                <a:solidFill>
                  <a:schemeClr val="tx2"/>
                </a:solidFill>
                <a:latin typeface="+mn-lt"/>
                <a:ea typeface="+mn-ea"/>
                <a:cs typeface="+mn-cs"/>
              </a:defRPr>
            </a:pPr>
            <a:endParaRPr lang="zh-CN"/>
          </a:p>
        </c:txPr>
        <c:crossAx val="64984192"/>
        <c:crosses val="autoZero"/>
        <c:auto val="1"/>
        <c:lblAlgn val="ctr"/>
        <c:lblOffset val="100"/>
        <c:tickMarkSkip val="1"/>
      </c:catAx>
      <c:valAx>
        <c:axId val="64984192"/>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horzOverflow="overflow" vert="horz" wrap="square" anchor="ctr" anchorCtr="1"/>
          <a:lstStyle/>
          <a:p>
            <a:pPr>
              <a:defRPr sz="900" kern="1200">
                <a:solidFill>
                  <a:schemeClr val="tx2"/>
                </a:solidFill>
                <a:latin typeface="+mn-lt"/>
                <a:ea typeface="+mn-ea"/>
                <a:cs typeface="+mn-cs"/>
              </a:defRPr>
            </a:pPr>
            <a:endParaRPr lang="zh-CN"/>
          </a:p>
        </c:txPr>
        <c:crossAx val="64954368"/>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2"/>
          </a:solidFill>
          <a:latin typeface="+mn-lt"/>
          <a:ea typeface="+mn-ea"/>
          <a:cs typeface="+mn-cs"/>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lgn="ctr">
              <a:defRPr lang="zh-CN" sz="1600" b="1" i="0" u="none" strike="noStrike" kern="1200" baseline="0">
                <a:solidFill>
                  <a:schemeClr val="tx1">
                    <a:lumMod val="65000"/>
                    <a:lumOff val="35000"/>
                  </a:schemeClr>
                </a:solidFill>
                <a:latin typeface="+mn-lt"/>
                <a:ea typeface="+mn-ea"/>
                <a:cs typeface="+mn-cs"/>
              </a:defRPr>
            </a:pPr>
            <a:r>
              <a:rPr lang="en-US"/>
              <a:t>2019</a:t>
            </a:r>
            <a:r>
              <a:rPr lang="zh-CN"/>
              <a:t>年收入</a:t>
            </a:r>
          </a:p>
        </c:rich>
      </c:tx>
      <c:layout>
        <c:manualLayout>
          <c:xMode val="edge"/>
          <c:yMode val="edge"/>
          <c:x val="0.40707478466600133"/>
          <c:y val="4.9535458553117813E-2"/>
        </c:manualLayout>
      </c:layout>
      <c:spPr>
        <a:noFill/>
        <a:ln>
          <a:noFill/>
        </a:ln>
        <a:effectLst/>
      </c:spPr>
    </c:title>
    <c:plotArea>
      <c:layout/>
      <c:pieChart>
        <c:varyColors val="1"/>
        <c:ser>
          <c:idx val="0"/>
          <c:order val="0"/>
          <c:tx>
            <c:strRef>
              <c:f>Sheet1!$B$1</c:f>
              <c:strCache>
                <c:ptCount val="1"/>
                <c:pt idx="0">
                  <c:v>2018年本年收入</c:v>
                </c:pt>
              </c:strCache>
            </c:strRef>
          </c:tx>
          <c:spPr>
            <a:effectLst/>
          </c:spPr>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strRef>
              <c:f>Sheet1!$A$2:$A$8</c:f>
              <c:strCache>
                <c:ptCount val="7"/>
                <c:pt idx="0">
                  <c:v>一般公共预算收入</c:v>
                </c:pt>
                <c:pt idx="1">
                  <c:v>政府性基金预算财政拨款收入</c:v>
                </c:pt>
                <c:pt idx="2">
                  <c:v>经营收入</c:v>
                </c:pt>
                <c:pt idx="3">
                  <c:v>附属单位上缴收入</c:v>
                </c:pt>
                <c:pt idx="4">
                  <c:v>其他收入</c:v>
                </c:pt>
                <c:pt idx="5">
                  <c:v>国有资本经营预算财政拨款收入</c:v>
                </c:pt>
                <c:pt idx="6">
                  <c:v>事业收入</c:v>
                </c:pt>
              </c:strCache>
            </c:strRef>
          </c:cat>
          <c:val>
            <c:numRef>
              <c:f>Sheet1!$B$2:$B$8</c:f>
              <c:numCache>
                <c:formatCode>General</c:formatCode>
                <c:ptCount val="7"/>
                <c:pt idx="0">
                  <c:v>839.94999999999948</c:v>
                </c:pt>
                <c:pt idx="1">
                  <c:v>0</c:v>
                </c:pt>
                <c:pt idx="2">
                  <c:v>0</c:v>
                </c:pt>
                <c:pt idx="3">
                  <c:v>0</c:v>
                </c:pt>
                <c:pt idx="4">
                  <c:v>0</c:v>
                </c:pt>
                <c:pt idx="5">
                  <c:v>0</c:v>
                </c:pt>
                <c:pt idx="6">
                  <c:v>0</c:v>
                </c:pt>
              </c:numCache>
            </c:numRef>
          </c:val>
        </c:ser>
        <c:firstSliceAng val="0"/>
      </c:pieChart>
      <c:spPr>
        <a:noFill/>
        <a:ln>
          <a:noFill/>
        </a:ln>
        <a:effectLst/>
      </c:spPr>
    </c:plotArea>
    <c:legend>
      <c:legendPos val="b"/>
      <c:spPr>
        <a:noFill/>
        <a:ln>
          <a:noFill/>
        </a:ln>
        <a:effectLst/>
      </c:spPr>
      <c:txPr>
        <a:bodyPr rot="0" spcFirstLastPara="1"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lang="en-US" altLang="zh-CN" sz="1600">
                <a:solidFill>
                  <a:schemeClr val="tx1"/>
                </a:solidFill>
                <a:latin typeface="方正小标宋_GBK" pitchFamily="4" charset="-122"/>
                <a:ea typeface="方正小标宋_GBK" pitchFamily="4" charset="-122"/>
                <a:cs typeface="方正小标宋_GBK" pitchFamily="4" charset="-122"/>
              </a:rPr>
              <a:t>2019</a:t>
            </a:r>
            <a:r>
              <a:rPr altLang="en-US" sz="1600">
                <a:solidFill>
                  <a:schemeClr val="tx1"/>
                </a:solidFill>
                <a:latin typeface="方正小标宋_GBK" pitchFamily="4" charset="-122"/>
                <a:ea typeface="方正小标宋_GBK" pitchFamily="4" charset="-122"/>
                <a:cs typeface="方正小标宋_GBK" pitchFamily="4" charset="-122"/>
              </a:rPr>
              <a:t>年支出情况</a:t>
            </a:r>
          </a:p>
        </c:rich>
      </c:tx>
      <c:spPr>
        <a:noFill/>
        <a:ln>
          <a:noFill/>
        </a:ln>
        <a:effectLst/>
      </c:spPr>
    </c:title>
    <c:plotArea>
      <c:layout/>
      <c:pieChart>
        <c:varyColors val="1"/>
        <c:ser>
          <c:idx val="0"/>
          <c:order val="0"/>
          <c:spPr>
            <a:effectLst/>
          </c:spPr>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layout>
                <c:manualLayout>
                  <c:x val="7.2674614847990579E-2"/>
                  <c:y val="3.8666971087533211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基本支出</a:t>
                    </a:r>
                    <a:r>
                      <a:rPr lang="en-US" altLang="zh-CN"/>
                      <a:t>447.31</a:t>
                    </a:r>
                    <a:r>
                      <a:rPr altLang="en-US"/>
                      <a:t>万元，</a:t>
                    </a:r>
                    <a:r>
                      <a:rPr lang="en-US" altLang="zh-CN"/>
                      <a:t>21.34</a:t>
                    </a:r>
                    <a:r>
                      <a:t>%</a:t>
                    </a:r>
                  </a:p>
                </c:rich>
              </c:tx>
              <c:spPr/>
              <c:dLblPos val="bestFit"/>
              <c:showCatName val="1"/>
              <c:showPercent val="1"/>
              <c:separator>
</c:separator>
              <c:extLst>
                <c:ext xmlns:c15="http://schemas.microsoft.com/office/drawing/2012/chart" uri="{CE6537A1-D6FC-4f65-9D91-7224C49458BB}">
                  <c15:layout>
                    <c:manualLayout>
                      <c:w val="0.207361111111111"/>
                      <c:h val="0.114351851851852"/>
                    </c:manualLayout>
                  </c15:layout>
                </c:ext>
              </c:extLst>
            </c:dLbl>
            <c:dLbl>
              <c:idx val="1"/>
              <c:layout>
                <c:manualLayout>
                  <c:x val="2.5000000000000012E-2"/>
                  <c:y val="1.0416666666666703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项目支出</a:t>
                    </a: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1648.78</a:t>
                    </a:r>
                    <a:r>
                      <a:rPr altLang="en-US"/>
                      <a:t>万元，</a:t>
                    </a:r>
                    <a:r>
                      <a:rPr lang="en-US" altLang="zh-CN"/>
                      <a:t>78.66</a:t>
                    </a:r>
                    <a:r>
                      <a:t>%</a:t>
                    </a:r>
                  </a:p>
                </c:rich>
              </c:tx>
              <c:spPr/>
              <c:dLblPos val="ctr"/>
              <c:showCatName val="1"/>
              <c:showPercent val="1"/>
              <c:separator>
</c:separator>
              <c:extLst>
                <c:ext xmlns:c15="http://schemas.microsoft.com/office/drawing/2012/chart" uri="{CE6537A1-D6FC-4f65-9D91-7224C49458BB}">
                  <c15:layout>
                    <c:manualLayout>
                      <c:w val="0.163194444444444"/>
                      <c:h val="0.163888888888889"/>
                    </c:manualLayout>
                  </c15:layout>
                </c:ext>
              </c:extLst>
            </c:dLbl>
            <c:dLbl>
              <c:idx val="2"/>
              <c:delete val="1"/>
            </c:dLbl>
            <c:dLbl>
              <c:idx val="3"/>
              <c:delete val="1"/>
            </c:dLbl>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CatName val="1"/>
            <c:showPercent val="1"/>
            <c:separator>
</c:separator>
            <c:showLeaderLines val="1"/>
            <c:extLst>
              <c:ext xmlns:c15="http://schemas.microsoft.com/office/drawing/2012/chart" uri="{CE6537A1-D6FC-4f65-9D91-7224C49458BB}">
                <c15:layout/>
                <c15:showLeaderLines val="1"/>
                <c15:leaderLines>
                  <c:spPr>
                    <a:noFill/>
                    <a:ln w="9525" cap="flat" cmpd="sng" algn="ctr">
                      <a:solidFill>
                        <a:schemeClr val="tx1">
                          <a:lumMod val="35000"/>
                          <a:lumOff val="65000"/>
                        </a:schemeClr>
                      </a:solidFill>
                      <a:round/>
                    </a:ln>
                    <a:effectLst/>
                  </c:spPr>
                </c15:leaderLines>
              </c:ext>
            </c:extLst>
          </c:dLbls>
          <c:cat>
            <c:strRef>
              <c:f>[占比图.xlsx]Sheet1!$C$5:$F$5</c:f>
              <c:strCache>
                <c:ptCount val="4"/>
                <c:pt idx="0">
                  <c:v>基本支出</c:v>
                </c:pt>
                <c:pt idx="1">
                  <c:v>项目支出</c:v>
                </c:pt>
                <c:pt idx="2">
                  <c:v>上缴上级支出</c:v>
                </c:pt>
                <c:pt idx="3">
                  <c:v>对附属单位补助支出</c:v>
                </c:pt>
              </c:strCache>
            </c:strRef>
          </c:cat>
          <c:val>
            <c:numRef>
              <c:f>[占比图.xlsx]Sheet1!$C$6:$F$6</c:f>
              <c:numCache>
                <c:formatCode>0.00%</c:formatCode>
                <c:ptCount val="4"/>
                <c:pt idx="0">
                  <c:v>0.21340000000000023</c:v>
                </c:pt>
                <c:pt idx="1">
                  <c:v>0.78660000000000063</c:v>
                </c:pt>
                <c:pt idx="2">
                  <c:v>0</c:v>
                </c:pt>
                <c:pt idx="3">
                  <c:v>0</c:v>
                </c:pt>
              </c:numCache>
            </c:numRef>
          </c:val>
        </c:ser>
        <c:dLbls>
          <c:showPercent val="1"/>
        </c:dLbls>
        <c:firstSliceAng val="0"/>
      </c:pieChart>
      <c:spPr>
        <a:noFill/>
        <a:ln>
          <a:noFill/>
        </a:ln>
        <a:effectLst/>
      </c:spPr>
    </c:plotArea>
    <c:legend>
      <c:legendPos val="b"/>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vertOverflow="ellipsis" anchor="ctr" anchorCtr="1"/>
          <a:lstStyle/>
          <a:p>
            <a:pPr algn="ctr" defTabSz="914400">
              <a:defRPr sz="1600" b="1" kern="1200">
                <a:solidFill>
                  <a:schemeClr val="tx2"/>
                </a:solidFill>
                <a:latin typeface="+mn-lt"/>
                <a:ea typeface="+mn-ea"/>
                <a:cs typeface="+mn-cs"/>
              </a:defRPr>
            </a:pPr>
            <a:r>
              <a:rPr sz="1600" b="1" i="0" u="none" strike="noStrike" kern="1200" cap="none" spc="0" normalizeH="0" baseline="0">
                <a:solidFill>
                  <a:schemeClr val="tx2"/>
                </a:solidFill>
                <a:effectLst/>
                <a:latin typeface="+mn-lt"/>
                <a:ea typeface="+mn-ea"/>
                <a:cs typeface="+mn-cs"/>
              </a:rPr>
              <a:t>财政拨款收、支决算总计变动情况图</a:t>
            </a:r>
          </a:p>
        </c:rich>
      </c:tx>
      <c:layout>
        <c:manualLayout>
          <c:xMode val="edge"/>
          <c:yMode val="edge"/>
          <c:x val="0.152542650918635"/>
          <c:y val="3.8194444444444399E-2"/>
        </c:manualLayout>
      </c:layout>
      <c:spPr>
        <a:noFill/>
        <a:ln>
          <a:noFill/>
        </a:ln>
        <a:effectLst/>
      </c:spPr>
    </c:title>
    <c:plotArea>
      <c:layout/>
      <c:barChart>
        <c:barDir val="col"/>
        <c:grouping val="clustered"/>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chemeClr val="accent1">
                  <a:alpha val="35000"/>
                </a:schemeClr>
              </a:outerShdw>
            </a:effectLst>
          </c:spPr>
          <c:dPt>
            <c:idx val="1"/>
            <c:spPr>
              <a:solidFill>
                <a:schemeClr val="accent2"/>
              </a:solidFill>
              <a:ln>
                <a:noFill/>
              </a:ln>
              <a:effectLst>
                <a:outerShdw blurRad="40000" dist="23000" dir="5400000" rotWithShape="0">
                  <a:schemeClr val="accent1">
                    <a:alpha val="35000"/>
                  </a:schemeClr>
                </a:outerShdw>
              </a:effectLst>
            </c:spPr>
          </c:dPt>
          <c:dLbls>
            <c:spPr>
              <a:noFill/>
              <a:ln>
                <a:noFill/>
              </a:ln>
              <a:effectLst/>
            </c:spPr>
            <c:txPr>
              <a:bodyPr rot="0" spcFirstLastPara="0" vertOverflow="ellipsis" horzOverflow="overflow" vert="horz" wrap="square" anchor="ctr" anchorCtr="1"/>
              <a:lstStyle/>
              <a:p>
                <a:pPr>
                  <a:defRPr sz="900" kern="1200">
                    <a:solidFill>
                      <a:schemeClr val="tx2"/>
                    </a:solidFill>
                    <a:latin typeface="+mn-lt"/>
                    <a:ea typeface="+mn-ea"/>
                    <a:cs typeface="+mn-cs"/>
                  </a:defRPr>
                </a:pPr>
                <a:endParaRPr lang="zh-CN"/>
              </a:p>
            </c:txPr>
            <c:dLblPos val="inEnd"/>
            <c:showVal val="1"/>
            <c:extLst>
              <c:ext xmlns:c15="http://schemas.microsoft.com/office/drawing/2012/chart" uri="{CE6537A1-D6FC-4f65-9D91-7224C49458BB}">
                <c15:layout/>
                <c15:showLeaderLines val="1"/>
                <c15:leaderLines>
                  <c:spPr>
                    <a:noFill/>
                    <a:ln w="9525">
                      <a:solidFill>
                        <a:schemeClr val="tx2">
                          <a:lumMod val="35000"/>
                          <a:lumOff val="65000"/>
                        </a:schemeClr>
                      </a:solidFill>
                    </a:ln>
                    <a:effectLst/>
                  </c:spPr>
                </c15:leaderLines>
              </c:ext>
            </c:extLst>
          </c:dLbls>
          <c:cat>
            <c:strRef>
              <c:f>[工作簿3]Sheet1!$C$5:$D$5</c:f>
              <c:strCache>
                <c:ptCount val="2"/>
                <c:pt idx="0">
                  <c:v>2018年</c:v>
                </c:pt>
                <c:pt idx="1">
                  <c:v>2019年</c:v>
                </c:pt>
              </c:strCache>
            </c:strRef>
          </c:cat>
          <c:val>
            <c:numRef>
              <c:f>[工作簿3]Sheet1!$C$6:$D$6</c:f>
              <c:numCache>
                <c:formatCode>General</c:formatCode>
                <c:ptCount val="2"/>
                <c:pt idx="0">
                  <c:v>1828.27</c:v>
                </c:pt>
                <c:pt idx="1">
                  <c:v>1992.73</c:v>
                </c:pt>
              </c:numCache>
            </c:numRef>
          </c:val>
        </c:ser>
        <c:gapWidth val="100"/>
        <c:overlap val="-24"/>
        <c:axId val="203760768"/>
        <c:axId val="203762304"/>
      </c:barChart>
      <c:catAx>
        <c:axId val="203760768"/>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0" vertOverflow="ellipsis" horzOverflow="overflow" vert="horz" wrap="square" anchor="ctr" anchorCtr="1"/>
          <a:lstStyle/>
          <a:p>
            <a:pPr>
              <a:defRPr sz="900" kern="1200">
                <a:solidFill>
                  <a:schemeClr val="tx2"/>
                </a:solidFill>
                <a:latin typeface="+mn-lt"/>
                <a:ea typeface="+mn-ea"/>
                <a:cs typeface="+mn-cs"/>
              </a:defRPr>
            </a:pPr>
            <a:endParaRPr lang="zh-CN"/>
          </a:p>
        </c:txPr>
        <c:crossAx val="203762304"/>
        <c:crosses val="autoZero"/>
        <c:auto val="1"/>
        <c:lblAlgn val="ctr"/>
        <c:lblOffset val="100"/>
        <c:tickMarkSkip val="1"/>
      </c:catAx>
      <c:valAx>
        <c:axId val="203762304"/>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horzOverflow="overflow" vert="horz" wrap="square" anchor="ctr" anchorCtr="1"/>
          <a:lstStyle/>
          <a:p>
            <a:pPr>
              <a:defRPr sz="900" kern="1200">
                <a:solidFill>
                  <a:schemeClr val="tx2"/>
                </a:solidFill>
                <a:latin typeface="+mn-lt"/>
                <a:ea typeface="+mn-ea"/>
                <a:cs typeface="+mn-cs"/>
              </a:defRPr>
            </a:pPr>
            <a:endParaRPr lang="zh-CN"/>
          </a:p>
        </c:txPr>
        <c:crossAx val="203760768"/>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2"/>
          </a:solidFill>
          <a:latin typeface="+mn-lt"/>
          <a:ea typeface="+mn-ea"/>
          <a:cs typeface="+mn-cs"/>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vertOverflow="ellipsis" anchor="ctr" anchorCtr="1"/>
          <a:lstStyle/>
          <a:p>
            <a:pPr algn="ctr" defTabSz="914400">
              <a:defRPr sz="1600" b="1" kern="1200">
                <a:solidFill>
                  <a:schemeClr val="tx2"/>
                </a:solidFill>
                <a:latin typeface="+mn-lt"/>
                <a:ea typeface="+mn-ea"/>
                <a:cs typeface="+mn-cs"/>
              </a:defRPr>
            </a:pPr>
            <a:r>
              <a:rPr sz="1600" b="1" i="0" u="none" strike="noStrike" kern="1200" cap="none" spc="0" normalizeH="0" baseline="0">
                <a:solidFill>
                  <a:schemeClr val="tx2"/>
                </a:solidFill>
                <a:effectLst/>
                <a:latin typeface="+mn-lt"/>
                <a:ea typeface="+mn-ea"/>
                <a:cs typeface="+mn-cs"/>
              </a:rPr>
              <a:t>一般公共预算财政拨款支出决算变动情况图</a:t>
            </a:r>
          </a:p>
        </c:rich>
      </c:tx>
      <c:layout>
        <c:manualLayout>
          <c:xMode val="edge"/>
          <c:yMode val="edge"/>
          <c:x val="0.10879265091863527"/>
          <c:y val="3.8194444444444399E-2"/>
        </c:manualLayout>
      </c:layout>
      <c:spPr>
        <a:noFill/>
        <a:ln>
          <a:noFill/>
        </a:ln>
        <a:effectLst/>
      </c:spPr>
    </c:title>
    <c:plotArea>
      <c:layout/>
      <c:barChart>
        <c:barDir val="col"/>
        <c:grouping val="clustered"/>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chemeClr val="accent1">
                  <a:alpha val="35000"/>
                </a:schemeClr>
              </a:outerShdw>
            </a:effectLst>
          </c:spPr>
          <c:dPt>
            <c:idx val="1"/>
            <c:spPr>
              <a:solidFill>
                <a:schemeClr val="accent2"/>
              </a:solidFill>
              <a:ln>
                <a:noFill/>
              </a:ln>
              <a:effectLst>
                <a:outerShdw blurRad="40000" dist="23000" dir="5400000" rotWithShape="0">
                  <a:schemeClr val="accent1">
                    <a:alpha val="35000"/>
                  </a:schemeClr>
                </a:outerShdw>
              </a:effectLst>
            </c:spPr>
          </c:dPt>
          <c:dLbls>
            <c:spPr>
              <a:noFill/>
              <a:ln>
                <a:noFill/>
              </a:ln>
              <a:effectLst/>
            </c:spPr>
            <c:txPr>
              <a:bodyPr rot="0" spcFirstLastPara="0" vertOverflow="ellipsis" horzOverflow="overflow" vert="horz" wrap="square" anchor="ctr" anchorCtr="1"/>
              <a:lstStyle/>
              <a:p>
                <a:pPr>
                  <a:defRPr sz="900" kern="1200">
                    <a:solidFill>
                      <a:schemeClr val="tx2"/>
                    </a:solidFill>
                    <a:latin typeface="+mn-lt"/>
                    <a:ea typeface="+mn-ea"/>
                    <a:cs typeface="+mn-cs"/>
                  </a:defRPr>
                </a:pPr>
                <a:endParaRPr lang="zh-CN"/>
              </a:p>
            </c:txPr>
            <c:dLblPos val="inEnd"/>
            <c:showVal val="1"/>
            <c:extLst>
              <c:ext xmlns:c15="http://schemas.microsoft.com/office/drawing/2012/chart" uri="{CE6537A1-D6FC-4f65-9D91-7224C49458BB}">
                <c15:layout/>
                <c15:showLeaderLines val="1"/>
                <c15:leaderLines>
                  <c:spPr>
                    <a:noFill/>
                    <a:ln w="9525">
                      <a:solidFill>
                        <a:schemeClr val="tx2">
                          <a:lumMod val="35000"/>
                          <a:lumOff val="65000"/>
                        </a:schemeClr>
                      </a:solidFill>
                    </a:ln>
                    <a:effectLst/>
                  </c:spPr>
                </c15:leaderLines>
              </c:ext>
            </c:extLst>
          </c:dLbls>
          <c:cat>
            <c:strRef>
              <c:f>[工作簿3]Sheet1!$C$5:$D$5</c:f>
              <c:strCache>
                <c:ptCount val="2"/>
                <c:pt idx="0">
                  <c:v>2018年</c:v>
                </c:pt>
                <c:pt idx="1">
                  <c:v>2019年</c:v>
                </c:pt>
              </c:strCache>
            </c:strRef>
          </c:cat>
          <c:val>
            <c:numRef>
              <c:f>[工作簿3]Sheet1!$C$6:$D$6</c:f>
              <c:numCache>
                <c:formatCode>General</c:formatCode>
                <c:ptCount val="2"/>
                <c:pt idx="0">
                  <c:v>2412.8100000000022</c:v>
                </c:pt>
                <c:pt idx="1">
                  <c:v>2019.52</c:v>
                </c:pt>
              </c:numCache>
            </c:numRef>
          </c:val>
        </c:ser>
        <c:gapWidth val="100"/>
        <c:overlap val="-24"/>
        <c:axId val="133403008"/>
        <c:axId val="133404544"/>
      </c:barChart>
      <c:catAx>
        <c:axId val="133403008"/>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0" vertOverflow="ellipsis" horzOverflow="overflow" vert="horz" wrap="square" anchor="ctr" anchorCtr="1"/>
          <a:lstStyle/>
          <a:p>
            <a:pPr>
              <a:defRPr sz="900" kern="1200">
                <a:solidFill>
                  <a:schemeClr val="tx2"/>
                </a:solidFill>
                <a:latin typeface="+mn-lt"/>
                <a:ea typeface="+mn-ea"/>
                <a:cs typeface="+mn-cs"/>
              </a:defRPr>
            </a:pPr>
            <a:endParaRPr lang="zh-CN"/>
          </a:p>
        </c:txPr>
        <c:crossAx val="133404544"/>
        <c:crosses val="autoZero"/>
        <c:auto val="1"/>
        <c:lblAlgn val="ctr"/>
        <c:lblOffset val="100"/>
        <c:tickMarkSkip val="1"/>
      </c:catAx>
      <c:valAx>
        <c:axId val="133404544"/>
        <c:scaling>
          <c:orientation val="minMax"/>
        </c:scaling>
        <c:axPos val="l"/>
        <c:majorGridlines>
          <c:spPr>
            <a:ln w="9525"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horzOverflow="overflow" vert="horz" wrap="square" anchor="ctr" anchorCtr="1"/>
          <a:lstStyle/>
          <a:p>
            <a:pPr>
              <a:defRPr sz="900" kern="1200">
                <a:solidFill>
                  <a:schemeClr val="tx2"/>
                </a:solidFill>
                <a:latin typeface="+mn-lt"/>
                <a:ea typeface="+mn-ea"/>
                <a:cs typeface="+mn-cs"/>
              </a:defRPr>
            </a:pPr>
            <a:endParaRPr lang="zh-CN"/>
          </a:p>
        </c:txPr>
        <c:crossAx val="133403008"/>
        <c:crosses val="autoZero"/>
        <c:crossBetween val="between"/>
      </c:valAx>
      <c:spPr>
        <a:noFill/>
        <a:ln>
          <a:noFill/>
        </a:ln>
        <a:effectLst/>
      </c:spPr>
    </c:plotArea>
    <c:plotVisOnly val="1"/>
    <c:dispBlanksAs val="gap"/>
  </c:chart>
  <c:spPr>
    <a:solidFill>
      <a:schemeClr val="bg1"/>
    </a:solidFill>
    <a:ln w="9525" cap="flat" cmpd="sng" algn="ctr">
      <a:solidFill>
        <a:schemeClr val="tx2">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2"/>
          </a:solidFill>
          <a:latin typeface="+mn-lt"/>
          <a:ea typeface="+mn-ea"/>
          <a:cs typeface="+mn-cs"/>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vertOverflow="ellipsis" anchor="ctr" anchorCtr="1"/>
          <a:lstStyle/>
          <a:p>
            <a:pPr algn="ctr" defTabSz="914400">
              <a:defRPr sz="1400" b="0" kern="1200" spc="0" baseline="0">
                <a:solidFill>
                  <a:schemeClr val="tx1">
                    <a:lumMod val="65000"/>
                    <a:lumOff val="35000"/>
                  </a:schemeClr>
                </a:solidFill>
                <a:latin typeface="+mn-lt"/>
                <a:ea typeface="+mn-ea"/>
                <a:cs typeface="+mn-cs"/>
              </a:defRPr>
            </a:pPr>
            <a:r>
              <a:rPr sz="1400" b="0" i="0" u="none" strike="noStrike" kern="1200" cap="none" spc="0" normalizeH="0" baseline="0">
                <a:solidFill>
                  <a:schemeClr val="tx1">
                    <a:lumMod val="65000"/>
                    <a:lumOff val="35000"/>
                  </a:schemeClr>
                </a:solidFill>
                <a:effectLst/>
                <a:latin typeface="+mn-lt"/>
                <a:ea typeface="+mn-ea"/>
                <a:cs typeface="+mn-cs"/>
              </a:rPr>
              <a:t>一般公共预算财政拨款支出决算结构情况</a:t>
            </a:r>
          </a:p>
        </c:rich>
      </c:tx>
      <c:layout>
        <c:manualLayout>
          <c:xMode val="edge"/>
          <c:yMode val="edge"/>
          <c:x val="0.13395870501921001"/>
          <c:y val="3.0617288656780896E-2"/>
        </c:manualLayout>
      </c:layout>
      <c:spPr>
        <a:noFill/>
        <a:ln>
          <a:noFill/>
        </a:ln>
        <a:effectLst/>
      </c:spPr>
    </c:title>
    <c:plotArea>
      <c:layout/>
      <c:pieChart>
        <c:varyColors val="1"/>
        <c:ser>
          <c:idx val="0"/>
          <c:order val="0"/>
          <c:spPr>
            <a:effectLst/>
          </c:spPr>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dLbl>
              <c:idx val="0"/>
              <c:layout>
                <c:manualLayout>
                  <c:x val="-1.947690595436842E-2"/>
                  <c:y val="-0.15619047619047627"/>
                </c:manualLayout>
              </c:layout>
              <c:spPr/>
              <c:txPr>
                <a:bodyPr/>
                <a:lstStyle/>
                <a:p>
                  <a:pPr>
                    <a:defRPr/>
                  </a:pPr>
                  <a:endParaRPr lang="zh-CN"/>
                </a:p>
              </c:txPr>
              <c:dLblPos val="bestFit"/>
              <c:showVal val="1"/>
              <c:extLst>
                <c:ext xmlns:c15="http://schemas.microsoft.com/office/drawing/2012/chart" uri="{CE6537A1-D6FC-4f65-9D91-7224C49458BB}">
                  <c15:layout/>
                </c:ext>
              </c:extLst>
            </c:dLbl>
            <c:dLbl>
              <c:idx val="1"/>
              <c:layout>
                <c:manualLayout>
                  <c:x val="-5.7205249222407301E-2"/>
                  <c:y val="4.1785149322575169E-2"/>
                </c:manualLayout>
              </c:layout>
              <c:spPr/>
              <c:txPr>
                <a:bodyPr/>
                <a:lstStyle/>
                <a:p>
                  <a:pPr>
                    <a:defRPr/>
                  </a:pPr>
                  <a:endParaRPr lang="zh-CN"/>
                </a:p>
              </c:txPr>
              <c:dLblPos val="bestFit"/>
              <c:showVal val="1"/>
              <c:extLst>
                <c:ext xmlns:c15="http://schemas.microsoft.com/office/drawing/2012/chart" uri="{CE6537A1-D6FC-4f65-9D91-7224C49458BB}">
                  <c15:layout/>
                </c:ext>
              </c:extLst>
            </c:dLbl>
            <c:dLbl>
              <c:idx val="2"/>
              <c:layout>
                <c:manualLayout>
                  <c:x val="-1.9757818112620826E-2"/>
                  <c:y val="-8.1571664500859793E-3"/>
                </c:manualLayout>
              </c:layout>
              <c:spPr/>
              <c:txPr>
                <a:bodyPr/>
                <a:lstStyle/>
                <a:p>
                  <a:pPr>
                    <a:defRPr/>
                  </a:pPr>
                  <a:endParaRPr lang="zh-CN"/>
                </a:p>
              </c:txPr>
              <c:dLblPos val="bestFit"/>
              <c:showVal val="1"/>
              <c:extLst>
                <c:ext xmlns:c15="http://schemas.microsoft.com/office/drawing/2012/chart" uri="{CE6537A1-D6FC-4f65-9D91-7224C49458BB}">
                  <c15:layout/>
                </c:ext>
              </c:extLst>
            </c:dLbl>
            <c:dLbl>
              <c:idx val="3"/>
              <c:layout>
                <c:manualLayout>
                  <c:x val="3.8336951997372706E-2"/>
                  <c:y val="-4.3457700791222006E-3"/>
                </c:manualLayout>
              </c:layout>
              <c:spPr/>
              <c:txPr>
                <a:bodyPr/>
                <a:lstStyle/>
                <a:p>
                  <a:pPr>
                    <a:defRPr/>
                  </a:pPr>
                  <a:endParaRPr lang="zh-CN"/>
                </a:p>
              </c:txPr>
              <c:dLblPos val="bestFit"/>
              <c:showVal val="1"/>
              <c:extLst>
                <c:ext xmlns:c15="http://schemas.microsoft.com/office/drawing/2012/chart" uri="{CE6537A1-D6FC-4f65-9D91-7224C49458BB}">
                  <c15:layout/>
                </c:ext>
              </c:extLst>
            </c:dLbl>
            <c:dLbl>
              <c:idx val="4"/>
              <c:layout>
                <c:manualLayout>
                  <c:x val="0.13988729003141323"/>
                  <c:y val="3.1386765784881206E-2"/>
                </c:manualLayout>
              </c:layout>
              <c:spPr/>
              <c:txPr>
                <a:bodyPr/>
                <a:lstStyle/>
                <a:p>
                  <a:pPr>
                    <a:defRPr/>
                  </a:pPr>
                  <a:endParaRPr lang="zh-CN"/>
                </a:p>
              </c:txPr>
              <c:dLblPos val="bestFit"/>
              <c:showVal val="1"/>
              <c:extLst>
                <c:ext xmlns:c15="http://schemas.microsoft.com/office/drawing/2012/chart" uri="{CE6537A1-D6FC-4f65-9D91-7224C49458BB}">
                  <c15:layout/>
                </c:ext>
              </c:extLst>
            </c:dLbl>
            <c:spPr>
              <a:noFill/>
              <a:ln>
                <a:noFill/>
              </a:ln>
              <a:effectLst/>
            </c:spPr>
            <c:txPr>
              <a:bodyPr rot="0" spcFirstLastPara="0" vertOverflow="ellipsis" horzOverflow="overflow" vert="horz" wrap="square" anchor="ctr" anchorCtr="1"/>
              <a:lstStyle/>
              <a:p>
                <a:pPr>
                  <a:defRPr sz="900" kern="1200">
                    <a:solidFill>
                      <a:schemeClr val="tx1">
                        <a:lumMod val="75000"/>
                        <a:lumOff val="25000"/>
                      </a:schemeClr>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spPr>
                    <a:noFill/>
                    <a:ln w="9525" cap="flat" cmpd="sng" algn="ctr">
                      <a:solidFill>
                        <a:schemeClr val="tx1">
                          <a:lumMod val="35000"/>
                          <a:lumOff val="65000"/>
                        </a:schemeClr>
                      </a:solidFill>
                      <a:round/>
                    </a:ln>
                    <a:effectLst/>
                  </c:spPr>
                </c15:leaderLines>
              </c:ext>
            </c:extLst>
          </c:dLbls>
          <c:cat>
            <c:strRef>
              <c:f>[占比图.xlsx]Sheet1!$C$5:$G$5</c:f>
              <c:strCache>
                <c:ptCount val="5"/>
                <c:pt idx="0">
                  <c:v>一般公共服务（类）</c:v>
                </c:pt>
                <c:pt idx="1">
                  <c:v>教育支出（类）</c:v>
                </c:pt>
                <c:pt idx="2">
                  <c:v>社会保障和就业（类）</c:v>
                </c:pt>
                <c:pt idx="3">
                  <c:v>住房保障支出</c:v>
                </c:pt>
                <c:pt idx="4">
                  <c:v>卫生健康支出</c:v>
                </c:pt>
              </c:strCache>
            </c:strRef>
          </c:cat>
          <c:val>
            <c:numRef>
              <c:f>[占比图.xlsx]Sheet1!$C$6:$G$6</c:f>
              <c:numCache>
                <c:formatCode>0.00%</c:formatCode>
                <c:ptCount val="5"/>
                <c:pt idx="0">
                  <c:v>0.96350000000000002</c:v>
                </c:pt>
                <c:pt idx="1">
                  <c:v>2.1000000000000012E-3</c:v>
                </c:pt>
                <c:pt idx="2">
                  <c:v>1.5800000000000019E-2</c:v>
                </c:pt>
                <c:pt idx="3">
                  <c:v>1.0900000000000003E-2</c:v>
                </c:pt>
                <c:pt idx="4">
                  <c:v>7.7000000000000072E-3</c:v>
                </c:pt>
              </c:numCache>
            </c:numRef>
          </c:val>
        </c:ser>
        <c:firstSliceAng val="0"/>
      </c:pieChart>
      <c:spPr>
        <a:noFill/>
        <a:ln>
          <a:noFill/>
        </a:ln>
        <a:effectLst/>
      </c:spPr>
    </c:plotArea>
    <c:legend>
      <c:legendPos val="b"/>
      <c:spPr>
        <a:noFill/>
        <a:ln>
          <a:noFill/>
        </a:ln>
        <a:effectLst/>
      </c:spPr>
      <c:txPr>
        <a:bodyPr rot="0" spcFirstLastPara="0" vertOverflow="ellipsis" horzOverflow="overflow" vert="horz" wrap="square" anchor="ctr" anchorCtr="1"/>
        <a:lstStyle/>
        <a:p>
          <a:pPr>
            <a:defRPr sz="900" kern="120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altLang="en-US" sz="1600">
                <a:solidFill>
                  <a:schemeClr val="tx1"/>
                </a:solidFill>
                <a:latin typeface="方正小标宋_GBK" pitchFamily="4" charset="-122"/>
                <a:ea typeface="方正小标宋_GBK" pitchFamily="4" charset="-122"/>
                <a:cs typeface="方正小标宋_GBK" pitchFamily="4" charset="-122"/>
              </a:rPr>
              <a:t>“三公”经费财政拨款支出结构图</a:t>
            </a:r>
          </a:p>
          <a:p>
            <a:pPr algn="ctr" defTabSz="914400">
              <a:defRPr lang="zh-CN" sz="1400" b="0" i="0" u="none" strike="noStrike" kern="1200" spc="0" baseline="0">
                <a:solidFill>
                  <a:schemeClr val="tx1">
                    <a:lumMod val="65000"/>
                    <a:lumOff val="35000"/>
                  </a:schemeClr>
                </a:solidFill>
                <a:latin typeface="+mn-lt"/>
                <a:ea typeface="+mn-ea"/>
                <a:cs typeface="+mn-cs"/>
              </a:defRPr>
            </a:pPr>
            <a:endParaRPr altLang="en-US" sz="1600">
              <a:solidFill>
                <a:schemeClr val="tx1"/>
              </a:solidFill>
              <a:latin typeface="方正小标宋_GBK" pitchFamily="4" charset="-122"/>
              <a:ea typeface="方正小标宋_GBK" pitchFamily="4" charset="-122"/>
              <a:cs typeface="方正小标宋_GBK" pitchFamily="4" charset="-122"/>
            </a:endParaRPr>
          </a:p>
        </c:rich>
      </c:tx>
      <c:layout>
        <c:manualLayout>
          <c:xMode val="edge"/>
          <c:yMode val="edge"/>
          <c:x val="0.15462598425196916"/>
          <c:y val="5.5555555555555552E-2"/>
        </c:manualLayout>
      </c:layout>
      <c:spPr>
        <a:noFill/>
        <a:ln>
          <a:noFill/>
        </a:ln>
        <a:effectLst/>
      </c:spPr>
    </c:title>
    <c:plotArea>
      <c:layout/>
      <c:pieChart>
        <c:varyColors val="1"/>
        <c:ser>
          <c:idx val="0"/>
          <c:order val="0"/>
          <c:spPr>
            <a:effectLst/>
          </c:spPr>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dLbl>
              <c:idx val="0"/>
              <c:layout>
                <c:manualLayout>
                  <c:x val="4.5591281514657113E-2"/>
                  <c:y val="-4.8138584468022314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公务用车购置及运行维护费</a:t>
                    </a:r>
                    <a:r>
                      <a:rPr lang="en-US" altLang="zh-CN"/>
                      <a:t>4</a:t>
                    </a:r>
                    <a:r>
                      <a:t>万元，</a:t>
                    </a:r>
                    <a:r>
                      <a:rPr lang="en-US" altLang="zh-CN"/>
                      <a:t>73</a:t>
                    </a:r>
                    <a:r>
                      <a:t>%</a:t>
                    </a:r>
                  </a:p>
                </c:rich>
              </c:tx>
              <c:spPr/>
              <c:dLblPos val="bestFit"/>
              <c:showCatName val="1"/>
              <c:showPercent val="1"/>
              <c:separator>
</c:separator>
              <c:extLst>
                <c:ext xmlns:c15="http://schemas.microsoft.com/office/drawing/2012/chart" uri="{CE6537A1-D6FC-4f65-9D91-7224C49458BB}">
                  <c15:layout>
                    <c:manualLayout>
                      <c:w val="0.207361111111111"/>
                      <c:h val="0.20787037037037"/>
                    </c:manualLayout>
                  </c15:layout>
                </c:ext>
              </c:extLst>
            </c:dLbl>
            <c:dLbl>
              <c:idx val="1"/>
              <c:layout>
                <c:manualLayout>
                  <c:x val="-0.18333333333333326"/>
                  <c:y val="-0.100694444444444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endParaRP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1.4公务接待费8</a:t>
                    </a:r>
                    <a:r>
                      <a:rPr altLang="en-US"/>
                      <a:t>万元，</a:t>
                    </a:r>
                    <a:r>
                      <a:rPr lang="en-US" altLang="zh-CN"/>
                      <a:t>27</a:t>
                    </a:r>
                    <a:r>
                      <a:t>%</a:t>
                    </a:r>
                  </a:p>
                </c:rich>
              </c:tx>
              <c:spPr/>
              <c:dLblPos val="ctr"/>
              <c:showCatName val="1"/>
              <c:showPercent val="1"/>
              <c:separator>
</c:separator>
              <c:extLst>
                <c:ext xmlns:c15="http://schemas.microsoft.com/office/drawing/2012/chart" uri="{CE6537A1-D6FC-4f65-9D91-7224C49458BB}">
                  <c15:layout>
                    <c:manualLayout>
                      <c:w val="0.163194444444444"/>
                      <c:h val="0.261342592592593"/>
                    </c:manualLayout>
                  </c15:layout>
                </c:ext>
              </c:extLst>
            </c:dLbl>
            <c:dLbl>
              <c:idx val="2"/>
              <c:delete val="1"/>
            </c:dLbl>
            <c:dLbl>
              <c:idx val="3"/>
              <c:delete val="1"/>
            </c:dLbl>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CatName val="1"/>
            <c:showPercent val="1"/>
            <c:separator>
</c:separator>
            <c:showLeaderLines val="1"/>
            <c:extLst>
              <c:ext xmlns:c15="http://schemas.microsoft.com/office/drawing/2012/chart" uri="{CE6537A1-D6FC-4f65-9D91-7224C49458BB}">
                <c15:layout/>
                <c15:showLeaderLines val="1"/>
                <c15:leaderLines>
                  <c:spPr>
                    <a:noFill/>
                    <a:ln w="9525" cap="flat" cmpd="sng" algn="ctr">
                      <a:solidFill>
                        <a:schemeClr val="tx1">
                          <a:lumMod val="35000"/>
                          <a:lumOff val="65000"/>
                        </a:schemeClr>
                      </a:solidFill>
                      <a:round/>
                    </a:ln>
                    <a:effectLst/>
                  </c:spPr>
                </c15:leaderLines>
              </c:ext>
            </c:extLst>
          </c:dLbls>
          <c:cat>
            <c:strRef>
              <c:f>[占比图.xlsx]Sheet1!$C$5:$F$5</c:f>
              <c:strCache>
                <c:ptCount val="4"/>
                <c:pt idx="0">
                  <c:v>公务用车购置及运行维护费</c:v>
                </c:pt>
                <c:pt idx="1">
                  <c:v>公务接待费</c:v>
                </c:pt>
                <c:pt idx="2">
                  <c:v>因公出国（境）费</c:v>
                </c:pt>
              </c:strCache>
            </c:strRef>
          </c:cat>
          <c:val>
            <c:numRef>
              <c:f>[占比图.xlsx]Sheet1!$C$6:$F$6</c:f>
              <c:numCache>
                <c:formatCode>0.00%</c:formatCode>
                <c:ptCount val="4"/>
                <c:pt idx="0">
                  <c:v>0.73000000000000065</c:v>
                </c:pt>
                <c:pt idx="1">
                  <c:v>0.27</c:v>
                </c:pt>
                <c:pt idx="2">
                  <c:v>0</c:v>
                </c:pt>
                <c:pt idx="3">
                  <c:v>0</c:v>
                </c:pt>
              </c:numCache>
            </c:numRef>
          </c:val>
        </c:ser>
        <c:dLbls>
          <c:showPercent val="1"/>
        </c:dLbls>
        <c:firstSliceAng val="0"/>
      </c:pieChart>
      <c:spPr>
        <a:noFill/>
        <a:ln>
          <a:noFill/>
        </a:ln>
        <a:effectLst/>
      </c:spPr>
    </c:plotArea>
    <c:legend>
      <c:legendPos val="b"/>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rot="0" spcFirstLastPara="0" vertOverflow="ellipsis" horzOverflow="overflow" vert="horz" wrap="square" anchor="ctr" anchorCtr="1"/>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2E3300-385D-4C93-822F-FA6A52DE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40</Pages>
  <Words>2613</Words>
  <Characters>14899</Characters>
  <Application>Microsoft Office Word</Application>
  <DocSecurity>0</DocSecurity>
  <Lines>124</Lines>
  <Paragraphs>34</Paragraphs>
  <ScaleCrop>false</ScaleCrop>
  <Company>四川省财政厅</Company>
  <LinksUpToDate>false</LinksUpToDate>
  <CharactersWithSpaces>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微软用户</cp:lastModifiedBy>
  <cp:revision>282</cp:revision>
  <cp:lastPrinted>2020-10-09T02:04:00Z</cp:lastPrinted>
  <dcterms:created xsi:type="dcterms:W3CDTF">2020-08-04T01:49:00Z</dcterms:created>
  <dcterms:modified xsi:type="dcterms:W3CDTF">2020-10-09T02:05:00Z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