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tabs>
          <w:tab w:val="left" w:pos="6909"/>
        </w:tabs>
        <w:spacing w:line="600" w:lineRule="exact"/>
        <w:jc w:val="left"/>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ab/>
      </w: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7425"/>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598"/>
      <w:bookmarkStart w:id="8" w:name="_Toc15378442"/>
      <w:bookmarkStart w:id="9" w:name="_Toc15396476"/>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巴中市民政局（汇总）</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pPr>
      <w:r>
        <w:rPr>
          <w:rFonts w:hint="eastAsia"/>
        </w:rPr>
        <w:t>公开时间：2020年</w:t>
      </w:r>
      <w:r>
        <w:rPr>
          <w:rFonts w:hint="eastAsia"/>
          <w:lang w:val="en-US" w:eastAsia="zh-CN"/>
        </w:rPr>
        <w:t>10</w:t>
      </w:r>
      <w:r>
        <w:rPr>
          <w:rFonts w:hint="eastAsia"/>
        </w:rPr>
        <w:t>月</w:t>
      </w:r>
      <w:r>
        <w:rPr>
          <w:rFonts w:hint="eastAsia"/>
          <w:lang w:val="en-US" w:eastAsia="zh-CN"/>
        </w:rPr>
        <w:t>1</w:t>
      </w:r>
      <w:r>
        <w:rPr>
          <w:rFonts w:hint="eastAsia"/>
        </w:rPr>
        <w:t>3日</w:t>
      </w:r>
    </w:p>
    <w:p/>
    <w:p>
      <w:pPr>
        <w:pStyle w:val="12"/>
        <w:adjustRightInd w:val="0"/>
        <w:snapToGrid w:val="0"/>
        <w:spacing w:before="0"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第一部分 部门概况</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一、基本职能及主要工作</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二、机构设置</w:t>
      </w:r>
    </w:p>
    <w:p>
      <w:pPr>
        <w:pStyle w:val="12"/>
        <w:adjustRightInd w:val="0"/>
        <w:snapToGrid w:val="0"/>
        <w:spacing w:before="0"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第二部分度部门决算情况说明</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一、收入支出决算总体情况说明</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二、收入决算情况说明</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三、支出决算情况说明</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四、财政拨款收入支出决算总体情况说明</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五、一般公共预算财政拨款支出决算情况说明</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六、一般公共预算财政拨款基本支出决算情况说明</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七、“三公”经费财政拨款支出决算情况说明</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八、政府性基金预算支出决算情况说明</w:t>
      </w:r>
    </w:p>
    <w:p>
      <w:pPr>
        <w:pStyle w:val="13"/>
        <w:adjustRightInd w:val="0"/>
        <w:snapToGrid w:val="0"/>
        <w:spacing w:line="440" w:lineRule="exact"/>
        <w:ind w:left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 国有资本经营预算支出决算情况说明</w:t>
      </w:r>
    </w:p>
    <w:p>
      <w:pPr>
        <w:adjustRightInd w:val="0"/>
        <w:snapToGrid w:val="0"/>
        <w:spacing w:line="440" w:lineRule="exact"/>
        <w:ind w:firstLine="640" w:firstLineChars="200"/>
        <w:jc w:val="left"/>
        <w:rPr>
          <w:rFonts w:hint="eastAsia" w:ascii="方正仿宋_GBK" w:hAnsi="方正仿宋_GBK" w:eastAsia="方正仿宋_GBK" w:cs="方正仿宋_GBK"/>
          <w:sz w:val="32"/>
          <w:szCs w:val="32"/>
        </w:rPr>
      </w:pPr>
      <w:r>
        <w:rPr>
          <w:rStyle w:val="18"/>
          <w:rFonts w:hint="eastAsia" w:ascii="方正仿宋_GBK" w:hAnsi="方正仿宋_GBK" w:eastAsia="方正仿宋_GBK" w:cs="方正仿宋_GBK"/>
          <w:color w:val="000000" w:themeColor="text1"/>
          <w:sz w:val="32"/>
          <w:szCs w:val="32"/>
          <w:u w:val="none"/>
        </w:rPr>
        <w:t>十、</w:t>
      </w:r>
      <w:r>
        <w:rPr>
          <w:rFonts w:hint="eastAsia" w:ascii="方正仿宋_GBK" w:hAnsi="方正仿宋_GBK" w:eastAsia="方正仿宋_GBK" w:cs="方正仿宋_GBK"/>
          <w:sz w:val="32"/>
          <w:szCs w:val="32"/>
        </w:rPr>
        <w:t>其他重要事项的情况说明</w:t>
      </w:r>
      <w:r>
        <w:rPr>
          <w:rFonts w:hint="eastAsia" w:ascii="方正仿宋_GBK" w:hAnsi="方正仿宋_GBK" w:eastAsia="方正仿宋_GBK" w:cs="方正仿宋_GBK"/>
          <w:sz w:val="32"/>
          <w:szCs w:val="32"/>
        </w:rPr>
        <w:tab/>
      </w:r>
    </w:p>
    <w:p>
      <w:pPr>
        <w:pStyle w:val="12"/>
        <w:adjustRightInd w:val="0"/>
        <w:snapToGrid w:val="0"/>
        <w:spacing w:before="0"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第三部分 名词解释</w:t>
      </w:r>
    </w:p>
    <w:p>
      <w:pPr>
        <w:pStyle w:val="12"/>
        <w:adjustRightInd w:val="0"/>
        <w:snapToGrid w:val="0"/>
        <w:spacing w:before="0"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第四部分 附件</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pStyle w:val="12"/>
        <w:adjustRightInd w:val="0"/>
        <w:snapToGrid w:val="0"/>
        <w:spacing w:before="0"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第五部分 附表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一、收入支出决算总表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二、收入决算表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三、支出决算表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四、财政拨款收入支出决算总表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五、财政拨款支出决算明细表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六、一般公共预算财政拨款支出决算表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七、一般公共预算财政拨款支出决算明细表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八、一般公共预算财政拨款基本支出决算表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九、一般公共预算财政拨款项目支出决算表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十、一般公共预算财政拨款“三公”经费支出决算表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十一、政府性基金预算财政拨款收入支出决算表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十二、政府性基金预算财政拨款“三公”经费支出决算表</w:t>
      </w:r>
    </w:p>
    <w:p>
      <w:pPr>
        <w:pStyle w:val="13"/>
        <w:adjustRightInd w:val="0"/>
        <w:snapToGrid w:val="0"/>
        <w:spacing w:line="44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十三、国有资本经营预算支出决算表</w:t>
      </w:r>
    </w:p>
    <w:p>
      <w:pPr>
        <w:widowControl/>
        <w:spacing w:line="440" w:lineRule="exact"/>
        <w:jc w:val="left"/>
        <w:rPr>
          <w:rFonts w:hint="eastAsia" w:ascii="方正仿宋_GBK" w:hAnsi="方正仿宋_GBK" w:eastAsia="方正仿宋_GBK" w:cs="方正仿宋_GBK"/>
          <w:bCs/>
          <w:kern w:val="44"/>
          <w:sz w:val="32"/>
          <w:szCs w:val="32"/>
        </w:rPr>
      </w:pPr>
      <w:bookmarkStart w:id="12" w:name="_Toc15377196"/>
      <w:bookmarkStart w:id="13" w:name="_Toc15396599"/>
      <w:r>
        <w:rPr>
          <w:rFonts w:hint="eastAsia" w:ascii="方正仿宋_GBK" w:hAnsi="方正仿宋_GBK" w:eastAsia="方正仿宋_GBK" w:cs="方正仿宋_GBK"/>
          <w:b/>
          <w:sz w:val="32"/>
          <w:szCs w:val="32"/>
        </w:rPr>
        <w:br w:type="page"/>
      </w:r>
      <w:bookmarkStart w:id="73" w:name="_GoBack"/>
      <w:bookmarkEnd w:id="73"/>
    </w:p>
    <w:p>
      <w:pPr>
        <w:pStyle w:val="3"/>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spacing w:before="0" w:after="0"/>
        <w:rPr>
          <w:rStyle w:val="28"/>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2"/>
        <w:adjustRightInd w:val="0"/>
        <w:snapToGrid w:val="0"/>
        <w:spacing w:beforeLines="0"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snapToGrid w:val="0"/>
        <w:spacing w:line="560" w:lineRule="exact"/>
        <w:ind w:firstLine="640" w:firstLineChars="200"/>
        <w:rPr>
          <w:rFonts w:ascii="仿宋" w:hAnsi="仿宋" w:eastAsia="仿宋"/>
          <w:bCs/>
          <w:color w:val="000000"/>
          <w:sz w:val="32"/>
          <w:szCs w:val="32"/>
        </w:rPr>
      </w:pPr>
      <w:r>
        <w:rPr>
          <w:rFonts w:hint="eastAsia" w:ascii="仿宋_GB2312" w:hAnsi="宋体" w:eastAsia="仿宋_GB2312" w:cs="仿宋_GB2312"/>
          <w:sz w:val="32"/>
          <w:szCs w:val="32"/>
          <w:lang w:bidi="ar"/>
        </w:rPr>
        <w:t>拟定全市民政事业发展规划、政策、标准并组织实施，主要承担全市社会组织登记与管理，社会救助服务和管理，行政区划调整与管理，城乡群众自治建设和社区建设，社会福利事业建设儿童福利、儿童保障，拟定促进慈善事业发展政策，拟定社会工作、志愿服务政策以及社会福利、养老、婚姻、殡葬等专项社会管理工作等。</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pacing w:line="580" w:lineRule="exact"/>
        <w:ind w:firstLine="640"/>
        <w:rPr>
          <w:rFonts w:ascii="仿宋_GB2312" w:eastAsia="仿宋_GB2312"/>
          <w:color w:val="000000"/>
          <w:sz w:val="32"/>
          <w:szCs w:val="32"/>
        </w:rPr>
      </w:pPr>
      <w:r>
        <w:rPr>
          <w:rFonts w:hint="eastAsia" w:ascii="仿宋_GB2312" w:eastAsia="仿宋_GB2312"/>
          <w:color w:val="000000"/>
          <w:sz w:val="32"/>
          <w:szCs w:val="32"/>
        </w:rPr>
        <w:t>2019年，全市民政系统以习近平新时代中国特色社会主义思想为指导，深入贯彻落实党的十九大和十九届二中、三中全会、省委十一届四次全会、市委四届六次全会精神和全国全省民政工作会议重要部署。不断增强“四个意识”，坚决践行“两个维护”和“民政为民、民政爱民”理念，深入推进“五大民政”和“五大体系”建设，以脱贫攻坚为统揽，以保障和改善民生为重点，以补齐短板为抓手，以改革创新为突破，为建设川陕革命老区振兴发展示范区贡献更多民政力量。</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是坚持全面从严治党，稳步推进机构改革。二是筑牢社会救助保障底线，助力脱贫攻坚。三是聚焦乡村振兴，加强基层政权建设和区划地名工作；四是推进社会组织改革，充分发挥社会组织服务功能；五是深化专项事务标准化建设，提高公共服务水平；六是加强民政基础工作，大力提升民政工作效能。</w:t>
      </w:r>
    </w:p>
    <w:p>
      <w:pPr>
        <w:pStyle w:val="4"/>
        <w:spacing w:before="0" w:after="0" w:line="576" w:lineRule="exact"/>
        <w:ind w:firstLine="640" w:firstLineChars="200"/>
        <w:rPr>
          <w:rStyle w:val="28"/>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仿宋_GB2312"/>
          <w:sz w:val="32"/>
          <w:szCs w:val="32"/>
          <w:lang w:bidi="ar"/>
        </w:rPr>
        <w:t>巴中市民政局下辖巴中市儿童福利院等11个直属事业单位，其中独立核算单位5个，其余6个单位与机关合署办公，经费收支、预决算在局机关。</w:t>
      </w:r>
    </w:p>
    <w:p>
      <w:pPr>
        <w:pStyle w:val="2"/>
        <w:adjustRightInd w:val="0"/>
        <w:snapToGrid w:val="0"/>
        <w:spacing w:before="93" w:line="576"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hAnsi="宋体" w:cs="仿宋_GB2312"/>
          <w:kern w:val="2"/>
          <w:sz w:val="32"/>
          <w:szCs w:val="32"/>
          <w:lang w:bidi="ar"/>
        </w:rPr>
        <w:t>巴中市民政局</w:t>
      </w:r>
      <w:r>
        <w:rPr>
          <w:rFonts w:hint="eastAsia" w:ascii="仿宋" w:hAnsi="仿宋" w:eastAsia="仿宋"/>
          <w:color w:val="000000"/>
          <w:sz w:val="32"/>
          <w:szCs w:val="32"/>
        </w:rPr>
        <w:t>2019年度部门决算编制范围的二级预算单位包括：</w:t>
      </w:r>
    </w:p>
    <w:p>
      <w:pPr>
        <w:pStyle w:val="2"/>
        <w:numPr>
          <w:ilvl w:val="0"/>
          <w:numId w:val="1"/>
        </w:numPr>
        <w:adjustRightInd w:val="0"/>
        <w:snapToGrid w:val="0"/>
        <w:spacing w:before="93" w:line="576" w:lineRule="exact"/>
        <w:outlineLvl w:val="2"/>
        <w:rPr>
          <w:rFonts w:ascii="仿宋" w:hAnsi="仿宋" w:eastAsia="仿宋"/>
          <w:color w:val="000000"/>
          <w:sz w:val="32"/>
          <w:szCs w:val="32"/>
        </w:rPr>
      </w:pPr>
      <w:r>
        <w:rPr>
          <w:rFonts w:hint="eastAsia" w:hAnsi="宋体" w:cs="仿宋_GB2312"/>
          <w:kern w:val="2"/>
          <w:sz w:val="32"/>
          <w:szCs w:val="32"/>
          <w:lang w:bidi="ar"/>
        </w:rPr>
        <w:t>市儿童福利院</w:t>
      </w:r>
    </w:p>
    <w:p>
      <w:pPr>
        <w:pStyle w:val="2"/>
        <w:numPr>
          <w:ilvl w:val="0"/>
          <w:numId w:val="1"/>
        </w:numPr>
        <w:adjustRightInd w:val="0"/>
        <w:snapToGrid w:val="0"/>
        <w:spacing w:before="93" w:line="576" w:lineRule="exact"/>
        <w:outlineLvl w:val="2"/>
        <w:rPr>
          <w:rFonts w:ascii="仿宋" w:hAnsi="仿宋" w:eastAsia="仿宋"/>
          <w:color w:val="000000"/>
          <w:sz w:val="32"/>
          <w:szCs w:val="32"/>
        </w:rPr>
      </w:pPr>
      <w:r>
        <w:rPr>
          <w:rFonts w:hint="eastAsia" w:hAnsi="宋体" w:cs="仿宋_GB2312"/>
          <w:kern w:val="2"/>
          <w:sz w:val="32"/>
          <w:szCs w:val="32"/>
          <w:lang w:bidi="ar"/>
        </w:rPr>
        <w:t>市殡葬管理所</w:t>
      </w:r>
    </w:p>
    <w:p>
      <w:pPr>
        <w:pStyle w:val="2"/>
        <w:numPr>
          <w:ilvl w:val="0"/>
          <w:numId w:val="1"/>
        </w:numPr>
        <w:adjustRightInd w:val="0"/>
        <w:snapToGrid w:val="0"/>
        <w:spacing w:before="93" w:line="576" w:lineRule="exact"/>
        <w:outlineLvl w:val="2"/>
        <w:rPr>
          <w:rFonts w:ascii="仿宋" w:hAnsi="仿宋" w:eastAsia="仿宋"/>
          <w:color w:val="000000"/>
          <w:sz w:val="32"/>
          <w:szCs w:val="32"/>
        </w:rPr>
      </w:pPr>
      <w:r>
        <w:rPr>
          <w:rFonts w:hint="eastAsia" w:hAnsi="宋体" w:cs="仿宋_GB2312"/>
          <w:kern w:val="2"/>
          <w:sz w:val="32"/>
          <w:szCs w:val="32"/>
          <w:lang w:bidi="ar"/>
        </w:rPr>
        <w:t>市救助管理站</w:t>
      </w:r>
    </w:p>
    <w:p>
      <w:pPr>
        <w:pStyle w:val="2"/>
        <w:numPr>
          <w:ilvl w:val="0"/>
          <w:numId w:val="1"/>
        </w:numPr>
        <w:adjustRightInd w:val="0"/>
        <w:snapToGrid w:val="0"/>
        <w:spacing w:before="93" w:line="576" w:lineRule="exact"/>
        <w:outlineLvl w:val="2"/>
        <w:rPr>
          <w:rFonts w:ascii="仿宋" w:hAnsi="仿宋" w:eastAsia="仿宋"/>
          <w:color w:val="000000"/>
          <w:sz w:val="32"/>
          <w:szCs w:val="32"/>
        </w:rPr>
      </w:pPr>
      <w:r>
        <w:rPr>
          <w:rFonts w:hint="eastAsia" w:hAnsi="宋体" w:cs="仿宋_GB2312"/>
          <w:kern w:val="2"/>
          <w:sz w:val="32"/>
          <w:szCs w:val="32"/>
          <w:lang w:bidi="ar"/>
        </w:rPr>
        <w:t>市社会福利院</w:t>
      </w:r>
    </w:p>
    <w:p>
      <w:pPr>
        <w:pStyle w:val="2"/>
        <w:numPr>
          <w:ilvl w:val="0"/>
          <w:numId w:val="1"/>
        </w:numPr>
        <w:adjustRightInd w:val="0"/>
        <w:snapToGrid w:val="0"/>
        <w:spacing w:before="93" w:line="576" w:lineRule="exact"/>
        <w:outlineLvl w:val="2"/>
        <w:rPr>
          <w:rFonts w:ascii="仿宋" w:hAnsi="仿宋" w:eastAsia="仿宋"/>
          <w:color w:val="000000"/>
          <w:sz w:val="32"/>
          <w:szCs w:val="32"/>
        </w:rPr>
      </w:pPr>
      <w:r>
        <w:rPr>
          <w:rFonts w:hint="eastAsia" w:hAnsi="宋体" w:cs="仿宋_GB2312"/>
          <w:kern w:val="2"/>
          <w:sz w:val="32"/>
          <w:szCs w:val="32"/>
          <w:lang w:bidi="ar"/>
        </w:rPr>
        <w:t>市未成年人保护中心</w:t>
      </w:r>
    </w:p>
    <w:p>
      <w:pPr>
        <w:pStyle w:val="2"/>
        <w:adjustRightInd w:val="0"/>
        <w:snapToGrid w:val="0"/>
        <w:spacing w:before="93" w:line="600" w:lineRule="exact"/>
        <w:outlineLvl w:val="2"/>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7"/>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2019年度部门决算情况说明</w:t>
      </w:r>
      <w:bookmarkEnd w:id="22"/>
      <w:bookmarkEnd w:id="23"/>
    </w:p>
    <w:p/>
    <w:p>
      <w:pPr>
        <w:pStyle w:val="26"/>
        <w:numPr>
          <w:ilvl w:val="0"/>
          <w:numId w:val="2"/>
        </w:numPr>
        <w:spacing w:line="600" w:lineRule="exact"/>
        <w:ind w:firstLineChars="0"/>
        <w:outlineLvl w:val="1"/>
        <w:rPr>
          <w:rStyle w:val="2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2019年度收、支总计3601.17、4117.42万元。与2018年相比，收、支总计各减少1533.89、1690.80万元，各下降29.87%、29.11%。</w:t>
      </w:r>
      <w:r>
        <w:rPr>
          <w:rFonts w:hint="eastAsia" w:ascii="仿宋" w:hAnsi="仿宋" w:eastAsia="仿宋"/>
          <w:sz w:val="32"/>
          <w:szCs w:val="32"/>
        </w:rPr>
        <w:t>主要变动原因是由于机构改革指标划转。</w:t>
      </w:r>
    </w:p>
    <w:p>
      <w:pPr>
        <w:pStyle w:val="26"/>
        <w:numPr>
          <w:ilvl w:val="0"/>
          <w:numId w:val="2"/>
        </w:numPr>
        <w:spacing w:line="600" w:lineRule="exact"/>
        <w:ind w:firstLineChars="0"/>
        <w:outlineLvl w:val="1"/>
        <w:rPr>
          <w:rStyle w:val="28"/>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9年本年收入合计3601.17万元，其中：一般公共预算财政拨款收入2673.40万元，占74.24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；政府性基金预算财政拨款收入359万元，占9.97</w:t>
      </w:r>
      <w:r>
        <w:rPr>
          <w:rFonts w:ascii="仿宋" w:hAnsi="仿宋" w:eastAsia="仿宋"/>
          <w:color w:val="000000"/>
          <w:sz w:val="32"/>
          <w:szCs w:val="32"/>
        </w:rPr>
        <w:t>%</w:t>
      </w:r>
      <w:r>
        <w:rPr>
          <w:rFonts w:hint="eastAsia" w:ascii="仿宋" w:hAnsi="仿宋" w:eastAsia="仿宋"/>
          <w:color w:val="000000"/>
          <w:sz w:val="32"/>
          <w:szCs w:val="32"/>
        </w:rPr>
        <w:t>；事业收入514.37万元，占14.28</w:t>
      </w:r>
      <w:r>
        <w:rPr>
          <w:rFonts w:ascii="仿宋" w:hAnsi="仿宋" w:eastAsia="仿宋"/>
          <w:color w:val="000000"/>
          <w:sz w:val="32"/>
          <w:szCs w:val="32"/>
        </w:rPr>
        <w:t>%</w:t>
      </w:r>
      <w:r>
        <w:rPr>
          <w:rFonts w:hint="eastAsia" w:ascii="仿宋" w:hAnsi="仿宋" w:eastAsia="仿宋"/>
          <w:color w:val="000000"/>
          <w:sz w:val="32"/>
          <w:szCs w:val="32"/>
        </w:rPr>
        <w:t>；其他收入54.4万元，占1.51</w:t>
      </w:r>
      <w:r>
        <w:rPr>
          <w:rFonts w:ascii="仿宋" w:hAnsi="仿宋" w:eastAsia="仿宋"/>
          <w:color w:val="000000"/>
          <w:sz w:val="32"/>
          <w:szCs w:val="32"/>
        </w:rPr>
        <w:t>%</w:t>
      </w:r>
      <w:r>
        <w:rPr>
          <w:rFonts w:hint="eastAsia" w:ascii="仿宋" w:hAnsi="仿宋" w:eastAsia="仿宋"/>
          <w:color w:val="000000"/>
          <w:sz w:val="32"/>
          <w:szCs w:val="32"/>
        </w:rPr>
        <w:t>。</w:t>
      </w:r>
    </w:p>
    <w:p>
      <w:pPr>
        <w:pStyle w:val="26"/>
        <w:numPr>
          <w:ilvl w:val="0"/>
          <w:numId w:val="2"/>
        </w:numPr>
        <w:spacing w:line="600" w:lineRule="exact"/>
        <w:ind w:firstLineChars="0"/>
        <w:outlineLvl w:val="1"/>
        <w:rPr>
          <w:rStyle w:val="28"/>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9年本年支出合计4117.42万元，其中：基本支出1467.69万元，占64.35</w:t>
      </w:r>
      <w:r>
        <w:rPr>
          <w:rFonts w:ascii="仿宋" w:hAnsi="仿宋" w:eastAsia="仿宋"/>
          <w:color w:val="000000"/>
          <w:sz w:val="32"/>
          <w:szCs w:val="32"/>
        </w:rPr>
        <w:t>%</w:t>
      </w:r>
      <w:r>
        <w:rPr>
          <w:rFonts w:hint="eastAsia" w:ascii="仿宋" w:hAnsi="仿宋" w:eastAsia="仿宋"/>
          <w:color w:val="000000"/>
          <w:sz w:val="32"/>
          <w:szCs w:val="32"/>
        </w:rPr>
        <w:t>；项目支出2649.73万元，占35.65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8"/>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9年财政拨款收、支总计3032.40、3630.29万元。与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8年相比，财政拨款收、支总计减少1438.81、1633.29万元，各下降32.18</w:t>
      </w:r>
      <w:r>
        <w:rPr>
          <w:rFonts w:ascii="仿宋" w:hAnsi="仿宋" w:eastAsia="仿宋"/>
          <w:color w:val="000000"/>
          <w:sz w:val="32"/>
          <w:szCs w:val="32"/>
        </w:rPr>
        <w:t>%</w:t>
      </w:r>
      <w:r>
        <w:rPr>
          <w:rFonts w:hint="eastAsia" w:ascii="仿宋" w:hAnsi="仿宋" w:eastAsia="仿宋"/>
          <w:color w:val="000000"/>
          <w:sz w:val="32"/>
          <w:szCs w:val="32"/>
        </w:rPr>
        <w:t>、31.03%。主要变动原因是</w:t>
      </w:r>
      <w:r>
        <w:rPr>
          <w:rFonts w:hint="eastAsia" w:ascii="仿宋" w:hAnsi="仿宋" w:eastAsia="仿宋"/>
          <w:sz w:val="32"/>
          <w:szCs w:val="32"/>
        </w:rPr>
        <w:t>机构改革指标划转。</w:t>
      </w:r>
    </w:p>
    <w:p>
      <w:pPr>
        <w:spacing w:line="600" w:lineRule="exact"/>
        <w:ind w:firstLine="640" w:firstLineChars="200"/>
        <w:outlineLvl w:val="1"/>
        <w:rPr>
          <w:rStyle w:val="28"/>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9年一般公共预算财政拨款支出2514.29万元，占本年支出合计的61.06</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8年相比，一般公共预算财政拨款减少850.63万元，下降25.28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sz w:val="32"/>
          <w:szCs w:val="32"/>
        </w:rPr>
        <w:t>机构改革指标划转。</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政拨款支出2514.29万元，主要用于以下方面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4.5万元，占0.18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支出2365.12万元，占94.07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rPr>
        <w:t>72.45万元，占2.88</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；住房保障支出72.22万元，占2.87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rPr>
        <w:t>2019年一般公共预算支出决算数为2514.29万元</w:t>
      </w:r>
      <w:r>
        <w:rPr>
          <w:rFonts w:hint="eastAsia" w:ascii="仿宋" w:hAnsi="仿宋" w:eastAsia="仿宋"/>
          <w:color w:val="000000" w:themeColor="text1"/>
          <w:sz w:val="32"/>
          <w:szCs w:val="32"/>
        </w:rPr>
        <w:t>，</w:t>
      </w:r>
      <w:r>
        <w:rPr>
          <w:rStyle w:val="17"/>
          <w:rFonts w:hint="eastAsia" w:ascii="仿宋" w:hAnsi="仿宋" w:eastAsia="仿宋"/>
          <w:bCs/>
          <w:color w:val="000000" w:themeColor="text1"/>
          <w:sz w:val="32"/>
          <w:szCs w:val="32"/>
        </w:rPr>
        <w:t>完成</w:t>
      </w:r>
      <w:r>
        <w:rPr>
          <w:rStyle w:val="17"/>
          <w:rFonts w:hint="eastAsia" w:ascii="仿宋" w:hAnsi="仿宋" w:eastAsia="仿宋"/>
          <w:bCs/>
          <w:color w:val="000000"/>
          <w:sz w:val="32"/>
          <w:szCs w:val="32"/>
        </w:rPr>
        <w:t>预算75.22</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1.</w:t>
      </w:r>
      <w:r>
        <w:rPr>
          <w:rStyle w:val="17"/>
          <w:rFonts w:hint="eastAsia" w:ascii="仿宋" w:hAnsi="仿宋" w:eastAsia="仿宋"/>
          <w:bCs/>
          <w:color w:val="000000"/>
          <w:sz w:val="32"/>
          <w:szCs w:val="32"/>
        </w:rPr>
        <w:t>教育（类）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rPr>
        <w:t>4.5</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2.</w:t>
      </w:r>
      <w:r>
        <w:rPr>
          <w:rStyle w:val="17"/>
          <w:rFonts w:hint="eastAsia" w:ascii="仿宋" w:hAnsi="仿宋" w:eastAsia="仿宋"/>
          <w:bCs/>
          <w:color w:val="000000"/>
          <w:sz w:val="32"/>
          <w:szCs w:val="32"/>
        </w:rPr>
        <w:t>社会保障和就业（类）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rPr>
        <w:t>2365.12</w:t>
      </w:r>
      <w:r>
        <w:rPr>
          <w:rStyle w:val="17"/>
          <w:rFonts w:hint="eastAsia" w:ascii="仿宋" w:hAnsi="仿宋" w:eastAsia="仿宋"/>
          <w:b w:val="0"/>
          <w:bCs/>
          <w:color w:val="000000"/>
          <w:sz w:val="32"/>
          <w:szCs w:val="32"/>
        </w:rPr>
        <w:t>万元，完成预算93.65</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，决算数小于预算数的主要原因是机构改革指标划转。</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3.</w:t>
      </w:r>
      <w:r>
        <w:rPr>
          <w:rFonts w:hint="eastAsia" w:ascii="仿宋" w:hAnsi="仿宋" w:eastAsia="仿宋"/>
          <w:b/>
          <w:bCs/>
          <w:color w:val="000000" w:themeColor="text1"/>
          <w:sz w:val="32"/>
          <w:szCs w:val="32"/>
        </w:rPr>
        <w:t>卫生健康</w:t>
      </w:r>
      <w:r>
        <w:rPr>
          <w:rStyle w:val="17"/>
          <w:rFonts w:hint="eastAsia" w:ascii="仿宋" w:hAnsi="仿宋" w:eastAsia="仿宋"/>
          <w:bCs/>
          <w:color w:val="000000"/>
          <w:sz w:val="32"/>
          <w:szCs w:val="32"/>
        </w:rPr>
        <w:t>（类）</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（款）</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rPr>
        <w:t>72.45</w:t>
      </w:r>
      <w:r>
        <w:rPr>
          <w:rStyle w:val="17"/>
          <w:rFonts w:hint="eastAsia" w:ascii="仿宋" w:hAnsi="仿宋" w:eastAsia="仿宋"/>
          <w:b w:val="0"/>
          <w:bCs/>
          <w:color w:val="000000"/>
          <w:sz w:val="32"/>
          <w:szCs w:val="32"/>
        </w:rPr>
        <w:t>万元（其中行政事业单位医疗58.09万元），完成预算100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szCs w:val="32"/>
        </w:rPr>
      </w:pPr>
      <w:r>
        <w:rPr>
          <w:rStyle w:val="17"/>
          <w:rFonts w:ascii="仿宋" w:hAnsi="仿宋" w:eastAsia="仿宋"/>
          <w:bCs/>
          <w:color w:val="000000"/>
          <w:sz w:val="32"/>
          <w:szCs w:val="32"/>
        </w:rPr>
        <w:t>4.</w:t>
      </w:r>
      <w:r>
        <w:rPr>
          <w:rStyle w:val="17"/>
          <w:rFonts w:hint="eastAsia" w:ascii="仿宋" w:hAnsi="仿宋" w:eastAsia="仿宋"/>
          <w:bCs/>
          <w:color w:val="000000"/>
          <w:sz w:val="32"/>
          <w:szCs w:val="32"/>
        </w:rPr>
        <w:t>住房城乡保障支出：</w:t>
      </w:r>
      <w:r>
        <w:rPr>
          <w:rFonts w:hint="eastAsia" w:ascii="仿宋" w:hAnsi="仿宋" w:eastAsia="仿宋"/>
          <w:color w:val="000000"/>
          <w:sz w:val="32"/>
          <w:szCs w:val="32"/>
        </w:rPr>
        <w:t>支出决算为</w:t>
      </w:r>
      <w:r>
        <w:rPr>
          <w:rFonts w:hint="eastAsia" w:ascii="仿宋" w:hAnsi="仿宋" w:eastAsia="仿宋"/>
          <w:color w:val="000000" w:themeColor="text1"/>
          <w:sz w:val="32"/>
          <w:szCs w:val="32"/>
        </w:rPr>
        <w:t>72.22</w:t>
      </w:r>
      <w:r>
        <w:rPr>
          <w:rFonts w:hint="eastAsia" w:ascii="仿宋" w:hAnsi="仿宋" w:eastAsia="仿宋"/>
          <w:color w:val="000000"/>
          <w:sz w:val="32"/>
          <w:szCs w:val="32"/>
        </w:rPr>
        <w:t>万元</w:t>
      </w:r>
      <w:r>
        <w:rPr>
          <w:rStyle w:val="17"/>
          <w:rFonts w:hint="eastAsia" w:ascii="仿宋" w:hAnsi="仿宋" w:eastAsia="仿宋"/>
          <w:b w:val="0"/>
          <w:bCs/>
          <w:color w:val="000000"/>
          <w:sz w:val="32"/>
          <w:szCs w:val="32"/>
        </w:rPr>
        <w:t>，完成预算94.28</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，决算数小于预算数的主要原因是</w:t>
      </w:r>
      <w:r>
        <w:rPr>
          <w:rFonts w:hint="eastAsia" w:ascii="仿宋" w:hAnsi="仿宋" w:eastAsia="仿宋"/>
          <w:sz w:val="32"/>
          <w:szCs w:val="32"/>
        </w:rPr>
        <w:t>机构改革指标划转</w:t>
      </w:r>
      <w:r>
        <w:rPr>
          <w:rStyle w:val="17"/>
          <w:rFonts w:hint="eastAsia" w:ascii="仿宋" w:hAnsi="仿宋" w:eastAsia="仿宋"/>
          <w:b w:val="0"/>
          <w:bCs/>
          <w:color w:val="000000"/>
          <w:sz w:val="32"/>
          <w:szCs w:val="32"/>
        </w:rPr>
        <w:t>。</w:t>
      </w:r>
    </w:p>
    <w:p>
      <w:pPr>
        <w:tabs>
          <w:tab w:val="right" w:pos="8306"/>
        </w:tabs>
        <w:spacing w:line="600" w:lineRule="exact"/>
        <w:ind w:firstLine="640"/>
        <w:outlineLvl w:val="1"/>
        <w:rPr>
          <w:rStyle w:val="28"/>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9年一般公共预算财政拨款基本支出1467.69万元，其中：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1272.68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195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9年“三公”经费财政拨款支出决算为24.64万元，完成预算45.63</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sz w:val="32"/>
          <w:szCs w:val="32"/>
        </w:rPr>
        <w:t>机构改革指标划转</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9年“三公”经费财政拨款支出决算中，公务用车购置及运行维护费支出决算22.86万元，占92.78</w:t>
      </w:r>
      <w:r>
        <w:rPr>
          <w:rFonts w:ascii="仿宋" w:hAnsi="仿宋" w:eastAsia="仿宋"/>
          <w:color w:val="000000"/>
          <w:sz w:val="32"/>
          <w:szCs w:val="32"/>
        </w:rPr>
        <w:t>%</w:t>
      </w:r>
      <w:r>
        <w:rPr>
          <w:rFonts w:hint="eastAsia" w:ascii="仿宋" w:hAnsi="仿宋" w:eastAsia="仿宋"/>
          <w:color w:val="000000"/>
          <w:sz w:val="32"/>
          <w:szCs w:val="32"/>
        </w:rPr>
        <w:t>；公务接待费支出决算1.78万元，占7.22</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22.86万元,</w:t>
      </w:r>
      <w:r>
        <w:rPr>
          <w:rStyle w:val="17"/>
          <w:rFonts w:hint="eastAsia" w:ascii="仿宋" w:hAnsi="仿宋" w:eastAsia="仿宋"/>
          <w:b w:val="0"/>
          <w:bCs/>
          <w:color w:val="000000"/>
          <w:sz w:val="32"/>
          <w:szCs w:val="32"/>
        </w:rPr>
        <w:t>完成预算49.70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8年减少66.02万元，下降74.28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sz w:val="32"/>
          <w:szCs w:val="32"/>
        </w:rPr>
        <w:t>机构改革指标划转，公务用车比2018年减少2辆。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22.86万元。主要用于按规定保留的公务用车燃料费、维修费、过路过桥费、保险费等支出。</w:t>
      </w:r>
    </w:p>
    <w:p>
      <w:pPr>
        <w:spacing w:line="600" w:lineRule="exact"/>
        <w:ind w:firstLine="640"/>
        <w:rPr>
          <w:rFonts w:ascii="仿宋_GB2312" w:eastAsia="仿宋"/>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1.78万元，</w:t>
      </w:r>
      <w:r>
        <w:rPr>
          <w:rStyle w:val="17"/>
          <w:rFonts w:hint="eastAsia" w:ascii="仿宋" w:hAnsi="仿宋" w:eastAsia="仿宋"/>
          <w:b w:val="0"/>
          <w:bCs/>
          <w:color w:val="000000"/>
          <w:sz w:val="32"/>
          <w:szCs w:val="32"/>
        </w:rPr>
        <w:t>完成预算22.25</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8年减少2.51万元，下降58.56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sz w:val="32"/>
          <w:szCs w:val="32"/>
        </w:rPr>
        <w:t>机构改革指标划转。</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1.78</w:t>
      </w:r>
      <w:r>
        <w:rPr>
          <w:rFonts w:hint="eastAsia" w:ascii="仿宋_GB2312" w:eastAsia="仿宋_GB2312"/>
          <w:color w:val="000000"/>
          <w:sz w:val="32"/>
          <w:szCs w:val="32"/>
        </w:rPr>
        <w:t>万元。国内公务接待49批次，255人次（不包括陪同人员）。</w:t>
      </w:r>
    </w:p>
    <w:p>
      <w:pPr>
        <w:spacing w:line="600" w:lineRule="exact"/>
        <w:ind w:firstLine="640"/>
        <w:outlineLvl w:val="1"/>
        <w:rPr>
          <w:rStyle w:val="28"/>
          <w:rFonts w:ascii="黑体" w:hAnsi="黑体" w:eastAsia="黑体"/>
        </w:rPr>
      </w:pPr>
      <w:bookmarkStart w:id="46" w:name="_Toc15396610"/>
      <w:bookmarkStart w:id="47" w:name="_Toc15377218"/>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9年政府性基金预算拨款支出1116万元。</w:t>
      </w:r>
    </w:p>
    <w:p>
      <w:pPr>
        <w:numPr>
          <w:ilvl w:val="0"/>
          <w:numId w:val="3"/>
        </w:numPr>
        <w:spacing w:line="600" w:lineRule="exact"/>
        <w:ind w:firstLine="640"/>
        <w:outlineLvl w:val="1"/>
        <w:rPr>
          <w:rStyle w:val="28"/>
          <w:rFonts w:ascii="黑体" w:hAnsi="黑体" w:eastAsia="黑体"/>
          <w:b w:val="0"/>
        </w:rPr>
      </w:pPr>
      <w:bookmarkStart w:id="48" w:name="_Toc15396611"/>
      <w:bookmarkStart w:id="49" w:name="_Toc15377219"/>
      <w:r>
        <w:rPr>
          <w:rStyle w:val="28"/>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hint="eastAsia" w:ascii="仿宋_GB2312" w:eastAsia="仿宋_GB2312"/>
          <w:color w:val="000000"/>
          <w:sz w:val="32"/>
          <w:szCs w:val="32"/>
        </w:rPr>
        <w:t>无。</w:t>
      </w:r>
    </w:p>
    <w:p>
      <w:pPr>
        <w:numPr>
          <w:ilvl w:val="0"/>
          <w:numId w:val="3"/>
        </w:numPr>
        <w:spacing w:line="600" w:lineRule="exact"/>
        <w:ind w:firstLine="640"/>
        <w:outlineLvl w:val="1"/>
        <w:rPr>
          <w:rStyle w:val="28"/>
          <w:rFonts w:ascii="黑体" w:hAnsi="黑体" w:eastAsia="黑体"/>
          <w:b w:val="0"/>
        </w:rPr>
      </w:pPr>
      <w:bookmarkStart w:id="50" w:name="_Toc15377221"/>
      <w:bookmarkStart w:id="51" w:name="_Toc15396612"/>
      <w:r>
        <w:rPr>
          <w:rStyle w:val="2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9年，巴中市民政局机关运行经费支出104.89万元，比</w:t>
      </w:r>
      <w:r>
        <w:rPr>
          <w:rFonts w:ascii="仿宋_GB2312" w:eastAsia="仿宋_GB2312"/>
          <w:color w:val="000000"/>
          <w:sz w:val="32"/>
          <w:szCs w:val="32"/>
        </w:rPr>
        <w:t>201</w:t>
      </w:r>
      <w:r>
        <w:rPr>
          <w:rFonts w:hint="eastAsia" w:ascii="仿宋_GB2312" w:eastAsia="仿宋_GB2312"/>
          <w:color w:val="000000"/>
          <w:sz w:val="32"/>
          <w:szCs w:val="32"/>
        </w:rPr>
        <w:t>8年减少57.20万元，下降35.29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 w:hAnsi="仿宋" w:eastAsia="仿宋"/>
          <w:sz w:val="32"/>
          <w:szCs w:val="32"/>
        </w:rPr>
        <w:t>机构改革指标划转。</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w:t>
      </w:r>
      <w:bookmarkEnd w:id="53"/>
      <w:r>
        <w:rPr>
          <w:rFonts w:hint="eastAsia" w:ascii="仿宋" w:hAnsi="仿宋" w:eastAsia="仿宋"/>
          <w:b/>
          <w:color w:val="000000"/>
          <w:sz w:val="32"/>
          <w:szCs w:val="32"/>
        </w:rPr>
        <w:t>国有资产占有使用情况</w:t>
      </w:r>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日，巴中市民政局及直属单位共有车辆19辆，其中：特种专业技术用车1辆、其他用车18辆。</w:t>
      </w:r>
    </w:p>
    <w:p>
      <w:pPr>
        <w:autoSpaceDE w:val="0"/>
        <w:autoSpaceDN w:val="0"/>
        <w:adjustRightInd w:val="0"/>
        <w:spacing w:line="600" w:lineRule="exact"/>
        <w:ind w:firstLine="643" w:firstLineChars="200"/>
        <w:jc w:val="left"/>
        <w:rPr>
          <w:rFonts w:ascii="仿宋" w:hAnsi="仿宋" w:eastAsia="仿宋"/>
          <w:b/>
          <w:color w:val="000000"/>
          <w:sz w:val="32"/>
          <w:szCs w:val="32"/>
        </w:rPr>
      </w:pPr>
      <w:bookmarkStart w:id="54" w:name="_Toc15377224"/>
      <w:r>
        <w:rPr>
          <w:rFonts w:hint="eastAsia" w:ascii="仿宋" w:hAnsi="仿宋" w:eastAsia="仿宋"/>
          <w:b/>
          <w:color w:val="000000"/>
          <w:sz w:val="32"/>
          <w:szCs w:val="32"/>
        </w:rPr>
        <w:t>（三）</w:t>
      </w:r>
      <w:bookmarkEnd w:id="54"/>
      <w:r>
        <w:rPr>
          <w:rFonts w:hint="eastAsia" w:ascii="仿宋" w:hAnsi="仿宋" w:eastAsia="仿宋"/>
          <w:b/>
          <w:color w:val="000000"/>
          <w:sz w:val="32"/>
          <w:szCs w:val="32"/>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val="zh-CN"/>
        </w:rPr>
        <w:t>按照《巴中市财政局关于开展2020年财政支出绩效评价工作的通知》（巴财监绩〔2020〕4号）要求，</w:t>
      </w:r>
      <w:r>
        <w:rPr>
          <w:rFonts w:hint="eastAsia" w:ascii="仿宋_GB2312" w:hAnsi="仿宋_GB2312" w:eastAsia="仿宋_GB2312" w:cs="仿宋_GB2312"/>
          <w:sz w:val="32"/>
          <w:szCs w:val="32"/>
        </w:rPr>
        <w:t>巴中市民政局组织相关业务科室对巴中市民政局2019年购买社会救助服务等经费项目</w:t>
      </w:r>
      <w:r>
        <w:rPr>
          <w:rFonts w:hint="eastAsia" w:ascii="仿宋_GB2312" w:hAnsi="仿宋_GB2312" w:eastAsia="仿宋_GB2312" w:cs="仿宋_GB2312"/>
          <w:sz w:val="32"/>
          <w:szCs w:val="32"/>
          <w:lang w:val="zh-CN"/>
        </w:rPr>
        <w:t>作进行了</w:t>
      </w:r>
      <w:r>
        <w:rPr>
          <w:rFonts w:hint="eastAsia" w:ascii="仿宋_GB2312" w:hAnsi="仿宋_GB2312" w:eastAsia="仿宋_GB2312" w:cs="仿宋_GB2312"/>
          <w:sz w:val="32"/>
          <w:szCs w:val="32"/>
        </w:rPr>
        <w:t>全面自评工作。</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巴中市民政局严格遵守《会计法》《预算法》《行政单位财务规则》等相关财政财务规章，规范财政资金管理，合理使用各项资金，确保了巴中市民政局预算管理的成效，全年预算支出整体受控</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本部门还自行组织了社会救助服务项目支出绩效评价，从评价情况来看</w:t>
      </w:r>
      <w:r>
        <w:rPr>
          <w:rFonts w:hint="eastAsia" w:ascii="仿宋_GB2312" w:hAnsi="仿宋_GB2312" w:eastAsia="仿宋_GB2312" w:cs="仿宋_GB2312"/>
          <w:sz w:val="32"/>
          <w:szCs w:val="32"/>
          <w:lang w:val="zh-CN"/>
        </w:rPr>
        <w:t>项目实施单位严格执行相关法律法规及项目管理制度，按要求完成项目招标、项目公示等程序，项目实施合法规范</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本部门在2019年度部门决算中反映“民政管理事务工作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无名案件及殡葬惠民遗体减免火化购买服务经费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“金秋圆梦项目”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救助人员生活医疗护送及护理经费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rPr>
        <w:t>民政管理事务工作项目</w:t>
      </w:r>
      <w:r>
        <w:rPr>
          <w:rFonts w:hint="eastAsia" w:ascii="仿宋_GB2312" w:hAnsi="仿宋_GB2312" w:eastAsia="仿宋_GB2312" w:cs="仿宋_GB2312"/>
          <w:sz w:val="32"/>
          <w:szCs w:val="32"/>
        </w:rPr>
        <w:t>绩效目标完成情况综述。项目全年预算10万元，执行数为10万元，完成预算的100%。通过项目实施：保障了全市性社会组织党建工作、全市未成年人保护、全市低收入家庭认定、全市儿童福利指导、全市社区建设指导、全市基层治理、全市养老服务等</w:t>
      </w:r>
      <w:r>
        <w:rPr>
          <w:rFonts w:hint="eastAsia" w:ascii="仿宋_GB2312" w:hAnsi="仿宋_GB2312" w:eastAsia="仿宋_GB2312" w:cs="仿宋_GB2312"/>
          <w:sz w:val="32"/>
          <w:szCs w:val="32"/>
          <w:lang w:eastAsia="zh-CN"/>
        </w:rPr>
        <w:t>；确保了</w:t>
      </w:r>
      <w:r>
        <w:rPr>
          <w:rFonts w:hint="eastAsia" w:ascii="仿宋_GB2312" w:hAnsi="仿宋_GB2312" w:eastAsia="仿宋_GB2312" w:cs="仿宋_GB2312"/>
          <w:sz w:val="32"/>
          <w:szCs w:val="32"/>
        </w:rPr>
        <w:t>养老工作及民政事业专项工作高质高效开展。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无名案件及殡葬惠民遗体减免火化购买服务项目绩效目标完成情况综述。项目全年预算数50万元，执行数为50万元，完成预算的100%。通过项目实施，完成了对无名遗体、案件遗体、五保户、城镇三无人员、重点优抚对象，城镇低保对象、市区、三县两区等人员的运输、保存（含冷冻、停放、消毒卫生等）、火化等基本公共服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金秋圆梦”项目绩效目标完成情况综述。项目全年预算数25万元，执行数为25万元，完成预算的100%。通过项目实施，实现了对“参加2019年高考被大专及以上院校录取的特困特优巴中籍考生的资助，帮助我市特困大学生圆梦校园。</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（4）救助人员生活医疗护送及护理项目绩效目标完成情况综述。</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85.71</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流浪乞讨人员的基本生活权益，免费提供衣食住行医；引导受助人员恢复自身造血功能，尽可能实现自食其力，预防受助人员因生活无着走上违法犯罪道路</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81" w:type="dxa"/>
        <w:jc w:val="center"/>
        <w:tblLayout w:type="fixed"/>
        <w:tblCellMar>
          <w:top w:w="0" w:type="dxa"/>
          <w:left w:w="0" w:type="dxa"/>
          <w:bottom w:w="0" w:type="dxa"/>
          <w:right w:w="0" w:type="dxa"/>
        </w:tblCellMar>
      </w:tblPr>
      <w:tblGrid>
        <w:gridCol w:w="395"/>
        <w:gridCol w:w="1383"/>
        <w:gridCol w:w="1025"/>
        <w:gridCol w:w="2026"/>
        <w:gridCol w:w="2435"/>
        <w:gridCol w:w="325"/>
        <w:gridCol w:w="2392"/>
      </w:tblGrid>
      <w:tr>
        <w:tblPrEx>
          <w:tblCellMar>
            <w:top w:w="0" w:type="dxa"/>
            <w:left w:w="0" w:type="dxa"/>
            <w:bottom w:w="0" w:type="dxa"/>
            <w:right w:w="0" w:type="dxa"/>
          </w:tblCellMar>
        </w:tblPrEx>
        <w:trPr>
          <w:trHeight w:val="90" w:hRule="atLeast"/>
          <w:jc w:val="center"/>
        </w:trPr>
        <w:tc>
          <w:tcPr>
            <w:tcW w:w="9981"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8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民政管理事务工作经费　</w:t>
            </w:r>
          </w:p>
        </w:tc>
      </w:tr>
      <w:tr>
        <w:tblPrEx>
          <w:tblCellMar>
            <w:top w:w="0" w:type="dxa"/>
            <w:left w:w="0" w:type="dxa"/>
            <w:bottom w:w="0" w:type="dxa"/>
            <w:right w:w="0" w:type="dxa"/>
          </w:tblCellMar>
        </w:tblPrEx>
        <w:trPr>
          <w:trHeight w:val="276" w:hRule="atLeast"/>
          <w:jc w:val="center"/>
        </w:trPr>
        <w:tc>
          <w:tcPr>
            <w:tcW w:w="28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市民政局</w:t>
            </w:r>
          </w:p>
        </w:tc>
      </w:tr>
      <w:tr>
        <w:tblPrEx>
          <w:tblCellMar>
            <w:top w:w="0" w:type="dxa"/>
            <w:left w:w="0" w:type="dxa"/>
            <w:bottom w:w="0" w:type="dxa"/>
            <w:right w:w="0" w:type="dxa"/>
          </w:tblCellMar>
        </w:tblPrEx>
        <w:trPr>
          <w:trHeight w:val="276" w:hRule="atLeast"/>
          <w:jc w:val="center"/>
        </w:trPr>
        <w:tc>
          <w:tcPr>
            <w:tcW w:w="3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预算执行情况(万元)</w:t>
            </w:r>
          </w:p>
        </w:tc>
        <w:tc>
          <w:tcPr>
            <w:tcW w:w="24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预算数:</w:t>
            </w:r>
          </w:p>
        </w:tc>
        <w:tc>
          <w:tcPr>
            <w:tcW w:w="20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执行数:</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561" w:hRule="atLeast"/>
          <w:jc w:val="center"/>
        </w:trPr>
        <w:tc>
          <w:tcPr>
            <w:tcW w:w="3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4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20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76" w:hRule="atLeast"/>
          <w:jc w:val="center"/>
        </w:trPr>
        <w:tc>
          <w:tcPr>
            <w:tcW w:w="39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408"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其它资金:</w:t>
            </w:r>
          </w:p>
        </w:tc>
        <w:tc>
          <w:tcPr>
            <w:tcW w:w="20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sz w:val="20"/>
                <w:szCs w:val="20"/>
              </w:rPr>
            </w:pP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其它资金:</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0"/>
                <w:szCs w:val="20"/>
              </w:rPr>
            </w:pPr>
          </w:p>
        </w:tc>
      </w:tr>
      <w:tr>
        <w:tblPrEx>
          <w:tblCellMar>
            <w:top w:w="0" w:type="dxa"/>
            <w:left w:w="0" w:type="dxa"/>
            <w:bottom w:w="0" w:type="dxa"/>
            <w:right w:w="0" w:type="dxa"/>
          </w:tblCellMar>
        </w:tblPrEx>
        <w:trPr>
          <w:trHeight w:val="374" w:hRule="atLeast"/>
          <w:jc w:val="center"/>
        </w:trPr>
        <w:tc>
          <w:tcPr>
            <w:tcW w:w="39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年度目标完成情况</w:t>
            </w:r>
          </w:p>
        </w:tc>
        <w:tc>
          <w:tcPr>
            <w:tcW w:w="4434"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515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实际完成目标</w:t>
            </w:r>
          </w:p>
        </w:tc>
      </w:tr>
      <w:tr>
        <w:tblPrEx>
          <w:tblCellMar>
            <w:top w:w="0" w:type="dxa"/>
            <w:left w:w="0" w:type="dxa"/>
            <w:bottom w:w="0" w:type="dxa"/>
            <w:right w:w="0" w:type="dxa"/>
          </w:tblCellMar>
        </w:tblPrEx>
        <w:trPr>
          <w:trHeight w:val="104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4434"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用于全市性社会组织党建工作、全市未成年人保护、全市低收入家庭认定、全市儿童福利指导、全市社区建设指导、全市基层治理、全市养老服务、全市区划调整及边界勘定等专项工作2019年度目标任务。</w:t>
            </w:r>
          </w:p>
        </w:tc>
        <w:tc>
          <w:tcPr>
            <w:tcW w:w="515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完成了全市性社会组织党建工作、全市未成年人保护、全市低收入家庭认定、全市儿童福利指导、全市社区建设指导、全市基层治理、全市养老服务、全市区划调整及边界勘定等专项工作2019年度目标任务。</w:t>
            </w:r>
          </w:p>
        </w:tc>
      </w:tr>
      <w:tr>
        <w:tblPrEx>
          <w:tblCellMar>
            <w:top w:w="0" w:type="dxa"/>
            <w:left w:w="0" w:type="dxa"/>
            <w:bottom w:w="0" w:type="dxa"/>
            <w:right w:w="0" w:type="dxa"/>
          </w:tblCellMar>
        </w:tblPrEx>
        <w:trPr>
          <w:trHeight w:val="953" w:hRule="atLeast"/>
          <w:jc w:val="center"/>
        </w:trPr>
        <w:tc>
          <w:tcPr>
            <w:tcW w:w="39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绩效指标完成情况</w:t>
            </w:r>
          </w:p>
        </w:tc>
        <w:tc>
          <w:tcPr>
            <w:tcW w:w="13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026"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三级指标</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预期指标值(包含数字及文字描述)</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实际完成指标值(包含数字及文字描述)</w:t>
            </w:r>
          </w:p>
        </w:tc>
      </w:tr>
      <w:tr>
        <w:tblPrEx>
          <w:tblCellMar>
            <w:top w:w="0" w:type="dxa"/>
            <w:left w:w="0" w:type="dxa"/>
            <w:bottom w:w="0" w:type="dxa"/>
            <w:right w:w="0" w:type="dxa"/>
          </w:tblCellMar>
        </w:tblPrEx>
        <w:trPr>
          <w:trHeight w:val="90"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产出指标</w:t>
            </w:r>
          </w:p>
        </w:tc>
        <w:tc>
          <w:tcPr>
            <w:tcW w:w="10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数量指标</w:t>
            </w: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召开相关专题培训会议</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8次</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8次</w:t>
            </w:r>
          </w:p>
        </w:tc>
      </w:tr>
      <w:tr>
        <w:tblPrEx>
          <w:tblCellMar>
            <w:top w:w="0" w:type="dxa"/>
            <w:left w:w="0" w:type="dxa"/>
            <w:bottom w:w="0" w:type="dxa"/>
            <w:right w:w="0" w:type="dxa"/>
          </w:tblCellMar>
        </w:tblPrEx>
        <w:trPr>
          <w:trHeight w:val="33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开展基层调研活动</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15次</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15次</w:t>
            </w:r>
          </w:p>
        </w:tc>
      </w:tr>
      <w:tr>
        <w:tblPrEx>
          <w:tblCellMar>
            <w:top w:w="0" w:type="dxa"/>
            <w:left w:w="0" w:type="dxa"/>
            <w:bottom w:w="0" w:type="dxa"/>
            <w:right w:w="0" w:type="dxa"/>
          </w:tblCellMar>
        </w:tblPrEx>
        <w:trPr>
          <w:trHeight w:val="707"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kern w:val="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勘界及联检</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勘定1条边界线，完成3条边界联检</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完成勘定1条边界线，完成3条边界联检</w:t>
            </w:r>
          </w:p>
        </w:tc>
      </w:tr>
      <w:tr>
        <w:tblPrEx>
          <w:tblCellMar>
            <w:top w:w="0" w:type="dxa"/>
            <w:left w:w="0" w:type="dxa"/>
            <w:bottom w:w="0" w:type="dxa"/>
            <w:right w:w="0" w:type="dxa"/>
          </w:tblCellMar>
        </w:tblPrEx>
        <w:trPr>
          <w:trHeight w:val="30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质量指标</w:t>
            </w: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检查通过率</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100%</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100%</w:t>
            </w:r>
          </w:p>
        </w:tc>
      </w:tr>
      <w:tr>
        <w:tblPrEx>
          <w:tblCellMar>
            <w:top w:w="0" w:type="dxa"/>
            <w:left w:w="0" w:type="dxa"/>
            <w:bottom w:w="0" w:type="dxa"/>
            <w:right w:w="0" w:type="dxa"/>
          </w:tblCellMar>
        </w:tblPrEx>
        <w:trPr>
          <w:trHeight w:val="357"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验收合格率</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100%</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100%</w:t>
            </w:r>
          </w:p>
        </w:tc>
      </w:tr>
      <w:tr>
        <w:tblPrEx>
          <w:tblCellMar>
            <w:top w:w="0" w:type="dxa"/>
            <w:left w:w="0" w:type="dxa"/>
            <w:bottom w:w="0" w:type="dxa"/>
            <w:right w:w="0" w:type="dxa"/>
          </w:tblCellMar>
        </w:tblPrEx>
        <w:trPr>
          <w:trHeight w:val="63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基层社会治理格局</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共建共治共享的新时代基层社会治理格局</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完成共建共治共享的新时代基层社会治理格局</w:t>
            </w:r>
          </w:p>
        </w:tc>
      </w:tr>
      <w:tr>
        <w:tblPrEx>
          <w:tblCellMar>
            <w:top w:w="0" w:type="dxa"/>
            <w:left w:w="0" w:type="dxa"/>
            <w:bottom w:w="0" w:type="dxa"/>
            <w:right w:w="0" w:type="dxa"/>
          </w:tblCellMar>
        </w:tblPrEx>
        <w:trPr>
          <w:trHeight w:val="49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时效指标</w:t>
            </w: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专题培训会议召开时间</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9月底完成</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9月底完成</w:t>
            </w:r>
          </w:p>
        </w:tc>
      </w:tr>
      <w:tr>
        <w:tblPrEx>
          <w:tblCellMar>
            <w:top w:w="0" w:type="dxa"/>
            <w:left w:w="0" w:type="dxa"/>
            <w:bottom w:w="0" w:type="dxa"/>
            <w:right w:w="0" w:type="dxa"/>
          </w:tblCellMar>
        </w:tblPrEx>
        <w:trPr>
          <w:trHeight w:val="627"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kern w:val="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基层调研活动时间</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每季度完成四次调研活动</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完成每季度完成四次调研活动</w:t>
            </w:r>
          </w:p>
        </w:tc>
      </w:tr>
      <w:tr>
        <w:tblPrEx>
          <w:tblCellMar>
            <w:top w:w="0" w:type="dxa"/>
            <w:left w:w="0" w:type="dxa"/>
            <w:bottom w:w="0" w:type="dxa"/>
            <w:right w:w="0" w:type="dxa"/>
          </w:tblCellMar>
        </w:tblPrEx>
        <w:trPr>
          <w:trHeight w:val="430"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勘界及联检</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2019年完成</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lang w:bidi="ar"/>
              </w:rPr>
              <w:t>2019年完成</w:t>
            </w:r>
          </w:p>
        </w:tc>
      </w:tr>
      <w:tr>
        <w:tblPrEx>
          <w:tblCellMar>
            <w:top w:w="0" w:type="dxa"/>
            <w:left w:w="0" w:type="dxa"/>
            <w:bottom w:w="0" w:type="dxa"/>
            <w:right w:w="0" w:type="dxa"/>
          </w:tblCellMar>
        </w:tblPrEx>
        <w:trPr>
          <w:trHeight w:val="430"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成本指标</w:t>
            </w: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培训会议费用</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按培训、会议标准预算</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按培训、会议标准预算</w:t>
            </w:r>
          </w:p>
        </w:tc>
      </w:tr>
      <w:tr>
        <w:tblPrEx>
          <w:tblCellMar>
            <w:top w:w="0" w:type="dxa"/>
            <w:left w:w="0" w:type="dxa"/>
            <w:bottom w:w="0" w:type="dxa"/>
            <w:right w:w="0" w:type="dxa"/>
          </w:tblCellMar>
        </w:tblPrEx>
        <w:trPr>
          <w:trHeight w:val="430"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left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continue"/>
            <w:tcBorders>
              <w:left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调研差旅等费用</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按差旅等标准预算</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按差旅等标准预算</w:t>
            </w:r>
          </w:p>
        </w:tc>
      </w:tr>
      <w:tr>
        <w:tblPrEx>
          <w:tblCellMar>
            <w:top w:w="0" w:type="dxa"/>
            <w:left w:w="0" w:type="dxa"/>
            <w:bottom w:w="0" w:type="dxa"/>
            <w:right w:w="0" w:type="dxa"/>
          </w:tblCellMar>
        </w:tblPrEx>
        <w:trPr>
          <w:trHeight w:val="430"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办公等费用</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2万元</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2万元</w:t>
            </w:r>
          </w:p>
        </w:tc>
      </w:tr>
      <w:tr>
        <w:tblPrEx>
          <w:tblCellMar>
            <w:top w:w="0" w:type="dxa"/>
            <w:left w:w="0" w:type="dxa"/>
            <w:bottom w:w="0" w:type="dxa"/>
            <w:right w:w="0" w:type="dxa"/>
          </w:tblCellMar>
        </w:tblPrEx>
        <w:trPr>
          <w:trHeight w:val="430"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效益指标</w:t>
            </w:r>
          </w:p>
        </w:tc>
        <w:tc>
          <w:tcPr>
            <w:tcW w:w="10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社会效益</w:t>
            </w: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公共服务能力</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大幅提升</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大幅提升</w:t>
            </w:r>
          </w:p>
        </w:tc>
      </w:tr>
      <w:tr>
        <w:tblPrEx>
          <w:tblCellMar>
            <w:top w:w="0" w:type="dxa"/>
            <w:left w:w="0" w:type="dxa"/>
            <w:bottom w:w="0" w:type="dxa"/>
            <w:right w:w="0" w:type="dxa"/>
          </w:tblCellMar>
        </w:tblPrEx>
        <w:trPr>
          <w:trHeight w:val="430" w:hRule="atLeast"/>
          <w:jc w:val="center"/>
        </w:trPr>
        <w:tc>
          <w:tcPr>
            <w:tcW w:w="395"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left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20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民政事务管理服务</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val="en-US" w:eastAsia="zh-CN" w:bidi="ar"/>
              </w:rPr>
              <w:t>社会组织健康发展、规范有序、高效服务，村居干部廉洁自律、农村社会稳定、政治安定，协调城乡利益，化解城乡社会矛盾，优质高效的婚姻登记管理水平，提高殡葬服务水平</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color w:val="000000"/>
                <w:kern w:val="0"/>
                <w:sz w:val="20"/>
                <w:szCs w:val="20"/>
                <w:lang w:val="en-US" w:eastAsia="zh-CN" w:bidi="ar"/>
              </w:rPr>
              <w:t>社会组织健康发展、规范有序、高效服务，村居干部廉洁自律、农村社会稳定、政治安定，协调城乡利益，化解城乡社会矛盾，优质高效的婚姻登记管理水平，提高殡葬服务水平</w:t>
            </w:r>
          </w:p>
        </w:tc>
      </w:tr>
      <w:tr>
        <w:tblPrEx>
          <w:tblCellMar>
            <w:top w:w="0" w:type="dxa"/>
            <w:left w:w="0" w:type="dxa"/>
            <w:bottom w:w="0" w:type="dxa"/>
            <w:right w:w="0" w:type="dxa"/>
          </w:tblCellMar>
        </w:tblPrEx>
        <w:trPr>
          <w:trHeight w:val="430" w:hRule="atLeast"/>
          <w:jc w:val="center"/>
        </w:trPr>
        <w:tc>
          <w:tcPr>
            <w:tcW w:w="395"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cstheme="minorEastAsia"/>
                <w:color w:val="000000"/>
                <w:sz w:val="20"/>
                <w:szCs w:val="20"/>
              </w:rPr>
            </w:pPr>
          </w:p>
        </w:tc>
        <w:tc>
          <w:tcPr>
            <w:tcW w:w="10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kern w:val="0"/>
                <w:sz w:val="20"/>
                <w:szCs w:val="20"/>
                <w:lang w:val="en-US" w:eastAsia="zh-CN" w:bidi="ar"/>
              </w:rPr>
            </w:pPr>
            <w:r>
              <w:rPr>
                <w:rFonts w:hint="default" w:asciiTheme="minorEastAsia" w:hAnsiTheme="minorEastAsia" w:eastAsiaTheme="minorEastAsia" w:cstheme="minorEastAsia"/>
                <w:color w:val="000000"/>
                <w:kern w:val="0"/>
                <w:sz w:val="20"/>
                <w:szCs w:val="20"/>
                <w:lang w:val="en-US" w:eastAsia="zh-CN" w:bidi="ar"/>
              </w:rPr>
              <w:t>可持续</w:t>
            </w:r>
          </w:p>
          <w:p>
            <w:pPr>
              <w:widowControl/>
              <w:jc w:val="center"/>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影响</w:t>
            </w:r>
          </w:p>
        </w:tc>
        <w:tc>
          <w:tcPr>
            <w:tcW w:w="20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发展情况</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民政事务良序发展</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民政事务良序发展</w:t>
            </w:r>
          </w:p>
        </w:tc>
      </w:tr>
      <w:tr>
        <w:tblPrEx>
          <w:tblCellMar>
            <w:top w:w="0" w:type="dxa"/>
            <w:left w:w="0" w:type="dxa"/>
            <w:bottom w:w="0" w:type="dxa"/>
            <w:right w:w="0" w:type="dxa"/>
          </w:tblCellMar>
        </w:tblPrEx>
        <w:trPr>
          <w:trHeight w:val="430" w:hRule="atLeast"/>
          <w:jc w:val="center"/>
        </w:trPr>
        <w:tc>
          <w:tcPr>
            <w:tcW w:w="395"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服务对象满意度</w:t>
            </w:r>
          </w:p>
        </w:tc>
        <w:tc>
          <w:tcPr>
            <w:tcW w:w="20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满意度</w:t>
            </w:r>
          </w:p>
        </w:tc>
        <w:tc>
          <w:tcPr>
            <w:tcW w:w="2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≥95%</w:t>
            </w:r>
          </w:p>
        </w:tc>
        <w:tc>
          <w:tcPr>
            <w:tcW w:w="27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kern w:val="0"/>
                <w:sz w:val="20"/>
                <w:szCs w:val="20"/>
                <w:lang w:bidi="ar"/>
              </w:rPr>
            </w:pPr>
            <w:r>
              <w:rPr>
                <w:rFonts w:hint="default" w:asciiTheme="minorEastAsia" w:hAnsiTheme="minorEastAsia" w:eastAsiaTheme="minorEastAsia" w:cstheme="minorEastAsia"/>
                <w:color w:val="000000"/>
                <w:kern w:val="0"/>
                <w:sz w:val="20"/>
                <w:szCs w:val="20"/>
                <w:lang w:val="en-US" w:eastAsia="zh-CN" w:bidi="ar"/>
              </w:rPr>
              <w:t>≥95%</w:t>
            </w:r>
          </w:p>
        </w:tc>
      </w:tr>
      <w:tr>
        <w:tblPrEx>
          <w:tblCellMar>
            <w:top w:w="0" w:type="dxa"/>
            <w:left w:w="0" w:type="dxa"/>
            <w:bottom w:w="0" w:type="dxa"/>
            <w:right w:w="0" w:type="dxa"/>
          </w:tblCellMar>
        </w:tblPrEx>
        <w:trPr>
          <w:trHeight w:val="1453" w:hRule="atLeast"/>
          <w:jc w:val="center"/>
        </w:trPr>
        <w:tc>
          <w:tcPr>
            <w:tcW w:w="9981"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p>
            <w:pPr>
              <w:pStyle w:val="2"/>
              <w:rPr>
                <w:rFonts w:hint="eastAsia" w:ascii="宋体" w:hAnsi="宋体" w:cs="宋体"/>
                <w:b/>
                <w:color w:val="000000"/>
                <w:kern w:val="0"/>
                <w:sz w:val="36"/>
                <w:szCs w:val="36"/>
                <w:lang w:bidi="ar"/>
              </w:rPr>
            </w:pPr>
          </w:p>
          <w:tbl>
            <w:tblPr>
              <w:tblStyle w:val="15"/>
              <w:tblW w:w="9880" w:type="dxa"/>
              <w:tblInd w:w="0" w:type="dxa"/>
              <w:tblLayout w:type="fixed"/>
              <w:tblCellMar>
                <w:top w:w="0" w:type="dxa"/>
                <w:left w:w="0" w:type="dxa"/>
                <w:bottom w:w="0" w:type="dxa"/>
                <w:right w:w="0" w:type="dxa"/>
              </w:tblCellMar>
            </w:tblPr>
            <w:tblGrid>
              <w:gridCol w:w="5"/>
              <w:gridCol w:w="420"/>
              <w:gridCol w:w="1584"/>
              <w:gridCol w:w="920"/>
              <w:gridCol w:w="2100"/>
              <w:gridCol w:w="2555"/>
              <w:gridCol w:w="2291"/>
              <w:gridCol w:w="5"/>
            </w:tblGrid>
            <w:tr>
              <w:tblPrEx>
                <w:tblCellMar>
                  <w:top w:w="0" w:type="dxa"/>
                  <w:left w:w="0" w:type="dxa"/>
                  <w:bottom w:w="0" w:type="dxa"/>
                  <w:right w:w="0" w:type="dxa"/>
                </w:tblCellMar>
              </w:tblPrEx>
              <w:trPr>
                <w:gridAfter w:val="1"/>
                <w:wAfter w:w="5" w:type="dxa"/>
                <w:trHeight w:val="450" w:hRule="atLeast"/>
              </w:trPr>
              <w:tc>
                <w:tcPr>
                  <w:tcW w:w="987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项目绩效目标完成情况表</w:t>
                  </w:r>
                </w:p>
              </w:tc>
            </w:tr>
            <w:tr>
              <w:tblPrEx>
                <w:tblCellMar>
                  <w:top w:w="0" w:type="dxa"/>
                  <w:left w:w="0" w:type="dxa"/>
                  <w:bottom w:w="0" w:type="dxa"/>
                  <w:right w:w="0" w:type="dxa"/>
                </w:tblCellMar>
              </w:tblPrEx>
              <w:trPr>
                <w:gridAfter w:val="1"/>
                <w:wAfter w:w="5" w:type="dxa"/>
                <w:trHeight w:val="480" w:hRule="atLeast"/>
              </w:trPr>
              <w:tc>
                <w:tcPr>
                  <w:tcW w:w="987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lang w:bidi="ar"/>
                    </w:rPr>
                    <w:t>(2019年度)</w:t>
                  </w:r>
                </w:p>
              </w:tc>
            </w:tr>
            <w:tr>
              <w:tblPrEx>
                <w:tblCellMar>
                  <w:top w:w="0" w:type="dxa"/>
                  <w:left w:w="0" w:type="dxa"/>
                  <w:bottom w:w="0" w:type="dxa"/>
                  <w:right w:w="0" w:type="dxa"/>
                </w:tblCellMar>
              </w:tblPrEx>
              <w:trPr>
                <w:gridBefore w:val="1"/>
                <w:wBefore w:w="5" w:type="dxa"/>
                <w:trHeight w:val="90" w:hRule="atLeast"/>
              </w:trPr>
              <w:tc>
                <w:tcPr>
                  <w:tcW w:w="29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69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无名案件及殡葬惠民遗体减免火化购买服务经费</w:t>
                  </w:r>
                </w:p>
              </w:tc>
            </w:tr>
            <w:tr>
              <w:tblPrEx>
                <w:tblCellMar>
                  <w:top w:w="0" w:type="dxa"/>
                  <w:left w:w="0" w:type="dxa"/>
                  <w:bottom w:w="0" w:type="dxa"/>
                  <w:right w:w="0" w:type="dxa"/>
                </w:tblCellMar>
              </w:tblPrEx>
              <w:trPr>
                <w:gridBefore w:val="1"/>
                <w:wBefore w:w="5" w:type="dxa"/>
                <w:trHeight w:val="315" w:hRule="atLeast"/>
              </w:trPr>
              <w:tc>
                <w:tcPr>
                  <w:tcW w:w="29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预算单位</w:t>
                  </w:r>
                </w:p>
              </w:tc>
              <w:tc>
                <w:tcPr>
                  <w:tcW w:w="69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市民政局</w:t>
                  </w:r>
                </w:p>
              </w:tc>
            </w:tr>
            <w:tr>
              <w:tblPrEx>
                <w:tblCellMar>
                  <w:top w:w="0" w:type="dxa"/>
                  <w:left w:w="0" w:type="dxa"/>
                  <w:bottom w:w="0" w:type="dxa"/>
                  <w:right w:w="0" w:type="dxa"/>
                </w:tblCellMar>
              </w:tblPrEx>
              <w:trPr>
                <w:gridBefore w:val="1"/>
                <w:wBefore w:w="5" w:type="dxa"/>
                <w:trHeight w:val="31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预算执行情况(万元)</w:t>
                  </w: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执行数:</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r>
            <w:tr>
              <w:tblPrEx>
                <w:tblCellMar>
                  <w:top w:w="0" w:type="dxa"/>
                  <w:left w:w="0" w:type="dxa"/>
                  <w:bottom w:w="0" w:type="dxa"/>
                  <w:right w:w="0" w:type="dxa"/>
                </w:tblCellMar>
              </w:tblPrEx>
              <w:trPr>
                <w:gridBefore w:val="1"/>
                <w:wBefore w:w="5" w:type="dxa"/>
                <w:trHeight w:val="6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r>
            <w:tr>
              <w:tblPrEx>
                <w:tblCellMar>
                  <w:top w:w="0" w:type="dxa"/>
                  <w:left w:w="0" w:type="dxa"/>
                  <w:bottom w:w="0" w:type="dxa"/>
                  <w:right w:w="0" w:type="dxa"/>
                </w:tblCellMar>
              </w:tblPrEx>
              <w:trPr>
                <w:gridBefore w:val="1"/>
                <w:wBefore w:w="5" w:type="dxa"/>
                <w:trHeight w:val="6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其它资金: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其它资金:</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Before w:val="1"/>
                <w:wBefore w:w="5" w:type="dxa"/>
                <w:trHeight w:val="31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年度目标完成情况</w:t>
                  </w:r>
                </w:p>
              </w:tc>
              <w:tc>
                <w:tcPr>
                  <w:tcW w:w="46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预期目标</w:t>
                  </w:r>
                </w:p>
              </w:tc>
              <w:tc>
                <w:tcPr>
                  <w:tcW w:w="48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实际完成目标</w:t>
                  </w:r>
                </w:p>
              </w:tc>
            </w:tr>
            <w:tr>
              <w:tblPrEx>
                <w:tblCellMar>
                  <w:top w:w="0" w:type="dxa"/>
                  <w:left w:w="0" w:type="dxa"/>
                  <w:bottom w:w="0" w:type="dxa"/>
                  <w:right w:w="0" w:type="dxa"/>
                </w:tblCellMar>
              </w:tblPrEx>
              <w:trPr>
                <w:gridBefore w:val="1"/>
                <w:wBefore w:w="5" w:type="dxa"/>
                <w:trHeight w:val="2150" w:hRule="atLeast"/>
              </w:trPr>
              <w:tc>
                <w:tcPr>
                  <w:tcW w:w="42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604"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本项目资金用于对无名遗体、案件遗体、五保户、城镇三无人员、重点优抚对象，城镇低保对象、市区、三县两区等人员的运输、保存（含冷冻、停放、消毒卫生等）、火化等基本公共服务所需的业务费用。</w:t>
                  </w:r>
                </w:p>
              </w:tc>
              <w:tc>
                <w:tcPr>
                  <w:tcW w:w="4851"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本项目完成了对无名遗体、案件遗体、五保户、城镇三无人员、重点优抚对象，城镇低保对象、市区、三县两区等人员的运输、保存（含冷冻、停放、消毒卫生等）、火化等基本公共服务所需的业务费用。</w:t>
                  </w:r>
                </w:p>
              </w:tc>
            </w:tr>
            <w:tr>
              <w:tblPrEx>
                <w:tblCellMar>
                  <w:top w:w="0" w:type="dxa"/>
                  <w:left w:w="0" w:type="dxa"/>
                  <w:bottom w:w="0" w:type="dxa"/>
                  <w:right w:w="0" w:type="dxa"/>
                </w:tblCellMar>
              </w:tblPrEx>
              <w:trPr>
                <w:gridBefore w:val="1"/>
                <w:wBefore w:w="5" w:type="dxa"/>
                <w:trHeight w:val="86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绩效指标完成情况</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一级指标</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二级指标</w:t>
                  </w:r>
                </w:p>
              </w:tc>
              <w:tc>
                <w:tcPr>
                  <w:tcW w:w="2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三级指标</w:t>
                  </w: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预期指标值(包含数字及文字描述)</w:t>
                  </w:r>
                </w:p>
              </w:tc>
              <w:tc>
                <w:tcPr>
                  <w:tcW w:w="229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实际完成指标值(包含数字及文字描述)</w:t>
                  </w:r>
                </w:p>
              </w:tc>
            </w:tr>
            <w:tr>
              <w:tblPrEx>
                <w:tblCellMar>
                  <w:top w:w="0" w:type="dxa"/>
                  <w:left w:w="0" w:type="dxa"/>
                  <w:bottom w:w="0" w:type="dxa"/>
                  <w:right w:w="0" w:type="dxa"/>
                </w:tblCellMar>
              </w:tblPrEx>
              <w:trPr>
                <w:gridBefore w:val="1"/>
                <w:wBefore w:w="5" w:type="dxa"/>
                <w:trHeight w:val="1060"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产出指标</w:t>
                  </w:r>
                </w:p>
              </w:tc>
              <w:tc>
                <w:tcPr>
                  <w:tcW w:w="92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数量指标</w:t>
                  </w:r>
                </w:p>
              </w:tc>
              <w:tc>
                <w:tcPr>
                  <w:tcW w:w="2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对本年度无名案件遗体按规定保存</w:t>
                  </w: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为无名遗体、案件遗体、按规定减免火化费用</w:t>
                  </w:r>
                </w:p>
              </w:tc>
              <w:tc>
                <w:tcPr>
                  <w:tcW w:w="229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完成为无名遗体、案件遗体、按规定减免火化费用</w:t>
                  </w:r>
                </w:p>
              </w:tc>
            </w:tr>
            <w:tr>
              <w:tblPrEx>
                <w:tblCellMar>
                  <w:top w:w="0" w:type="dxa"/>
                  <w:left w:w="0" w:type="dxa"/>
                  <w:bottom w:w="0" w:type="dxa"/>
                  <w:right w:w="0" w:type="dxa"/>
                </w:tblCellMar>
              </w:tblPrEx>
              <w:trPr>
                <w:gridBefore w:val="1"/>
                <w:wBefore w:w="5" w:type="dxa"/>
                <w:trHeight w:val="1800"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widowControl/>
                    <w:jc w:val="left"/>
                    <w:textAlignment w:val="center"/>
                    <w:rPr>
                      <w:rFonts w:ascii="宋体" w:hAnsi="宋体" w:cs="宋体"/>
                      <w:color w:val="000000"/>
                      <w:kern w:val="0"/>
                      <w:sz w:val="20"/>
                      <w:szCs w:val="20"/>
                      <w:lang w:bidi="ar"/>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惠民殡葬</w:t>
                  </w: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为五保户、城镇三无人员、重点优抚对象，城镇低保对象等人员按规定减免火化费用火化量以当年实际火化数为基准</w:t>
                  </w:r>
                </w:p>
              </w:tc>
              <w:tc>
                <w:tcPr>
                  <w:tcW w:w="229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完成为五保户、城镇三无人员、重点优抚对象，城镇低保对象等人员按规定减免火化费用火化量以当年实际火化数为基准</w:t>
                  </w:r>
                </w:p>
              </w:tc>
            </w:tr>
            <w:tr>
              <w:tblPrEx>
                <w:tblCellMar>
                  <w:top w:w="0" w:type="dxa"/>
                  <w:left w:w="0" w:type="dxa"/>
                  <w:bottom w:w="0" w:type="dxa"/>
                  <w:right w:w="0" w:type="dxa"/>
                </w:tblCellMar>
              </w:tblPrEx>
              <w:trPr>
                <w:gridBefore w:val="1"/>
                <w:wBefore w:w="5" w:type="dxa"/>
                <w:trHeight w:val="450"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widowControl/>
                    <w:jc w:val="left"/>
                    <w:textAlignment w:val="center"/>
                    <w:rPr>
                      <w:rFonts w:ascii="宋体" w:hAnsi="宋体" w:cs="宋体"/>
                      <w:color w:val="000000"/>
                      <w:kern w:val="0"/>
                      <w:sz w:val="20"/>
                      <w:szCs w:val="20"/>
                      <w:lang w:bidi="ar"/>
                    </w:rPr>
                  </w:pPr>
                </w:p>
              </w:tc>
              <w:tc>
                <w:tcPr>
                  <w:tcW w:w="92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质量指标</w:t>
                  </w:r>
                </w:p>
              </w:tc>
              <w:tc>
                <w:tcPr>
                  <w:tcW w:w="2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殡葬服务</w:t>
                  </w: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按照标准为丧属提供服务</w:t>
                  </w:r>
                </w:p>
              </w:tc>
              <w:tc>
                <w:tcPr>
                  <w:tcW w:w="229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完成按照标准为丧属提供服务</w:t>
                  </w:r>
                </w:p>
              </w:tc>
            </w:tr>
            <w:tr>
              <w:tblPrEx>
                <w:tblCellMar>
                  <w:top w:w="0" w:type="dxa"/>
                  <w:left w:w="0" w:type="dxa"/>
                  <w:bottom w:w="0" w:type="dxa"/>
                  <w:right w:w="0" w:type="dxa"/>
                </w:tblCellMar>
              </w:tblPrEx>
              <w:trPr>
                <w:gridBefore w:val="1"/>
                <w:wBefore w:w="5" w:type="dxa"/>
                <w:trHeight w:val="285"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widowControl/>
                    <w:jc w:val="left"/>
                    <w:textAlignment w:val="center"/>
                    <w:rPr>
                      <w:rFonts w:ascii="宋体" w:hAnsi="宋体" w:cs="宋体"/>
                      <w:color w:val="000000"/>
                      <w:kern w:val="0"/>
                      <w:sz w:val="20"/>
                      <w:szCs w:val="20"/>
                      <w:lang w:bidi="ar"/>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按时按质 </w:t>
                  </w: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做好火化量登记</w:t>
                  </w:r>
                </w:p>
              </w:tc>
              <w:tc>
                <w:tcPr>
                  <w:tcW w:w="229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完成火化量登记</w:t>
                  </w:r>
                </w:p>
              </w:tc>
            </w:tr>
            <w:tr>
              <w:tblPrEx>
                <w:tblCellMar>
                  <w:top w:w="0" w:type="dxa"/>
                  <w:left w:w="0" w:type="dxa"/>
                  <w:bottom w:w="0" w:type="dxa"/>
                  <w:right w:w="0" w:type="dxa"/>
                </w:tblCellMar>
              </w:tblPrEx>
              <w:trPr>
                <w:gridBefore w:val="1"/>
                <w:wBefore w:w="5" w:type="dxa"/>
                <w:trHeight w:val="675"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widowControl/>
                    <w:jc w:val="left"/>
                    <w:textAlignment w:val="center"/>
                    <w:rPr>
                      <w:rFonts w:ascii="宋体" w:hAnsi="宋体" w:cs="宋体"/>
                      <w:color w:val="000000"/>
                      <w:kern w:val="0"/>
                      <w:sz w:val="20"/>
                      <w:szCs w:val="20"/>
                      <w:lang w:bidi="ar"/>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2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殡葬惠民</w:t>
                  </w: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大力推动全市殡葬惠民改革工作</w:t>
                  </w:r>
                </w:p>
              </w:tc>
              <w:tc>
                <w:tcPr>
                  <w:tcW w:w="229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完成大力推动全市殡葬惠民改革工作</w:t>
                  </w:r>
                </w:p>
              </w:tc>
            </w:tr>
            <w:tr>
              <w:tblPrEx>
                <w:tblCellMar>
                  <w:top w:w="0" w:type="dxa"/>
                  <w:left w:w="0" w:type="dxa"/>
                  <w:bottom w:w="0" w:type="dxa"/>
                  <w:right w:w="0" w:type="dxa"/>
                </w:tblCellMar>
              </w:tblPrEx>
              <w:trPr>
                <w:gridBefore w:val="1"/>
                <w:wBefore w:w="5" w:type="dxa"/>
                <w:trHeight w:val="900" w:hRule="atLeast"/>
              </w:trPr>
              <w:tc>
                <w:tcPr>
                  <w:tcW w:w="420"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ascii="宋体" w:hAnsi="宋体" w:cs="宋体"/>
                      <w:color w:val="000000"/>
                      <w:kern w:val="0"/>
                      <w:sz w:val="20"/>
                      <w:szCs w:val="20"/>
                      <w:lang w:bidi="ar"/>
                    </w:rPr>
                  </w:pPr>
                </w:p>
              </w:tc>
              <w:tc>
                <w:tcPr>
                  <w:tcW w:w="9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时效指标</w:t>
                  </w:r>
                </w:p>
              </w:tc>
              <w:tc>
                <w:tcPr>
                  <w:tcW w:w="21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节能</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在2019年1月1日至2019年12月31日完成资金全部的投入 </w:t>
                  </w:r>
                </w:p>
              </w:tc>
              <w:tc>
                <w:tcPr>
                  <w:tcW w:w="2296"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完成在2019年1月1日至2019年12月31日完成资金全部的投入 </w:t>
                  </w:r>
                </w:p>
              </w:tc>
            </w:tr>
            <w:tr>
              <w:tblPrEx>
                <w:tblCellMar>
                  <w:top w:w="0" w:type="dxa"/>
                  <w:left w:w="0" w:type="dxa"/>
                  <w:bottom w:w="0" w:type="dxa"/>
                  <w:right w:w="0" w:type="dxa"/>
                </w:tblCellMar>
              </w:tblPrEx>
              <w:trPr>
                <w:gridBefore w:val="1"/>
                <w:wBefore w:w="5" w:type="dxa"/>
                <w:trHeight w:val="285"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left"/>
                    <w:textAlignment w:val="center"/>
                    <w:rPr>
                      <w:rFonts w:ascii="宋体" w:hAnsi="宋体" w:cs="宋体"/>
                      <w:color w:val="000000"/>
                      <w:kern w:val="0"/>
                      <w:sz w:val="20"/>
                      <w:szCs w:val="20"/>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成本指标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殡葬惠民 </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环保、节能</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完成环保、节能</w:t>
                  </w:r>
                </w:p>
              </w:tc>
            </w:tr>
            <w:tr>
              <w:tblPrEx>
                <w:tblCellMar>
                  <w:top w:w="0" w:type="dxa"/>
                  <w:left w:w="0" w:type="dxa"/>
                  <w:bottom w:w="0" w:type="dxa"/>
                  <w:right w:w="0" w:type="dxa"/>
                </w:tblCellMar>
              </w:tblPrEx>
              <w:trPr>
                <w:gridBefore w:val="1"/>
                <w:wBefore w:w="5" w:type="dxa"/>
                <w:trHeight w:val="1575"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效益指标</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经济效益</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殡葬救助保障水平</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为无名遗体、案件遗体、五保户、城镇三无人员、重点优抚对象，城镇低保对象等人员按规定减免火化费用</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完成为无名遗体、案件遗体、五保户、城镇三无人员、重点优抚对象，城镇低保对象等人员按规定减免火化费用</w:t>
                  </w:r>
                </w:p>
              </w:tc>
            </w:tr>
            <w:tr>
              <w:tblPrEx>
                <w:tblCellMar>
                  <w:top w:w="0" w:type="dxa"/>
                  <w:left w:w="0" w:type="dxa"/>
                  <w:bottom w:w="0" w:type="dxa"/>
                  <w:right w:w="0" w:type="dxa"/>
                </w:tblCellMar>
              </w:tblPrEx>
              <w:trPr>
                <w:gridBefore w:val="1"/>
                <w:wBefore w:w="5" w:type="dxa"/>
                <w:trHeight w:val="450"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殡葬惠民政策  </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按照标准为丧属提供服务</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完成按照标准为丧属提供服务</w:t>
                  </w:r>
                </w:p>
              </w:tc>
            </w:tr>
            <w:tr>
              <w:tblPrEx>
                <w:tblCellMar>
                  <w:top w:w="0" w:type="dxa"/>
                  <w:left w:w="0" w:type="dxa"/>
                  <w:bottom w:w="0" w:type="dxa"/>
                  <w:right w:w="0" w:type="dxa"/>
                </w:tblCellMar>
              </w:tblPrEx>
              <w:trPr>
                <w:gridBefore w:val="1"/>
                <w:wBefore w:w="5" w:type="dxa"/>
                <w:trHeight w:val="1575"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社会效益</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环保 </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为无名遗体、案件遗体、五保户、城镇三无人员、重点优抚对象，城镇低保对象等人员按规定减免火化费用</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完成为无名遗体、案件遗体、五保户、城镇三无人员、重点优抚对象，城镇低保对象等人员按规定减免火化费用</w:t>
                  </w:r>
                </w:p>
              </w:tc>
            </w:tr>
            <w:tr>
              <w:tblPrEx>
                <w:tblCellMar>
                  <w:top w:w="0" w:type="dxa"/>
                  <w:left w:w="0" w:type="dxa"/>
                  <w:bottom w:w="0" w:type="dxa"/>
                  <w:right w:w="0" w:type="dxa"/>
                </w:tblCellMar>
              </w:tblPrEx>
              <w:trPr>
                <w:gridBefore w:val="1"/>
                <w:wBefore w:w="5" w:type="dxa"/>
                <w:trHeight w:val="450"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生态文明</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生态环保安葬</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完成生态环保安葬</w:t>
                  </w:r>
                </w:p>
              </w:tc>
            </w:tr>
            <w:tr>
              <w:tblPrEx>
                <w:tblCellMar>
                  <w:top w:w="0" w:type="dxa"/>
                  <w:left w:w="0" w:type="dxa"/>
                  <w:bottom w:w="0" w:type="dxa"/>
                  <w:right w:w="0" w:type="dxa"/>
                </w:tblCellMar>
              </w:tblPrEx>
              <w:trPr>
                <w:gridBefore w:val="1"/>
                <w:wBefore w:w="5" w:type="dxa"/>
                <w:trHeight w:val="450"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生态效益</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安葬</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生态环保安葬</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完成生态环保安葬</w:t>
                  </w:r>
                </w:p>
              </w:tc>
            </w:tr>
            <w:tr>
              <w:tblPrEx>
                <w:tblCellMar>
                  <w:top w:w="0" w:type="dxa"/>
                  <w:left w:w="0" w:type="dxa"/>
                  <w:bottom w:w="0" w:type="dxa"/>
                  <w:right w:w="0" w:type="dxa"/>
                </w:tblCellMar>
              </w:tblPrEx>
              <w:trPr>
                <w:gridBefore w:val="1"/>
                <w:wBefore w:w="5" w:type="dxa"/>
                <w:trHeight w:val="675"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可持续影响</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殡葬改革</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大力推动全市殡葬惠民改革工作。 </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完成大力推动全市殡葬惠民改革工作。 </w:t>
                  </w:r>
                </w:p>
              </w:tc>
            </w:tr>
            <w:tr>
              <w:tblPrEx>
                <w:tblCellMar>
                  <w:top w:w="0" w:type="dxa"/>
                  <w:left w:w="0" w:type="dxa"/>
                  <w:bottom w:w="0" w:type="dxa"/>
                  <w:right w:w="0" w:type="dxa"/>
                </w:tblCellMar>
              </w:tblPrEx>
              <w:trPr>
                <w:gridBefore w:val="1"/>
                <w:wBefore w:w="5" w:type="dxa"/>
                <w:trHeight w:val="1125"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满意度指标 </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服务对象满意度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投诉方面</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无服务对象因不合法、不规范、不达标服务产生投诉上访事件 </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完成无服务对象因不合法、不规范、不达标服务产生投诉上访事件 </w:t>
                  </w:r>
                </w:p>
              </w:tc>
            </w:tr>
            <w:tr>
              <w:tblPrEx>
                <w:tblCellMar>
                  <w:top w:w="0" w:type="dxa"/>
                  <w:left w:w="0" w:type="dxa"/>
                  <w:bottom w:w="0" w:type="dxa"/>
                  <w:right w:w="0" w:type="dxa"/>
                </w:tblCellMar>
              </w:tblPrEx>
              <w:trPr>
                <w:gridBefore w:val="1"/>
                <w:wBefore w:w="5" w:type="dxa"/>
                <w:trHeight w:val="675"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安全方面</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无一例安全事故发生，无社会不良舆论影响</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完成无一例安全事故发生，无社会不良舆论影响</w:t>
                  </w:r>
                </w:p>
              </w:tc>
            </w:tr>
            <w:tr>
              <w:tblPrEx>
                <w:tblCellMar>
                  <w:top w:w="0" w:type="dxa"/>
                  <w:left w:w="0" w:type="dxa"/>
                  <w:bottom w:w="0" w:type="dxa"/>
                  <w:right w:w="0" w:type="dxa"/>
                </w:tblCellMar>
              </w:tblPrEx>
              <w:trPr>
                <w:gridBefore w:val="1"/>
                <w:wBefore w:w="5" w:type="dxa"/>
                <w:trHeight w:val="450" w:hRule="atLeast"/>
              </w:trPr>
              <w:tc>
                <w:tcPr>
                  <w:tcW w:w="42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满意度</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丧属满意度达到98%</w:t>
                  </w:r>
                </w:p>
              </w:tc>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完成丧属满意度达到98%</w:t>
                  </w:r>
                </w:p>
              </w:tc>
            </w:tr>
          </w:tbl>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8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巴中市第六届“金秋圆梦·慈善助学”</w:t>
            </w:r>
          </w:p>
        </w:tc>
      </w:tr>
      <w:tr>
        <w:tblPrEx>
          <w:tblCellMar>
            <w:top w:w="0" w:type="dxa"/>
            <w:left w:w="0" w:type="dxa"/>
            <w:bottom w:w="0" w:type="dxa"/>
            <w:right w:w="0" w:type="dxa"/>
          </w:tblCellMar>
        </w:tblPrEx>
        <w:trPr>
          <w:trHeight w:val="276" w:hRule="atLeast"/>
          <w:jc w:val="center"/>
        </w:trPr>
        <w:tc>
          <w:tcPr>
            <w:tcW w:w="28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市民政局</w:t>
            </w:r>
          </w:p>
        </w:tc>
      </w:tr>
      <w:tr>
        <w:tblPrEx>
          <w:tblCellMar>
            <w:top w:w="0" w:type="dxa"/>
            <w:left w:w="0" w:type="dxa"/>
            <w:bottom w:w="0" w:type="dxa"/>
            <w:right w:w="0" w:type="dxa"/>
          </w:tblCellMar>
        </w:tblPrEx>
        <w:trPr>
          <w:trHeight w:val="302" w:hRule="atLeast"/>
          <w:jc w:val="center"/>
        </w:trPr>
        <w:tc>
          <w:tcPr>
            <w:tcW w:w="3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预算执行情况(万元)</w:t>
            </w:r>
          </w:p>
        </w:tc>
        <w:tc>
          <w:tcPr>
            <w:tcW w:w="24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20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2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r>
      <w:tr>
        <w:tblPrEx>
          <w:tblCellMar>
            <w:top w:w="0" w:type="dxa"/>
            <w:left w:w="0" w:type="dxa"/>
            <w:bottom w:w="0" w:type="dxa"/>
            <w:right w:w="0" w:type="dxa"/>
          </w:tblCellMar>
        </w:tblPrEx>
        <w:trPr>
          <w:trHeight w:val="276" w:hRule="atLeast"/>
          <w:jc w:val="center"/>
        </w:trPr>
        <w:tc>
          <w:tcPr>
            <w:tcW w:w="3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4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其中-财政拨款:</w:t>
            </w:r>
          </w:p>
        </w:tc>
        <w:tc>
          <w:tcPr>
            <w:tcW w:w="20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2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r>
      <w:tr>
        <w:tblPrEx>
          <w:tblCellMar>
            <w:top w:w="0" w:type="dxa"/>
            <w:left w:w="0" w:type="dxa"/>
            <w:bottom w:w="0" w:type="dxa"/>
            <w:right w:w="0" w:type="dxa"/>
          </w:tblCellMar>
        </w:tblPrEx>
        <w:trPr>
          <w:trHeight w:val="1587" w:hRule="atLeast"/>
          <w:jc w:val="center"/>
        </w:trPr>
        <w:tc>
          <w:tcPr>
            <w:tcW w:w="39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408"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其它资金:</w:t>
            </w:r>
          </w:p>
        </w:tc>
        <w:tc>
          <w:tcPr>
            <w:tcW w:w="20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760"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其它资金:</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6" w:hRule="atLeast"/>
          <w:jc w:val="center"/>
        </w:trPr>
        <w:tc>
          <w:tcPr>
            <w:tcW w:w="39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年度目标完成情况</w:t>
            </w:r>
          </w:p>
        </w:tc>
        <w:tc>
          <w:tcPr>
            <w:tcW w:w="4434"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预期目标</w:t>
            </w:r>
          </w:p>
        </w:tc>
        <w:tc>
          <w:tcPr>
            <w:tcW w:w="5152"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实际完成目标</w:t>
            </w:r>
          </w:p>
        </w:tc>
      </w:tr>
      <w:tr>
        <w:tblPrEx>
          <w:tblCellMar>
            <w:top w:w="0" w:type="dxa"/>
            <w:left w:w="0" w:type="dxa"/>
            <w:bottom w:w="0" w:type="dxa"/>
            <w:right w:w="0" w:type="dxa"/>
          </w:tblCellMar>
        </w:tblPrEx>
        <w:trPr>
          <w:trHeight w:val="1159"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20"/>
              </w:rPr>
            </w:pPr>
          </w:p>
        </w:tc>
        <w:tc>
          <w:tcPr>
            <w:tcW w:w="4434"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帮扶更多特困特优大学新生圆梦大学</w:t>
            </w:r>
          </w:p>
        </w:tc>
        <w:tc>
          <w:tcPr>
            <w:tcW w:w="5152"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帮扶</w:t>
            </w:r>
            <w:r>
              <w:rPr>
                <w:rFonts w:hint="eastAsia" w:ascii="宋体" w:hAnsi="宋体" w:cs="宋体"/>
                <w:color w:val="000000"/>
                <w:sz w:val="20"/>
                <w:szCs w:val="20"/>
                <w:lang w:eastAsia="zh-CN"/>
              </w:rPr>
              <w:t>了</w:t>
            </w:r>
            <w:r>
              <w:rPr>
                <w:rFonts w:hint="eastAsia" w:ascii="宋体" w:hAnsi="宋体" w:cs="宋体"/>
                <w:color w:val="000000"/>
                <w:sz w:val="20"/>
                <w:szCs w:val="20"/>
              </w:rPr>
              <w:t>更多特困特优大学新生圆梦大学</w:t>
            </w:r>
          </w:p>
        </w:tc>
      </w:tr>
      <w:tr>
        <w:tblPrEx>
          <w:tblCellMar>
            <w:top w:w="0" w:type="dxa"/>
            <w:left w:w="0" w:type="dxa"/>
            <w:bottom w:w="0" w:type="dxa"/>
            <w:right w:w="0" w:type="dxa"/>
          </w:tblCellMar>
        </w:tblPrEx>
        <w:trPr>
          <w:trHeight w:val="1042" w:hRule="atLeast"/>
          <w:jc w:val="center"/>
        </w:trPr>
        <w:tc>
          <w:tcPr>
            <w:tcW w:w="39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绩效指标完成情况</w:t>
            </w:r>
          </w:p>
        </w:tc>
        <w:tc>
          <w:tcPr>
            <w:tcW w:w="13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预期指标值(包含数字及文字描述)</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实际完成指标值(包含数字及文字描述)</w:t>
            </w:r>
          </w:p>
        </w:tc>
      </w:tr>
      <w:tr>
        <w:tblPrEx>
          <w:tblCellMar>
            <w:top w:w="0" w:type="dxa"/>
            <w:left w:w="0" w:type="dxa"/>
            <w:bottom w:w="0" w:type="dxa"/>
            <w:right w:w="0" w:type="dxa"/>
          </w:tblCellMar>
        </w:tblPrEx>
        <w:trPr>
          <w:trHeight w:val="953"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帮扶2019年高考录取的困难大学生</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240人</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240人</w:t>
            </w:r>
          </w:p>
        </w:tc>
      </w:tr>
      <w:tr>
        <w:tblPrEx>
          <w:tblCellMar>
            <w:top w:w="0" w:type="dxa"/>
            <w:left w:w="0" w:type="dxa"/>
            <w:bottom w:w="0" w:type="dxa"/>
            <w:right w:w="0" w:type="dxa"/>
          </w:tblCellMar>
        </w:tblPrEx>
        <w:trPr>
          <w:trHeight w:val="1297"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lang w:bidi="ar"/>
              </w:rPr>
            </w:pPr>
          </w:p>
        </w:tc>
        <w:tc>
          <w:tcPr>
            <w:tcW w:w="10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质量指标</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组织座谈会、新闻媒体宣传活动</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5次、15天</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5次、15天</w:t>
            </w:r>
          </w:p>
        </w:tc>
      </w:tr>
      <w:tr>
        <w:tblPrEx>
          <w:tblCellMar>
            <w:top w:w="0" w:type="dxa"/>
            <w:left w:w="0" w:type="dxa"/>
            <w:bottom w:w="0" w:type="dxa"/>
            <w:right w:w="0" w:type="dxa"/>
          </w:tblCellMar>
        </w:tblPrEx>
        <w:trPr>
          <w:trHeight w:val="104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邀请参加捐款活动的爱心企业户数、爱心人士人数</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企业20户、爱心人士2人</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企业20户、爱心人士2人</w:t>
            </w:r>
          </w:p>
        </w:tc>
      </w:tr>
      <w:tr>
        <w:tblPrEx>
          <w:tblCellMar>
            <w:top w:w="0" w:type="dxa"/>
            <w:left w:w="0" w:type="dxa"/>
            <w:bottom w:w="0" w:type="dxa"/>
            <w:right w:w="0" w:type="dxa"/>
          </w:tblCellMar>
        </w:tblPrEx>
        <w:trPr>
          <w:trHeight w:val="104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助学活动起止时间</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2019年6月10日至9月底</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2019年6月10日至9月底</w:t>
            </w:r>
          </w:p>
        </w:tc>
      </w:tr>
      <w:tr>
        <w:tblPrEx>
          <w:tblCellMar>
            <w:top w:w="0" w:type="dxa"/>
            <w:left w:w="0" w:type="dxa"/>
            <w:bottom w:w="0" w:type="dxa"/>
            <w:right w:w="0" w:type="dxa"/>
          </w:tblCellMar>
        </w:tblPrEx>
        <w:trPr>
          <w:trHeight w:val="104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成本指标</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帮扶2019年高考录取的困难大学生</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120万元</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120万元</w:t>
            </w:r>
          </w:p>
        </w:tc>
      </w:tr>
      <w:tr>
        <w:tblPrEx>
          <w:tblCellMar>
            <w:top w:w="0" w:type="dxa"/>
            <w:left w:w="0" w:type="dxa"/>
            <w:bottom w:w="0" w:type="dxa"/>
            <w:right w:w="0" w:type="dxa"/>
          </w:tblCellMar>
        </w:tblPrEx>
        <w:trPr>
          <w:trHeight w:val="104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组织座谈会、举办募捐活动、新闻媒体宣传经费</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5万元</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5万元</w:t>
            </w:r>
          </w:p>
        </w:tc>
      </w:tr>
      <w:tr>
        <w:tblPrEx>
          <w:tblCellMar>
            <w:top w:w="0" w:type="dxa"/>
            <w:left w:w="0" w:type="dxa"/>
            <w:bottom w:w="0" w:type="dxa"/>
            <w:right w:w="0" w:type="dxa"/>
          </w:tblCellMar>
        </w:tblPrEx>
        <w:trPr>
          <w:trHeight w:val="1042"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经济效益</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保障困难学子利益最大化</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满足困难学子步入大学校门</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满足困难学子步入大学校门</w:t>
            </w:r>
          </w:p>
        </w:tc>
      </w:tr>
      <w:tr>
        <w:tblPrEx>
          <w:tblCellMar>
            <w:top w:w="0" w:type="dxa"/>
            <w:left w:w="0" w:type="dxa"/>
            <w:bottom w:w="0" w:type="dxa"/>
            <w:right w:w="0" w:type="dxa"/>
          </w:tblCellMar>
        </w:tblPrEx>
        <w:trPr>
          <w:trHeight w:val="1297"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社会效益</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营造慈善理念</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营造人人慈善、慈善人人的社会理念</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营造人人慈善、慈善人人的社会理念</w:t>
            </w:r>
          </w:p>
        </w:tc>
      </w:tr>
      <w:tr>
        <w:tblPrEx>
          <w:tblCellMar>
            <w:top w:w="0" w:type="dxa"/>
            <w:left w:w="0" w:type="dxa"/>
            <w:bottom w:w="0" w:type="dxa"/>
            <w:right w:w="0" w:type="dxa"/>
          </w:tblCellMar>
        </w:tblPrEx>
        <w:trPr>
          <w:trHeight w:val="1297"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lang w:bidi="ar"/>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i w:val="0"/>
                <w:color w:val="000000"/>
                <w:kern w:val="0"/>
                <w:sz w:val="20"/>
                <w:szCs w:val="20"/>
                <w:u w:val="none"/>
                <w:lang w:val="en-US" w:eastAsia="zh-CN" w:bidi="ar"/>
              </w:rPr>
              <w:t>可持续影响</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慈善事业发展</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i w:val="0"/>
                <w:color w:val="000000"/>
                <w:kern w:val="0"/>
                <w:sz w:val="20"/>
                <w:szCs w:val="20"/>
                <w:u w:val="none"/>
                <w:lang w:val="en-US" w:eastAsia="zh-CN" w:bidi="ar"/>
              </w:rPr>
              <w:t>持续推动全市慈善事业的发展，让困难学子感受到党和政府的关心、关爱</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i w:val="0"/>
                <w:color w:val="000000"/>
                <w:kern w:val="0"/>
                <w:sz w:val="20"/>
                <w:szCs w:val="20"/>
                <w:u w:val="none"/>
                <w:lang w:val="en-US" w:eastAsia="zh-CN" w:bidi="ar"/>
              </w:rPr>
              <w:t>持续推动全市慈善事业的发展，让困难学子感受到党和政府的关心、关爱</w:t>
            </w:r>
          </w:p>
        </w:tc>
      </w:tr>
      <w:tr>
        <w:tblPrEx>
          <w:tblCellMar>
            <w:top w:w="0" w:type="dxa"/>
            <w:left w:w="0" w:type="dxa"/>
            <w:bottom w:w="0" w:type="dxa"/>
            <w:right w:w="0" w:type="dxa"/>
          </w:tblCellMar>
        </w:tblPrEx>
        <w:trPr>
          <w:trHeight w:val="1297" w:hRule="atLeast"/>
          <w:jc w:val="center"/>
        </w:trPr>
        <w:tc>
          <w:tcPr>
            <w:tcW w:w="3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i w:val="0"/>
                <w:color w:val="000000"/>
                <w:kern w:val="0"/>
                <w:sz w:val="20"/>
                <w:szCs w:val="20"/>
                <w:u w:val="none"/>
                <w:lang w:val="en-US" w:eastAsia="zh-CN" w:bidi="ar"/>
              </w:rPr>
              <w:t>服务对象满意度</w:t>
            </w:r>
          </w:p>
        </w:tc>
        <w:tc>
          <w:tcPr>
            <w:tcW w:w="20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1.社会各界爱心单位、爱心人士</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2.困难大学新生满意度</w:t>
            </w:r>
          </w:p>
        </w:tc>
        <w:tc>
          <w:tcPr>
            <w:tcW w:w="24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i w:val="0"/>
                <w:color w:val="000000"/>
                <w:kern w:val="0"/>
                <w:sz w:val="20"/>
                <w:szCs w:val="20"/>
                <w:u w:val="none"/>
                <w:lang w:val="en-US" w:eastAsia="zh-CN" w:bidi="ar"/>
              </w:rPr>
              <w:t>满意度≥99%</w:t>
            </w:r>
          </w:p>
        </w:tc>
        <w:tc>
          <w:tcPr>
            <w:tcW w:w="27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0"/>
                <w:szCs w:val="20"/>
                <w:lang w:bidi="ar"/>
              </w:rPr>
            </w:pPr>
            <w:r>
              <w:rPr>
                <w:rFonts w:hint="eastAsia" w:asciiTheme="minorEastAsia" w:hAnsiTheme="minorEastAsia" w:eastAsiaTheme="minorEastAsia" w:cstheme="minorEastAsia"/>
                <w:i w:val="0"/>
                <w:color w:val="000000"/>
                <w:kern w:val="0"/>
                <w:sz w:val="20"/>
                <w:szCs w:val="20"/>
                <w:u w:val="none"/>
                <w:lang w:val="en-US" w:eastAsia="zh-CN" w:bidi="ar"/>
              </w:rPr>
              <w:t>满意度≥99%</w:t>
            </w:r>
          </w:p>
        </w:tc>
      </w:tr>
      <w:tr>
        <w:tblPrEx>
          <w:tblCellMar>
            <w:top w:w="0" w:type="dxa"/>
            <w:left w:w="0" w:type="dxa"/>
            <w:bottom w:w="0" w:type="dxa"/>
            <w:right w:w="0" w:type="dxa"/>
          </w:tblCellMar>
        </w:tblPrEx>
        <w:trPr>
          <w:trHeight w:val="1297" w:hRule="atLeast"/>
          <w:jc w:val="center"/>
        </w:trPr>
        <w:tc>
          <w:tcPr>
            <w:tcW w:w="395" w:type="dxa"/>
            <w:tcBorders>
              <w:top w:val="single" w:color="auto" w:sz="4" w:space="0"/>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83" w:type="dxa"/>
            <w:tcBorders>
              <w:top w:val="single" w:color="auto" w:sz="4" w:space="0"/>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025" w:type="dxa"/>
            <w:tcBorders>
              <w:top w:val="single" w:color="auto" w:sz="4" w:space="0"/>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2026" w:type="dxa"/>
            <w:tcBorders>
              <w:top w:val="single" w:color="auto" w:sz="4" w:space="0"/>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2435" w:type="dxa"/>
            <w:tcBorders>
              <w:top w:val="single" w:color="auto" w:sz="4" w:space="0"/>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2717" w:type="dxa"/>
            <w:gridSpan w:val="2"/>
            <w:tcBorders>
              <w:top w:val="single" w:color="auto" w:sz="4" w:space="0"/>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r>
    </w:tbl>
    <w:p>
      <w:pPr>
        <w:widowControl/>
        <w:jc w:val="left"/>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tbl>
      <w:tblPr>
        <w:tblStyle w:val="15"/>
        <w:tblpPr w:leftFromText="180" w:rightFromText="180" w:vertAnchor="text" w:horzAnchor="page" w:tblpX="968" w:tblpY="248"/>
        <w:tblOverlap w:val="never"/>
        <w:tblW w:w="9981" w:type="dxa"/>
        <w:jc w:val="center"/>
        <w:tblLayout w:type="fixed"/>
        <w:tblCellMar>
          <w:top w:w="0" w:type="dxa"/>
          <w:left w:w="0" w:type="dxa"/>
          <w:bottom w:w="0" w:type="dxa"/>
          <w:right w:w="0" w:type="dxa"/>
        </w:tblCellMar>
      </w:tblPr>
      <w:tblGrid>
        <w:gridCol w:w="411"/>
        <w:gridCol w:w="1367"/>
        <w:gridCol w:w="1025"/>
        <w:gridCol w:w="2147"/>
        <w:gridCol w:w="2564"/>
        <w:gridCol w:w="2467"/>
      </w:tblGrid>
      <w:tr>
        <w:tblPrEx>
          <w:tblCellMar>
            <w:top w:w="0" w:type="dxa"/>
            <w:left w:w="0" w:type="dxa"/>
            <w:bottom w:w="0" w:type="dxa"/>
            <w:right w:w="0" w:type="dxa"/>
          </w:tblCellMar>
        </w:tblPrEx>
        <w:trPr>
          <w:trHeight w:val="1625" w:hRule="atLeast"/>
          <w:jc w:val="center"/>
        </w:trPr>
        <w:tc>
          <w:tcPr>
            <w:tcW w:w="9981" w:type="dxa"/>
            <w:gridSpan w:val="6"/>
            <w:tcBorders>
              <w:top w:val="nil"/>
              <w:left w:val="nil"/>
              <w:bottom w:val="single" w:color="auto" w:sz="4" w:space="0"/>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80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7178"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救助人员生活医疗护送及护理经费</w:t>
            </w:r>
          </w:p>
        </w:tc>
      </w:tr>
      <w:tr>
        <w:tblPrEx>
          <w:tblCellMar>
            <w:top w:w="0" w:type="dxa"/>
            <w:left w:w="0" w:type="dxa"/>
            <w:bottom w:w="0" w:type="dxa"/>
            <w:right w:w="0" w:type="dxa"/>
          </w:tblCellMar>
        </w:tblPrEx>
        <w:trPr>
          <w:trHeight w:val="276" w:hRule="atLeast"/>
          <w:jc w:val="center"/>
        </w:trPr>
        <w:tc>
          <w:tcPr>
            <w:tcW w:w="280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预算单位</w:t>
            </w:r>
          </w:p>
        </w:tc>
        <w:tc>
          <w:tcPr>
            <w:tcW w:w="7178"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2701"/>
              </w:tabs>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ab/>
            </w:r>
            <w:r>
              <w:rPr>
                <w:rFonts w:hint="eastAsia" w:ascii="宋体" w:hAnsi="宋体" w:cs="宋体"/>
                <w:color w:val="000000"/>
                <w:sz w:val="20"/>
                <w:szCs w:val="20"/>
                <w:lang w:eastAsia="zh-CN"/>
              </w:rPr>
              <w:t>巴中市救助管理站</w:t>
            </w:r>
          </w:p>
        </w:tc>
      </w:tr>
      <w:tr>
        <w:tblPrEx>
          <w:tblCellMar>
            <w:top w:w="0" w:type="dxa"/>
            <w:left w:w="0" w:type="dxa"/>
            <w:bottom w:w="0" w:type="dxa"/>
            <w:right w:w="0" w:type="dxa"/>
          </w:tblCellMar>
        </w:tblPrEx>
        <w:trPr>
          <w:trHeight w:val="276" w:hRule="atLeast"/>
          <w:jc w:val="center"/>
        </w:trPr>
        <w:tc>
          <w:tcPr>
            <w:tcW w:w="411"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预算执行情况(万元)</w:t>
            </w:r>
          </w:p>
        </w:tc>
        <w:tc>
          <w:tcPr>
            <w:tcW w:w="239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214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w:t>
            </w:r>
          </w:p>
        </w:tc>
        <w:tc>
          <w:tcPr>
            <w:tcW w:w="256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执行数:</w:t>
            </w:r>
          </w:p>
        </w:tc>
        <w:tc>
          <w:tcPr>
            <w:tcW w:w="246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w:t>
            </w:r>
          </w:p>
        </w:tc>
      </w:tr>
      <w:tr>
        <w:tblPrEx>
          <w:tblCellMar>
            <w:top w:w="0" w:type="dxa"/>
            <w:left w:w="0" w:type="dxa"/>
            <w:bottom w:w="0" w:type="dxa"/>
            <w:right w:w="0" w:type="dxa"/>
          </w:tblCellMar>
        </w:tblPrEx>
        <w:trPr>
          <w:trHeight w:val="276" w:hRule="atLeast"/>
          <w:jc w:val="center"/>
        </w:trPr>
        <w:tc>
          <w:tcPr>
            <w:tcW w:w="4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其中-财政拨款:</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其中-财政拨款:</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w:t>
            </w:r>
          </w:p>
        </w:tc>
      </w:tr>
      <w:tr>
        <w:tblPrEx>
          <w:tblCellMar>
            <w:top w:w="0" w:type="dxa"/>
            <w:left w:w="0" w:type="dxa"/>
            <w:bottom w:w="0" w:type="dxa"/>
            <w:right w:w="0" w:type="dxa"/>
          </w:tblCellMar>
        </w:tblPrEx>
        <w:trPr>
          <w:trHeight w:val="1152" w:hRule="atLeast"/>
          <w:jc w:val="center"/>
        </w:trPr>
        <w:tc>
          <w:tcPr>
            <w:tcW w:w="4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其它资金:</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其它资金:</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76" w:hRule="atLeast"/>
          <w:jc w:val="center"/>
        </w:trPr>
        <w:tc>
          <w:tcPr>
            <w:tcW w:w="4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年度目标完成情况</w:t>
            </w:r>
          </w:p>
        </w:tc>
        <w:tc>
          <w:tcPr>
            <w:tcW w:w="453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预期目标</w:t>
            </w:r>
          </w:p>
        </w:tc>
        <w:tc>
          <w:tcPr>
            <w:tcW w:w="50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实际完成目标</w:t>
            </w:r>
          </w:p>
        </w:tc>
      </w:tr>
      <w:tr>
        <w:tblPrEx>
          <w:tblCellMar>
            <w:top w:w="0" w:type="dxa"/>
            <w:left w:w="0" w:type="dxa"/>
            <w:bottom w:w="0" w:type="dxa"/>
            <w:right w:w="0" w:type="dxa"/>
          </w:tblCellMar>
        </w:tblPrEx>
        <w:trPr>
          <w:trHeight w:val="1924" w:hRule="atLeast"/>
          <w:jc w:val="center"/>
        </w:trPr>
        <w:tc>
          <w:tcPr>
            <w:tcW w:w="41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453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保障流浪乞讨人员的基本生活权益，免费提供衣食住行医；引导受助人员恢复自身造血功能，尽可能实现自食其力，预防受助人员因生活无着走上违法犯罪道路。</w:t>
            </w:r>
          </w:p>
        </w:tc>
        <w:tc>
          <w:tcPr>
            <w:tcW w:w="50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lang w:eastAsia="zh-CN"/>
              </w:rPr>
              <w:t>保障流浪乞讨人员的基本生活权益，免费提供衣食住行医；引导受助人员恢复自身造血功能，尽可能实现自食其力，预防受助人员因生活无着走上违法犯罪道路。</w:t>
            </w:r>
          </w:p>
        </w:tc>
      </w:tr>
      <w:tr>
        <w:tblPrEx>
          <w:tblCellMar>
            <w:top w:w="0" w:type="dxa"/>
            <w:left w:w="0" w:type="dxa"/>
            <w:bottom w:w="0" w:type="dxa"/>
            <w:right w:w="0" w:type="dxa"/>
          </w:tblCellMar>
        </w:tblPrEx>
        <w:trPr>
          <w:trHeight w:val="852" w:hRule="atLeast"/>
          <w:jc w:val="center"/>
        </w:trPr>
        <w:tc>
          <w:tcPr>
            <w:tcW w:w="41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绩效指标完成情况</w:t>
            </w:r>
          </w:p>
        </w:tc>
        <w:tc>
          <w:tcPr>
            <w:tcW w:w="136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预期指标值(包含数字及文字描述)</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实际完成指标值(包含数字及文字描述)</w:t>
            </w:r>
          </w:p>
        </w:tc>
      </w:tr>
    </w:tbl>
    <w:tbl>
      <w:tblPr>
        <w:tblStyle w:val="15"/>
        <w:tblpPr w:leftFromText="180" w:rightFromText="180" w:vertAnchor="text" w:horzAnchor="page" w:tblpX="968" w:tblpY="1"/>
        <w:tblOverlap w:val="never"/>
        <w:tblW w:w="9981" w:type="dxa"/>
        <w:jc w:val="center"/>
        <w:tblLayout w:type="fixed"/>
        <w:tblCellMar>
          <w:top w:w="0" w:type="dxa"/>
          <w:left w:w="0" w:type="dxa"/>
          <w:bottom w:w="0" w:type="dxa"/>
          <w:right w:w="0" w:type="dxa"/>
        </w:tblCellMar>
      </w:tblPr>
      <w:tblGrid>
        <w:gridCol w:w="411"/>
        <w:gridCol w:w="1367"/>
        <w:gridCol w:w="1025"/>
        <w:gridCol w:w="2147"/>
        <w:gridCol w:w="2564"/>
        <w:gridCol w:w="2467"/>
      </w:tblGrid>
      <w:tr>
        <w:tblPrEx>
          <w:tblCellMar>
            <w:top w:w="0" w:type="dxa"/>
            <w:left w:w="0" w:type="dxa"/>
            <w:bottom w:w="0" w:type="dxa"/>
            <w:right w:w="0" w:type="dxa"/>
          </w:tblCellMar>
        </w:tblPrEx>
        <w:trPr>
          <w:trHeight w:val="728" w:hRule="atLeast"/>
          <w:jc w:val="center"/>
        </w:trPr>
        <w:tc>
          <w:tcPr>
            <w:tcW w:w="41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产出</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default" w:ascii="宋体" w:hAnsi="宋体" w:cs="宋体"/>
                <w:color w:val="00000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lang w:val="en-US" w:eastAsia="zh-CN"/>
              </w:rPr>
              <w:t>2019年度接待受助对象1800人次</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lang w:val="en-US" w:eastAsia="zh-CN"/>
              </w:rPr>
              <w:t>2019年度接待受助对象1800人次</w:t>
            </w:r>
          </w:p>
        </w:tc>
      </w:tr>
      <w:tr>
        <w:tblPrEx>
          <w:tblCellMar>
            <w:top w:w="0" w:type="dxa"/>
            <w:left w:w="0" w:type="dxa"/>
            <w:bottom w:w="0" w:type="dxa"/>
            <w:right w:w="0" w:type="dxa"/>
          </w:tblCellMar>
        </w:tblPrEx>
        <w:trPr>
          <w:trHeight w:val="837"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lang w:val="en-US" w:eastAsia="zh-CN"/>
              </w:rPr>
            </w:pPr>
            <w:r>
              <w:rPr>
                <w:rFonts w:hint="default" w:ascii="宋体" w:hAnsi="宋体" w:cs="宋体"/>
                <w:color w:val="000000"/>
                <w:sz w:val="20"/>
                <w:szCs w:val="20"/>
                <w:lang w:val="en-US" w:eastAsia="zh-CN"/>
              </w:rPr>
              <w:t>指标2</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护送受助对象返家600人次</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rPr>
            </w:pPr>
            <w:r>
              <w:rPr>
                <w:rFonts w:hint="default" w:ascii="宋体" w:hAnsi="宋体" w:cs="宋体"/>
                <w:color w:val="000000"/>
                <w:kern w:val="0"/>
                <w:sz w:val="20"/>
                <w:szCs w:val="20"/>
                <w:lang w:val="en-US" w:eastAsia="zh-CN"/>
              </w:rPr>
              <w:t>护送受助对象返家600人次</w:t>
            </w:r>
          </w:p>
        </w:tc>
      </w:tr>
      <w:tr>
        <w:tblPrEx>
          <w:tblCellMar>
            <w:top w:w="0" w:type="dxa"/>
            <w:left w:w="0" w:type="dxa"/>
            <w:bottom w:w="0" w:type="dxa"/>
            <w:right w:w="0" w:type="dxa"/>
          </w:tblCellMar>
        </w:tblPrEx>
        <w:trPr>
          <w:trHeight w:val="717"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default" w:ascii="宋体" w:hAnsi="宋体" w:cs="宋体"/>
                <w:color w:val="000000"/>
                <w:sz w:val="20"/>
                <w:szCs w:val="20"/>
                <w:lang w:val="en-US" w:eastAsia="zh-CN"/>
              </w:rPr>
            </w:pPr>
          </w:p>
        </w:tc>
        <w:tc>
          <w:tcPr>
            <w:tcW w:w="136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lang w:val="en-US" w:eastAsia="zh-CN"/>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质量指标</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lang w:val="en-US" w:eastAsia="zh-CN"/>
              </w:rPr>
            </w:pPr>
            <w:r>
              <w:rPr>
                <w:rFonts w:hint="default" w:ascii="宋体" w:hAnsi="宋体" w:cs="宋体"/>
                <w:color w:val="00000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为受助对象提供符合饮食安全的食物</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为受助对象提供符合饮食安全的食物</w:t>
            </w:r>
          </w:p>
        </w:tc>
      </w:tr>
    </w:tbl>
    <w:p>
      <w:pPr>
        <w:widowControl/>
        <w:jc w:val="left"/>
        <w:textAlignment w:val="center"/>
        <w:rPr>
          <w:rFonts w:hint="default" w:ascii="宋体" w:hAnsi="宋体" w:cs="宋体"/>
          <w:color w:val="000000"/>
          <w:sz w:val="20"/>
          <w:szCs w:val="20"/>
          <w:lang w:val="en-US" w:eastAsia="zh-CN"/>
        </w:rPr>
      </w:pPr>
    </w:p>
    <w:tbl>
      <w:tblPr>
        <w:tblStyle w:val="15"/>
        <w:tblpPr w:leftFromText="180" w:rightFromText="180" w:vertAnchor="text" w:horzAnchor="page" w:tblpX="968" w:tblpY="1"/>
        <w:tblOverlap w:val="never"/>
        <w:tblW w:w="9981" w:type="dxa"/>
        <w:jc w:val="center"/>
        <w:tblLayout w:type="fixed"/>
        <w:tblCellMar>
          <w:top w:w="0" w:type="dxa"/>
          <w:left w:w="0" w:type="dxa"/>
          <w:bottom w:w="0" w:type="dxa"/>
          <w:right w:w="0" w:type="dxa"/>
        </w:tblCellMar>
      </w:tblPr>
      <w:tblGrid>
        <w:gridCol w:w="411"/>
        <w:gridCol w:w="1367"/>
        <w:gridCol w:w="1025"/>
        <w:gridCol w:w="2147"/>
        <w:gridCol w:w="2564"/>
        <w:gridCol w:w="2467"/>
      </w:tblGrid>
      <w:tr>
        <w:tblPrEx>
          <w:tblCellMar>
            <w:top w:w="0" w:type="dxa"/>
            <w:left w:w="0" w:type="dxa"/>
            <w:bottom w:w="0" w:type="dxa"/>
            <w:right w:w="0" w:type="dxa"/>
          </w:tblCellMar>
        </w:tblPrEx>
        <w:trPr>
          <w:trHeight w:val="532" w:hRule="atLeast"/>
          <w:jc w:val="center"/>
        </w:trPr>
        <w:tc>
          <w:tcPr>
            <w:tcW w:w="41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rPr>
              <w:t>绩效指标完成情况</w:t>
            </w:r>
          </w:p>
        </w:tc>
        <w:tc>
          <w:tcPr>
            <w:tcW w:w="1367"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lang w:val="en-US" w:eastAsia="zh-CN"/>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lang w:val="en-US" w:eastAsia="zh-CN"/>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lang w:val="en-US" w:eastAsia="zh-CN"/>
              </w:rPr>
            </w:pPr>
            <w:r>
              <w:rPr>
                <w:rFonts w:hint="default" w:ascii="宋体" w:hAnsi="宋体" w:cs="宋体"/>
                <w:color w:val="000000"/>
                <w:sz w:val="20"/>
                <w:szCs w:val="20"/>
                <w:lang w:val="en-US" w:eastAsia="zh-CN"/>
              </w:rPr>
              <w:t>指标2</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为受助对象提供干净整洁的居住环境</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为受助对象提供干净整洁的居住环境</w:t>
            </w:r>
          </w:p>
        </w:tc>
      </w:tr>
      <w:tr>
        <w:tblPrEx>
          <w:tblCellMar>
            <w:top w:w="0" w:type="dxa"/>
            <w:left w:w="0" w:type="dxa"/>
            <w:bottom w:w="0" w:type="dxa"/>
            <w:right w:w="0" w:type="dxa"/>
          </w:tblCellMar>
        </w:tblPrEx>
        <w:trPr>
          <w:trHeight w:val="622"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default" w:ascii="方正仿宋_GBK" w:hAnsi="方正仿宋_GBK" w:eastAsia="方正仿宋_GBK" w:cs="方正仿宋_GBK"/>
                <w:i w:val="0"/>
                <w:color w:val="000000"/>
                <w:kern w:val="0"/>
                <w:sz w:val="24"/>
                <w:szCs w:val="24"/>
                <w:u w:val="none"/>
                <w:lang w:val="en-US" w:eastAsia="zh-CN" w:bidi="ar"/>
              </w:rPr>
              <w:t>……</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及时安全护送受助对象返家</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及时安全护送受助对象返家</w:t>
            </w:r>
          </w:p>
        </w:tc>
      </w:tr>
      <w:tr>
        <w:tblPrEx>
          <w:tblCellMar>
            <w:top w:w="0" w:type="dxa"/>
            <w:left w:w="0" w:type="dxa"/>
            <w:bottom w:w="0" w:type="dxa"/>
            <w:right w:w="0" w:type="dxa"/>
          </w:tblCellMar>
        </w:tblPrEx>
        <w:trPr>
          <w:trHeight w:val="692"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2019年度接待受助对象1800人次</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2019年度接待受助对象1800人次</w:t>
            </w:r>
          </w:p>
        </w:tc>
      </w:tr>
      <w:tr>
        <w:tblPrEx>
          <w:tblCellMar>
            <w:top w:w="0" w:type="dxa"/>
            <w:left w:w="0" w:type="dxa"/>
            <w:bottom w:w="0" w:type="dxa"/>
            <w:right w:w="0" w:type="dxa"/>
          </w:tblCellMar>
        </w:tblPrEx>
        <w:trPr>
          <w:trHeight w:val="682"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指标2</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2019年12月31日前护送受助对象返家600人次</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2019年12月31日前护送受助对象返家600人次</w:t>
            </w:r>
          </w:p>
        </w:tc>
      </w:tr>
      <w:tr>
        <w:tblPrEx>
          <w:tblCellMar>
            <w:top w:w="0" w:type="dxa"/>
            <w:left w:w="0" w:type="dxa"/>
            <w:bottom w:w="0" w:type="dxa"/>
            <w:right w:w="0" w:type="dxa"/>
          </w:tblCellMar>
        </w:tblPrEx>
        <w:trPr>
          <w:trHeight w:val="772"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成本指标</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护送受助对象返家总成本降低5%</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护送受助对象返家总成本降低5%</w:t>
            </w:r>
          </w:p>
        </w:tc>
      </w:tr>
      <w:tr>
        <w:tblPrEx>
          <w:tblCellMar>
            <w:top w:w="0" w:type="dxa"/>
            <w:left w:w="0" w:type="dxa"/>
            <w:bottom w:w="0" w:type="dxa"/>
            <w:right w:w="0" w:type="dxa"/>
          </w:tblCellMar>
        </w:tblPrEx>
        <w:trPr>
          <w:trHeight w:val="657"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经济效益</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为经济发展保驾护航</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为经济发展保驾护航</w:t>
            </w:r>
          </w:p>
        </w:tc>
      </w:tr>
      <w:tr>
        <w:tblPrEx>
          <w:tblCellMar>
            <w:top w:w="0" w:type="dxa"/>
            <w:left w:w="0" w:type="dxa"/>
            <w:bottom w:w="0" w:type="dxa"/>
            <w:right w:w="0" w:type="dxa"/>
          </w:tblCellMar>
        </w:tblPrEx>
        <w:trPr>
          <w:trHeight w:val="775"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指标2</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助力脱贫攻坚</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助力脱贫攻坚</w:t>
            </w:r>
          </w:p>
        </w:tc>
      </w:tr>
      <w:tr>
        <w:tblPrEx>
          <w:tblCellMar>
            <w:top w:w="0" w:type="dxa"/>
            <w:left w:w="0" w:type="dxa"/>
            <w:bottom w:w="0" w:type="dxa"/>
            <w:right w:w="0" w:type="dxa"/>
          </w:tblCellMar>
        </w:tblPrEx>
        <w:trPr>
          <w:trHeight w:val="790"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社会效益</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及时消除临时生活遇困人员对社会的不稳定因素</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及时消除临时生活遇困人员对社会的不稳定因素</w:t>
            </w:r>
          </w:p>
        </w:tc>
      </w:tr>
      <w:tr>
        <w:tblPrEx>
          <w:tblCellMar>
            <w:top w:w="0" w:type="dxa"/>
            <w:left w:w="0" w:type="dxa"/>
            <w:bottom w:w="0" w:type="dxa"/>
            <w:right w:w="0" w:type="dxa"/>
          </w:tblCellMar>
        </w:tblPrEx>
        <w:trPr>
          <w:trHeight w:val="745"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指标2</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引导受助对象恢复自身造血功能</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引导受助对象恢复自身造血功能</w:t>
            </w:r>
          </w:p>
        </w:tc>
      </w:tr>
      <w:tr>
        <w:tblPrEx>
          <w:tblCellMar>
            <w:top w:w="0" w:type="dxa"/>
            <w:left w:w="0" w:type="dxa"/>
            <w:bottom w:w="0" w:type="dxa"/>
            <w:right w:w="0" w:type="dxa"/>
          </w:tblCellMar>
        </w:tblPrEx>
        <w:trPr>
          <w:trHeight w:val="820"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指标3</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预防临时生活遇困人员因生活无着</w:t>
            </w:r>
            <w:r>
              <w:rPr>
                <w:rFonts w:hint="eastAsia" w:ascii="宋体" w:hAnsi="宋体" w:cs="宋体"/>
                <w:color w:val="000000"/>
                <w:kern w:val="0"/>
                <w:sz w:val="20"/>
                <w:szCs w:val="20"/>
                <w:lang w:val="en-US" w:eastAsia="zh-CN"/>
              </w:rPr>
              <w:br w:type="textWrapping"/>
            </w:r>
            <w:r>
              <w:rPr>
                <w:rFonts w:hint="eastAsia" w:ascii="宋体" w:hAnsi="宋体" w:cs="宋体"/>
                <w:color w:val="000000"/>
                <w:kern w:val="0"/>
                <w:sz w:val="20"/>
                <w:szCs w:val="20"/>
                <w:lang w:val="en-US" w:eastAsia="zh-CN"/>
              </w:rPr>
              <w:t>走上犯罪道路</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预防临时生活遇困人员因生活无着</w:t>
            </w:r>
            <w:r>
              <w:rPr>
                <w:rFonts w:hint="eastAsia" w:ascii="宋体" w:hAnsi="宋体" w:cs="宋体"/>
                <w:color w:val="000000"/>
                <w:kern w:val="0"/>
                <w:sz w:val="20"/>
                <w:szCs w:val="20"/>
                <w:lang w:val="en-US" w:eastAsia="zh-CN"/>
              </w:rPr>
              <w:br w:type="textWrapping"/>
            </w:r>
            <w:r>
              <w:rPr>
                <w:rFonts w:hint="eastAsia" w:ascii="宋体" w:hAnsi="宋体" w:cs="宋体"/>
                <w:color w:val="000000"/>
                <w:kern w:val="0"/>
                <w:sz w:val="20"/>
                <w:szCs w:val="20"/>
                <w:lang w:val="en-US" w:eastAsia="zh-CN"/>
              </w:rPr>
              <w:t>走上犯罪道路</w:t>
            </w:r>
          </w:p>
        </w:tc>
      </w:tr>
      <w:tr>
        <w:tblPrEx>
          <w:tblCellMar>
            <w:top w:w="0" w:type="dxa"/>
            <w:left w:w="0" w:type="dxa"/>
            <w:bottom w:w="0" w:type="dxa"/>
            <w:right w:w="0" w:type="dxa"/>
          </w:tblCellMar>
        </w:tblPrEx>
        <w:trPr>
          <w:trHeight w:val="835"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生态效益</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助推巴中创建国家级文明城市</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助推巴中创建国家级文明城市</w:t>
            </w:r>
          </w:p>
        </w:tc>
      </w:tr>
      <w:tr>
        <w:tblPrEx>
          <w:tblCellMar>
            <w:top w:w="0" w:type="dxa"/>
            <w:left w:w="0" w:type="dxa"/>
            <w:bottom w:w="0" w:type="dxa"/>
            <w:right w:w="0" w:type="dxa"/>
          </w:tblCellMar>
        </w:tblPrEx>
        <w:trPr>
          <w:trHeight w:val="775"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指标2</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消除社会不稳定因素</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消除社会不稳定因素</w:t>
            </w:r>
          </w:p>
        </w:tc>
      </w:tr>
      <w:tr>
        <w:tblPrEx>
          <w:tblCellMar>
            <w:top w:w="0" w:type="dxa"/>
            <w:left w:w="0" w:type="dxa"/>
            <w:bottom w:w="0" w:type="dxa"/>
            <w:right w:w="0" w:type="dxa"/>
          </w:tblCellMar>
        </w:tblPrEx>
        <w:trPr>
          <w:trHeight w:val="820"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可持续   影响</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提升人民群众幸福度、满意度</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提升人民群众幸福度、满意度</w:t>
            </w:r>
          </w:p>
        </w:tc>
      </w:tr>
      <w:tr>
        <w:tblPrEx>
          <w:tblCellMar>
            <w:top w:w="0" w:type="dxa"/>
            <w:left w:w="0" w:type="dxa"/>
            <w:bottom w:w="0" w:type="dxa"/>
            <w:right w:w="0" w:type="dxa"/>
          </w:tblCellMar>
        </w:tblPrEx>
        <w:trPr>
          <w:trHeight w:val="790"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满意度</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Style w:val="34"/>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服务对象  满意度</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指标1</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受助对象满意度≥95%</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受助对象满意度≥95%</w:t>
            </w:r>
          </w:p>
        </w:tc>
      </w:tr>
      <w:tr>
        <w:tblPrEx>
          <w:tblCellMar>
            <w:top w:w="0" w:type="dxa"/>
            <w:left w:w="0" w:type="dxa"/>
            <w:bottom w:w="0" w:type="dxa"/>
            <w:right w:w="0" w:type="dxa"/>
          </w:tblCellMar>
        </w:tblPrEx>
        <w:trPr>
          <w:trHeight w:val="690"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Style w:val="34"/>
                <w:rFonts w:hint="eastAsia" w:asciiTheme="minorEastAsia" w:hAnsiTheme="minorEastAsia" w:eastAsiaTheme="minorEastAsia" w:cstheme="minorEastAsia"/>
                <w:sz w:val="20"/>
                <w:szCs w:val="20"/>
                <w:lang w:val="en-US" w:eastAsia="zh-CN" w:bidi="ar"/>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指标2</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人民群众对救助管理工作的满意度≥90%</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人民群众对救助管理工作的满意度≥90%</w:t>
            </w:r>
          </w:p>
        </w:tc>
      </w:tr>
      <w:tr>
        <w:tblPrEx>
          <w:tblCellMar>
            <w:top w:w="0" w:type="dxa"/>
            <w:left w:w="0" w:type="dxa"/>
            <w:bottom w:w="0" w:type="dxa"/>
            <w:right w:w="0" w:type="dxa"/>
          </w:tblCellMar>
        </w:tblPrEx>
        <w:trPr>
          <w:trHeight w:val="790" w:hRule="atLeast"/>
          <w:jc w:val="center"/>
        </w:trPr>
        <w:tc>
          <w:tcPr>
            <w:tcW w:w="41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36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Style w:val="34"/>
                <w:rFonts w:hint="eastAsia" w:asciiTheme="minorEastAsia" w:hAnsiTheme="minorEastAsia" w:eastAsiaTheme="minorEastAsia" w:cstheme="minorEastAsia"/>
                <w:sz w:val="20"/>
                <w:szCs w:val="20"/>
                <w:lang w:val="en-US" w:eastAsia="zh-CN" w:bidi="ar"/>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指标3</w:t>
            </w:r>
          </w:p>
        </w:tc>
        <w:tc>
          <w:tcPr>
            <w:tcW w:w="2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社会公众对救助管理工作的投诉率≤5%</w:t>
            </w:r>
          </w:p>
        </w:tc>
        <w:tc>
          <w:tcPr>
            <w:tcW w:w="2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社会公众对救助管理工作的投诉率≤5%</w:t>
            </w:r>
          </w:p>
        </w:tc>
      </w:tr>
    </w:tbl>
    <w:p>
      <w:pPr>
        <w:spacing w:line="580" w:lineRule="exact"/>
        <w:ind w:left="630"/>
        <w:rPr>
          <w:rFonts w:hint="eastAsia"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本部门按要求对2019年部门整体支出绩效评价情况开展自评，《巴中市民政局关于部门2019年部门整体支出绩效评价报告》见附件（附件1）。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购买社会救助服务开展了绩效评价，《关于购买社会救助服务等经费项目2019年绩效评价报告》见附件（附件2）。（非涉密部门均需公开部门整体支出评价报告，部门自行组织的绩效评价情况根据部门实际公开，若未组织项目绩效评价，则只需说明部门整体支出绩效评价情况）</w:t>
      </w:r>
    </w:p>
    <w:p>
      <w:pPr>
        <w:pStyle w:val="2"/>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7"/>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57" w:name="_Toc15396614"/>
      <w:bookmarkStart w:id="58"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7"/>
          <w:rFonts w:ascii="黑体" w:hAnsi="黑体" w:eastAsia="黑体"/>
          <w:b w:val="0"/>
        </w:rPr>
      </w:pPr>
      <w:r>
        <w:rPr>
          <w:rFonts w:hint="eastAsia" w:ascii="黑体" w:hAnsi="黑体" w:eastAsia="黑体"/>
          <w:color w:val="000000"/>
          <w:sz w:val="44"/>
          <w:szCs w:val="44"/>
        </w:rPr>
        <w:t>第</w:t>
      </w:r>
      <w:r>
        <w:rPr>
          <w:rStyle w:val="27"/>
          <w:rFonts w:hint="eastAsia" w:ascii="黑体" w:hAnsi="黑体" w:eastAsia="黑体"/>
          <w:b w:val="0"/>
        </w:rPr>
        <w:t>四部分 附件</w:t>
      </w:r>
      <w:bookmarkEnd w:id="57"/>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巴中市民政局</w:t>
      </w:r>
      <w:r>
        <w:rPr>
          <w:rFonts w:hint="eastAsia" w:ascii="方正小标宋简体" w:hAnsi="宋体" w:eastAsia="方正小标宋简体"/>
          <w:color w:val="000000"/>
          <w:kern w:val="0"/>
          <w:sz w:val="40"/>
          <w:szCs w:val="44"/>
          <w:lang w:val="zh-CN"/>
        </w:rPr>
        <w:t>部门</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hAnsi="宋体" w:eastAsia="仿宋_GB2312" w:cs="仿宋_GB2312"/>
          <w:sz w:val="32"/>
          <w:szCs w:val="32"/>
          <w:lang w:bidi="ar"/>
        </w:rPr>
        <w:t>巴中市民政局下辖巴中市儿童福利院等11个直属事业单位，其中独立核算单位5个（市儿童福利院、市殡葬管理所、市救助管理站、市社会福利院、市未成年人保护中心），其余6个单位与机关合署办公，经费收支、预决算在局机关。</w:t>
      </w:r>
    </w:p>
    <w:p>
      <w:pPr>
        <w:snapToGrid w:val="0"/>
        <w:spacing w:line="56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_GB2312" w:hAnsi="宋体" w:eastAsia="仿宋_GB2312" w:cs="仿宋_GB2312"/>
          <w:sz w:val="32"/>
          <w:szCs w:val="32"/>
          <w:lang w:bidi="ar"/>
        </w:rPr>
        <w:t>拟定全市民政事业发展规划、政策、标准并组织实施，主要承担全市社会组织登记与管理，社会救助服务和管理，行政区划调整与管理，城乡群众自治建设和社区建设，社会福利事业建设儿童福利、儿童保障，拟定促进慈善事业发展政策，拟定社会工作、志愿服务政策以及社会福利、养老、婚姻、殡葬等专项社会管理工作等。</w:t>
      </w:r>
    </w:p>
    <w:p>
      <w:pPr>
        <w:snapToGrid w:val="0"/>
        <w:spacing w:line="56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r>
        <w:rPr>
          <w:rFonts w:hint="eastAsia" w:ascii="仿宋_GB2312" w:hAnsi="宋体" w:eastAsia="仿宋_GB2312" w:cs="仿宋_GB2312"/>
          <w:sz w:val="32"/>
          <w:szCs w:val="32"/>
          <w:lang w:bidi="ar"/>
        </w:rPr>
        <w:t>截止2019年末机关（含合署办公单位）共有人员60人，其中：在职职工41人（公务员21人、工勤人员4人、定额定项补助事业人员16人），退休职工19人(行政18人、事业1人)。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3" w:firstLineChars="200"/>
        <w:contextualSpacing/>
        <w:jc w:val="left"/>
        <w:rPr>
          <w:rFonts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（一）部门财政资金收入情况。</w:t>
      </w:r>
    </w:p>
    <w:p>
      <w:pPr>
        <w:snapToGrid w:val="0"/>
        <w:spacing w:line="560" w:lineRule="exact"/>
        <w:ind w:firstLine="643" w:firstLineChars="200"/>
        <w:rPr>
          <w:rFonts w:ascii="仿宋_GB2312" w:hAnsi="仿宋" w:eastAsia="仿宋_GB2312" w:cs="仿宋_GB2312"/>
          <w:sz w:val="32"/>
          <w:szCs w:val="32"/>
        </w:rPr>
      </w:pPr>
      <w:r>
        <w:rPr>
          <w:rFonts w:hint="eastAsia" w:ascii="仿宋_GB2312" w:hAnsi="宋体" w:eastAsia="仿宋_GB2312" w:cs="仿宋_GB2312"/>
          <w:b/>
          <w:sz w:val="32"/>
          <w:szCs w:val="32"/>
          <w:lang w:bidi="ar"/>
        </w:rPr>
        <w:t>1</w:t>
      </w:r>
      <w:r>
        <w:rPr>
          <w:rFonts w:hint="eastAsia" w:ascii="仿宋_GB2312" w:hAnsi="仿宋" w:eastAsia="仿宋_GB2312" w:cs="仿宋_GB2312"/>
          <w:b/>
          <w:sz w:val="32"/>
          <w:szCs w:val="32"/>
          <w:lang w:bidi="ar"/>
        </w:rPr>
        <w:t>．</w:t>
      </w:r>
      <w:r>
        <w:rPr>
          <w:rFonts w:hint="eastAsia" w:ascii="仿宋_GB2312" w:hAnsi="宋体" w:eastAsia="仿宋_GB2312" w:cs="仿宋_GB2312"/>
          <w:b/>
          <w:sz w:val="32"/>
          <w:szCs w:val="32"/>
          <w:lang w:bidi="ar"/>
        </w:rPr>
        <w:t>收入概况：</w:t>
      </w:r>
      <w:r>
        <w:rPr>
          <w:rFonts w:hint="eastAsia" w:ascii="仿宋_GB2312" w:hAnsi="仿宋" w:eastAsia="仿宋_GB2312" w:cs="仿宋_GB2312"/>
          <w:sz w:val="32"/>
          <w:szCs w:val="32"/>
          <w:lang w:bidi="ar"/>
        </w:rPr>
        <w:t>全年收入总计3536.86万元（ 6197.28万元），比上年减少了42.93%。其中本年收入1525.65万元：财政拨款收入1522.35万元，比上年减少了46%，占本年收入46%；其他收入3.3万元，比上年减少了96%，占总收入0.093%，其构成为：省民政厅拨入专款2.5万元，市直工委拨入0.80万元。</w:t>
      </w:r>
    </w:p>
    <w:p>
      <w:pPr>
        <w:snapToGrid w:val="0"/>
        <w:spacing w:line="560" w:lineRule="exact"/>
        <w:ind w:firstLine="643" w:firstLineChars="200"/>
        <w:rPr>
          <w:rFonts w:ascii="仿宋_GB2312" w:hAnsi="仿宋" w:eastAsia="仿宋_GB2312" w:cs="仿宋_GB2312"/>
          <w:sz w:val="32"/>
          <w:szCs w:val="32"/>
        </w:rPr>
      </w:pPr>
      <w:r>
        <w:rPr>
          <w:rFonts w:hint="eastAsia" w:ascii="仿宋_GB2312" w:hAnsi="宋体" w:eastAsia="仿宋_GB2312" w:cs="仿宋_GB2312"/>
          <w:b/>
          <w:sz w:val="32"/>
          <w:szCs w:val="32"/>
          <w:lang w:bidi="ar"/>
        </w:rPr>
        <w:t>2</w:t>
      </w:r>
      <w:r>
        <w:rPr>
          <w:rFonts w:hint="eastAsia" w:ascii="仿宋_GB2312" w:hAnsi="仿宋" w:eastAsia="仿宋_GB2312" w:cs="仿宋_GB2312"/>
          <w:b/>
          <w:sz w:val="32"/>
          <w:szCs w:val="32"/>
          <w:lang w:bidi="ar"/>
        </w:rPr>
        <w:t>．本年</w:t>
      </w:r>
      <w:r>
        <w:rPr>
          <w:rFonts w:hint="eastAsia" w:ascii="仿宋_GB2312" w:hAnsi="宋体" w:eastAsia="仿宋_GB2312" w:cs="仿宋_GB2312"/>
          <w:b/>
          <w:sz w:val="32"/>
          <w:szCs w:val="32"/>
          <w:lang w:bidi="ar"/>
        </w:rPr>
        <w:t>收入构成情况：</w:t>
      </w:r>
      <w:r>
        <w:rPr>
          <w:rFonts w:hint="eastAsia" w:ascii="仿宋_GB2312" w:hAnsi="宋体" w:eastAsia="仿宋_GB2312" w:cs="仿宋_GB2312"/>
          <w:sz w:val="32"/>
          <w:szCs w:val="32"/>
          <w:lang w:bidi="ar"/>
        </w:rPr>
        <w:t>从项目构成看，人才引进费用8.60万元，进修及培训4.50万元、民政管理事务1191.87万元、行政事业单位离退休70.60万元、拥军优属40.00万元、</w:t>
      </w:r>
      <w:r>
        <w:rPr>
          <w:rFonts w:hint="eastAsia" w:ascii="仿宋_GB2312" w:hAnsi="宋体" w:eastAsia="仿宋_GB2312" w:cs="Arial"/>
          <w:sz w:val="32"/>
          <w:szCs w:val="32"/>
          <w:lang w:bidi="ar"/>
        </w:rPr>
        <w:t>、行政事业单位医疗31.78万元，</w:t>
      </w:r>
      <w:r>
        <w:rPr>
          <w:rFonts w:hint="eastAsia" w:ascii="仿宋_GB2312" w:hAnsi="宋体" w:eastAsia="仿宋_GB2312" w:cs="仿宋_GB2312"/>
          <w:sz w:val="32"/>
          <w:szCs w:val="32"/>
          <w:lang w:bidi="ar"/>
        </w:rPr>
        <w:t>其他社会保障和就业支出175.00万元；从资金来源看，财政预算和追加预算</w:t>
      </w:r>
      <w:r>
        <w:rPr>
          <w:rFonts w:hint="eastAsia" w:ascii="仿宋_GB2312" w:hAnsi="仿宋" w:eastAsia="仿宋_GB2312" w:cs="仿宋_GB2312"/>
          <w:sz w:val="32"/>
          <w:szCs w:val="32"/>
          <w:lang w:bidi="ar"/>
        </w:rPr>
        <w:t>1522.35</w:t>
      </w:r>
      <w:r>
        <w:rPr>
          <w:rFonts w:hint="eastAsia" w:ascii="仿宋_GB2312" w:hAnsi="宋体" w:eastAsia="仿宋_GB2312" w:cs="仿宋_GB2312"/>
          <w:sz w:val="32"/>
          <w:szCs w:val="32"/>
          <w:lang w:bidi="ar"/>
        </w:rPr>
        <w:t>万元、</w:t>
      </w:r>
      <w:r>
        <w:rPr>
          <w:rFonts w:hint="eastAsia" w:ascii="仿宋_GB2312" w:hAnsi="宋体" w:eastAsia="仿宋_GB2312" w:cs="Arial"/>
          <w:sz w:val="32"/>
          <w:szCs w:val="32"/>
          <w:lang w:bidi="ar"/>
        </w:rPr>
        <w:t>省民政厅补助收入</w:t>
      </w:r>
      <w:r>
        <w:rPr>
          <w:rFonts w:hint="eastAsia" w:ascii="仿宋_GB2312" w:hAnsi="仿宋" w:eastAsia="仿宋_GB2312" w:cs="仿宋_GB2312"/>
          <w:sz w:val="32"/>
          <w:szCs w:val="32"/>
          <w:lang w:bidi="ar"/>
        </w:rPr>
        <w:t>2.50</w:t>
      </w:r>
      <w:r>
        <w:rPr>
          <w:rFonts w:hint="eastAsia" w:ascii="仿宋_GB2312" w:hAnsi="宋体" w:eastAsia="仿宋_GB2312" w:cs="Arial"/>
          <w:sz w:val="32"/>
          <w:szCs w:val="32"/>
          <w:lang w:bidi="ar"/>
        </w:rPr>
        <w:t>万元、其他收入</w:t>
      </w:r>
      <w:r>
        <w:rPr>
          <w:rFonts w:hint="eastAsia" w:ascii="仿宋_GB2312" w:hAnsi="仿宋" w:eastAsia="仿宋_GB2312" w:cs="仿宋_GB2312"/>
          <w:sz w:val="32"/>
          <w:szCs w:val="32"/>
          <w:lang w:bidi="ar"/>
        </w:rPr>
        <w:t>0.80</w:t>
      </w:r>
      <w:r>
        <w:rPr>
          <w:rFonts w:hint="eastAsia" w:ascii="仿宋_GB2312" w:hAnsi="宋体" w:eastAsia="仿宋_GB2312" w:cs="Arial"/>
          <w:sz w:val="32"/>
          <w:szCs w:val="32"/>
          <w:lang w:bidi="ar"/>
        </w:rPr>
        <w:t>万元。</w:t>
      </w:r>
    </w:p>
    <w:p>
      <w:pPr>
        <w:snapToGrid w:val="0"/>
        <w:spacing w:line="560" w:lineRule="exact"/>
        <w:ind w:firstLine="643" w:firstLineChars="200"/>
        <w:rPr>
          <w:lang w:val="zh-CN"/>
        </w:rPr>
      </w:pPr>
      <w:r>
        <w:rPr>
          <w:rFonts w:hint="eastAsia" w:ascii="仿宋_GB2312" w:hAnsi="宋体" w:eastAsia="仿宋_GB2312" w:cs="仿宋_GB2312"/>
          <w:b/>
          <w:sz w:val="32"/>
          <w:szCs w:val="32"/>
          <w:lang w:bidi="ar"/>
        </w:rPr>
        <w:t>3</w:t>
      </w:r>
      <w:r>
        <w:rPr>
          <w:rFonts w:hint="eastAsia" w:ascii="仿宋_GB2312" w:hAnsi="仿宋" w:eastAsia="仿宋_GB2312" w:cs="仿宋_GB2312"/>
          <w:b/>
          <w:sz w:val="32"/>
          <w:szCs w:val="32"/>
          <w:lang w:bidi="ar"/>
        </w:rPr>
        <w:t>．财政拨款收入1522.35万元</w:t>
      </w:r>
      <w:r>
        <w:rPr>
          <w:rFonts w:hint="eastAsia" w:ascii="仿宋_GB2312" w:hAnsi="仿宋" w:eastAsia="仿宋_GB2312" w:cs="仿宋_GB2312"/>
          <w:sz w:val="32"/>
          <w:szCs w:val="32"/>
          <w:lang w:bidi="ar"/>
        </w:rPr>
        <w:t>：其构成为财政拨款年初预算995.50万元，比上年增加7.6%，财政拨款追加预算526.85万元，比上年减少72%；追加预算主要包括增人增资及目标考核奖资金147.95万元、一般公用经费27.05万元、人才引进安家费8.6万元、地名拍摄及行政区划调整经费42万元、村居示范村培训经费23万元、其他社会保障经费75万元、住房公积金2.98万元、社会福利院建设资金预拨200万元、拥军优属预拨40万元、慈善助学金25.00万元（为彩票公益金）、因机改原因及调整预算口径调减预算64.65万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spacing w:line="560" w:lineRule="exact"/>
        <w:ind w:firstLine="643" w:firstLineChars="200"/>
        <w:rPr>
          <w:rFonts w:ascii="仿宋_GB2312" w:hAnsi="宋体" w:eastAsia="仿宋_GB2312" w:cs="仿宋_GB2312"/>
          <w:sz w:val="32"/>
          <w:szCs w:val="32"/>
        </w:rPr>
      </w:pPr>
      <w:r>
        <w:rPr>
          <w:rFonts w:hint="eastAsia" w:ascii="仿宋_GB2312" w:hAnsi="宋体" w:eastAsia="仿宋_GB2312" w:cs="仿宋_GB2312"/>
          <w:b/>
          <w:sz w:val="32"/>
          <w:szCs w:val="32"/>
          <w:lang w:bidi="ar"/>
        </w:rPr>
        <w:t>1</w:t>
      </w:r>
      <w:r>
        <w:rPr>
          <w:rFonts w:hint="eastAsia" w:ascii="仿宋_GB2312" w:hAnsi="仿宋" w:eastAsia="仿宋_GB2312" w:cs="仿宋_GB2312"/>
          <w:b/>
          <w:sz w:val="32"/>
          <w:szCs w:val="32"/>
          <w:lang w:bidi="ar"/>
        </w:rPr>
        <w:t>．</w:t>
      </w:r>
      <w:r>
        <w:rPr>
          <w:rFonts w:hint="eastAsia" w:ascii="仿宋_GB2312" w:hAnsi="宋体" w:eastAsia="仿宋_GB2312" w:cs="仿宋_GB2312"/>
          <w:b/>
          <w:sz w:val="32"/>
          <w:szCs w:val="32"/>
          <w:lang w:bidi="ar"/>
        </w:rPr>
        <w:t>支出概况：</w:t>
      </w:r>
      <w:r>
        <w:rPr>
          <w:rFonts w:hint="eastAsia" w:ascii="仿宋_GB2312" w:hAnsi="宋体" w:eastAsia="仿宋_GB2312" w:cs="仿宋_GB2312"/>
          <w:sz w:val="32"/>
          <w:szCs w:val="32"/>
          <w:lang w:bidi="ar"/>
        </w:rPr>
        <w:t xml:space="preserve">全年支出共计2493.43万元（财政拨款支出1326.01万元，占本年支出53%），比上年减少37.78%。  </w:t>
      </w:r>
    </w:p>
    <w:p>
      <w:pPr>
        <w:spacing w:line="560" w:lineRule="exact"/>
        <w:ind w:firstLine="643" w:firstLineChars="200"/>
        <w:rPr>
          <w:lang w:val="zh-CN"/>
        </w:rPr>
      </w:pPr>
      <w:r>
        <w:rPr>
          <w:rFonts w:hint="eastAsia" w:ascii="仿宋_GB2312" w:hAnsi="宋体" w:eastAsia="仿宋_GB2312" w:cs="仿宋_GB2312"/>
          <w:b/>
          <w:sz w:val="32"/>
          <w:szCs w:val="32"/>
          <w:lang w:bidi="ar"/>
        </w:rPr>
        <w:t>2</w:t>
      </w:r>
      <w:r>
        <w:rPr>
          <w:rFonts w:hint="eastAsia" w:ascii="仿宋_GB2312" w:hAnsi="仿宋" w:eastAsia="仿宋_GB2312" w:cs="仿宋_GB2312"/>
          <w:b/>
          <w:sz w:val="32"/>
          <w:szCs w:val="32"/>
          <w:lang w:bidi="ar"/>
        </w:rPr>
        <w:t>．</w:t>
      </w:r>
      <w:r>
        <w:rPr>
          <w:rFonts w:hint="eastAsia" w:ascii="仿宋_GB2312" w:hAnsi="宋体" w:eastAsia="仿宋_GB2312" w:cs="仿宋_GB2312"/>
          <w:b/>
          <w:sz w:val="32"/>
          <w:szCs w:val="32"/>
          <w:lang w:bidi="ar"/>
        </w:rPr>
        <w:t>支出构成情况：</w:t>
      </w:r>
      <w:r>
        <w:rPr>
          <w:rFonts w:hint="eastAsia" w:ascii="仿宋_GB2312" w:hAnsi="宋体" w:eastAsia="仿宋_GB2312" w:cs="仿宋_GB2312"/>
          <w:sz w:val="32"/>
          <w:szCs w:val="32"/>
          <w:lang w:bidi="ar"/>
        </w:rPr>
        <w:t>从支出性质看，基本支出813.55万元（均为财政拨款支出），占总支出的32.63%，比上年减少145.43万元；项目支出1679.88万元（财政拨款支出1594.16万元），占总支出的67.37%，比上年减少1368.48万元。从支出经济分类看，工资福利支出674.71万元，占总支出的27.06%，比上年减少12.90%；商品和服务支出96.40万元，占总支出的3.80%；他资本性支出（主要是基建项目支出）1051.06万元，占总支出的42%，比上年减少53.02%。</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560" w:lineRule="exact"/>
        <w:ind w:firstLine="640" w:firstLineChars="200"/>
        <w:rPr>
          <w:rFonts w:ascii="仿宋_GB2312" w:hAnsi="宋体" w:eastAsia="仿宋_GB2312" w:cs="仿宋_GB2312"/>
          <w:sz w:val="32"/>
          <w:szCs w:val="32"/>
          <w:lang w:val="zh-CN" w:bidi="ar"/>
        </w:rPr>
      </w:pPr>
      <w:r>
        <w:rPr>
          <w:rFonts w:hint="eastAsia" w:ascii="仿宋_GB2312" w:hAnsi="宋体" w:eastAsia="仿宋_GB2312" w:cs="仿宋_GB2312"/>
          <w:sz w:val="32"/>
          <w:szCs w:val="32"/>
          <w:lang w:val="zh-CN" w:bidi="ar"/>
        </w:rPr>
        <w:t>（一）制度建设情况</w:t>
      </w:r>
    </w:p>
    <w:p>
      <w:pPr>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1.巴中市民政局继续实行财务集中核算制，坚持“三不变”“四统一”</w:t>
      </w:r>
      <w:r>
        <w:rPr>
          <w:rFonts w:hint="eastAsia" w:ascii="仿宋" w:hAnsi="仿宋" w:eastAsia="仿宋" w:cs="仿宋"/>
          <w:sz w:val="32"/>
          <w:szCs w:val="32"/>
          <w:lang w:bidi="ar"/>
        </w:rPr>
        <w:t>（即单位预算主体不变、单位资金额度不变、单位法人审批不变；制度统一规范、资金统一支付、会计统一核算、凭证统一保管）</w:t>
      </w:r>
      <w:r>
        <w:rPr>
          <w:rFonts w:hint="eastAsia" w:ascii="仿宋_GB2312" w:hAnsi="宋体" w:eastAsia="仿宋_GB2312" w:cs="仿宋_GB2312"/>
          <w:sz w:val="32"/>
          <w:szCs w:val="32"/>
          <w:lang w:bidi="ar"/>
        </w:rPr>
        <w:t>的原则</w:t>
      </w:r>
      <w:r>
        <w:rPr>
          <w:rFonts w:hint="eastAsia" w:ascii="仿宋" w:hAnsi="仿宋" w:eastAsia="仿宋" w:cs="仿宋"/>
          <w:sz w:val="32"/>
          <w:szCs w:val="32"/>
          <w:lang w:bidi="ar"/>
        </w:rPr>
        <w:t>进行集中核算</w:t>
      </w:r>
      <w:r>
        <w:rPr>
          <w:rFonts w:hint="eastAsia" w:ascii="仿宋_GB2312" w:hAnsi="宋体" w:eastAsia="仿宋_GB2312" w:cs="仿宋_GB2312"/>
          <w:sz w:val="32"/>
          <w:szCs w:val="32"/>
          <w:lang w:bidi="ar"/>
        </w:rPr>
        <w:t>，将独立办公独立预算的直属单位财务统一集中到局机关，由相应的会计人员负责，直属单位设置报账员，全面有效的监督管理民政各专项业务经费的使用情况。</w:t>
      </w:r>
    </w:p>
    <w:p>
      <w:pPr>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2.</w:t>
      </w:r>
      <w:r>
        <w:rPr>
          <w:rFonts w:hint="eastAsia" w:ascii="仿宋" w:hAnsi="仿宋" w:eastAsia="仿宋" w:cs="仿宋"/>
          <w:sz w:val="32"/>
          <w:szCs w:val="32"/>
          <w:lang w:bidi="ar"/>
        </w:rPr>
        <w:t>出台了</w:t>
      </w:r>
      <w:r>
        <w:rPr>
          <w:rFonts w:hint="eastAsia" w:ascii="仿宋_GB2312" w:hAnsi="宋体" w:eastAsia="仿宋_GB2312" w:cs="仿宋_GB2312"/>
          <w:sz w:val="32"/>
          <w:szCs w:val="32"/>
          <w:lang w:bidi="ar"/>
        </w:rPr>
        <w:t>《市民政局财务管理办法》、《巴中市民政局内部控制手册》规范内部管理，加强财政资金支付前的审核审批管理，</w:t>
      </w:r>
      <w:r>
        <w:rPr>
          <w:rFonts w:hint="eastAsia" w:ascii="仿宋" w:hAnsi="仿宋" w:eastAsia="仿宋" w:cs="仿宋"/>
          <w:sz w:val="32"/>
          <w:szCs w:val="32"/>
          <w:lang w:bidi="ar"/>
        </w:rPr>
        <w:t>《加强财政性资金审核审批管理各项规定》对“六大经济业务”进行流程设置并进行了“不相容岗位设置”和分级授权控制，有效的防范了风险</w:t>
      </w:r>
      <w:r>
        <w:rPr>
          <w:rFonts w:hint="eastAsia" w:ascii="仿宋_GB2312" w:hAnsi="宋体" w:eastAsia="仿宋_GB2312" w:cs="仿宋_GB2312"/>
          <w:sz w:val="32"/>
          <w:szCs w:val="32"/>
          <w:lang w:bidi="ar"/>
        </w:rPr>
        <w:t>。</w:t>
      </w:r>
    </w:p>
    <w:p>
      <w:pPr>
        <w:spacing w:line="560" w:lineRule="exact"/>
        <w:ind w:firstLine="640" w:firstLineChars="200"/>
        <w:rPr>
          <w:rFonts w:ascii="仿宋_GB2312" w:hAnsi="宋体" w:eastAsia="仿宋_GB2312" w:cs="仿宋_GB2312"/>
          <w:sz w:val="32"/>
          <w:szCs w:val="32"/>
          <w:lang w:val="zh-CN" w:bidi="ar"/>
        </w:rPr>
      </w:pPr>
      <w:r>
        <w:rPr>
          <w:rFonts w:hint="eastAsia" w:ascii="仿宋_GB2312" w:hAnsi="宋体" w:eastAsia="仿宋_GB2312" w:cs="仿宋_GB2312"/>
          <w:sz w:val="32"/>
          <w:szCs w:val="32"/>
          <w:lang w:val="zh-CN" w:bidi="ar"/>
        </w:rPr>
        <w:t>（二）绩效目标管理情况</w:t>
      </w:r>
    </w:p>
    <w:p>
      <w:pPr>
        <w:snapToGrid w:val="0"/>
        <w:spacing w:line="56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巴中市民政局严格遵守《会计法》《预算法》《行政单位财务规则》等相关财政财务规章，规范财政资金管理，合理使用各项资金，确保了巴中市民政局预算管理的成效，全年预算支出整体受控。</w:t>
      </w:r>
    </w:p>
    <w:p>
      <w:pPr>
        <w:snapToGrid w:val="0"/>
        <w:spacing w:line="56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一是严格预算管理。按照财政预算资金的指标额度和性质用途支付资金，规范政府财务会计和预算会计核算，经常对照现行各项规定开展自查，推进部门预算执行的有效性；</w:t>
      </w:r>
    </w:p>
    <w:p>
      <w:pPr>
        <w:snapToGrid w:val="0"/>
        <w:spacing w:line="56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二是强化绩效管理。严格按照批复的部门预算安排支出，合理规划、统筹安排各项重点工作任务，加强支付进度管理，提高项目资金预算执行的均衡性、时效性；强化预算绩效运行跟踪监控切实组织开展科室预算支出绩效自评和重点绩效评价，及时动态调整预算执行过程的偏差，努力提高资金使用效益；</w:t>
      </w:r>
    </w:p>
    <w:p>
      <w:pPr>
        <w:snapToGrid w:val="0"/>
        <w:spacing w:line="56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三是规范专项资金管理。专项资金的分配采取因素法、据实法、项目法等进行分配，逐步以因素法为主。</w:t>
      </w:r>
    </w:p>
    <w:p>
      <w:pPr>
        <w:spacing w:line="560" w:lineRule="exact"/>
        <w:ind w:firstLine="640" w:firstLineChars="200"/>
        <w:rPr>
          <w:rFonts w:ascii="仿宋_GB2312" w:hAnsi="宋体" w:eastAsia="仿宋_GB2312" w:cs="仿宋_GB2312"/>
          <w:sz w:val="32"/>
          <w:szCs w:val="32"/>
          <w:lang w:val="zh-CN" w:bidi="ar"/>
        </w:rPr>
      </w:pPr>
      <w:r>
        <w:rPr>
          <w:rFonts w:hint="eastAsia" w:ascii="仿宋_GB2312" w:hAnsi="宋体" w:eastAsia="仿宋_GB2312" w:cs="仿宋_GB2312"/>
          <w:sz w:val="32"/>
          <w:szCs w:val="32"/>
          <w:lang w:val="zh-CN" w:bidi="ar"/>
        </w:rPr>
        <w:t>（三）综合管理情况</w:t>
      </w:r>
    </w:p>
    <w:p>
      <w:pPr>
        <w:snapToGrid w:val="0"/>
        <w:spacing w:line="56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对照巴财监绩〔2020〕4号文件规定的考核指标，巴中市民政局从预算配置、预算执行、预算管理、履职效益等方面对2019年部门整体支出绩效开展了评价，自评得分99分。在财务管理、政府采购、三公经费、资产管理、信息公开、接受审计、财政监督等方面控制较好。一是强化部门预算绩效管理。进一步的按预算资金额度、使用性质、用途和范围、规定标准使用预算指标资金，确保专款专用，增强预算执行有效性；二是严肃财经纪律执行。全面排查资金使用风险，加强支出报销业务审核审批管理，严格按照《加强财政性资金审核审批管理》的规定， 执行“三公经费”及差旅费、会议费、培训费、购买支出等实行“先申报、后执行”程序，重点管控三公经费和差旅费、会议费、培训费等财政资金的使用范围、用途、标准，规范财务业务；三是加强固定资产账实管理。认真做好资产清查和台账登记工作，加强资产账务和实物管理，做到“账账相符、账实相符”；严格按照政府采购计划和程序进行政府采购。四是加强公务卡激活和使用率，规范使用公务卡进行结算支付。</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pStyle w:val="33"/>
        <w:spacing w:before="0" w:beforeAutospacing="0" w:after="0" w:afterAutospacing="0" w:line="560" w:lineRule="exact"/>
        <w:ind w:firstLine="480"/>
        <w:jc w:val="both"/>
        <w:rPr>
          <w:rFonts w:hint="default" w:ascii="仿宋_GB2312" w:eastAsia="仿宋_GB2312" w:cs="宋体"/>
          <w:color w:val="000000"/>
          <w:sz w:val="32"/>
          <w:szCs w:val="32"/>
          <w:shd w:val="clear" w:color="auto" w:fill="FFFFFF"/>
          <w:lang w:val="zh-CN"/>
        </w:rPr>
      </w:pPr>
      <w:r>
        <w:rPr>
          <w:rFonts w:ascii="仿宋_GB2312" w:eastAsia="仿宋_GB2312" w:cs="宋体"/>
          <w:color w:val="000000"/>
          <w:sz w:val="32"/>
          <w:szCs w:val="32"/>
          <w:shd w:val="clear" w:color="auto" w:fill="FFFFFF"/>
          <w:lang w:val="zh-CN"/>
        </w:rPr>
        <w:t>（一）评价结论。巴中市民政局</w:t>
      </w:r>
      <w:r>
        <w:rPr>
          <w:rFonts w:ascii="仿宋_GB2312" w:eastAsia="仿宋_GB2312" w:cs="宋体"/>
          <w:color w:val="000000"/>
          <w:sz w:val="32"/>
          <w:szCs w:val="32"/>
          <w:shd w:val="clear" w:color="auto" w:fill="FFFFFF"/>
        </w:rPr>
        <w:t>2019</w:t>
      </w:r>
      <w:r>
        <w:rPr>
          <w:rFonts w:ascii="仿宋_GB2312" w:eastAsia="仿宋_GB2312" w:cs="宋体"/>
          <w:color w:val="000000"/>
          <w:sz w:val="32"/>
          <w:szCs w:val="32"/>
          <w:shd w:val="clear" w:color="auto" w:fill="FFFFFF"/>
          <w:lang w:val="zh-CN"/>
        </w:rPr>
        <w:t>年度部门整体支出与年初预期绩效目标一致，内部控制制度健全，预算管理、资产管理规范，有效的保障了各项工作的开展和完成，并取得了较好的成效。</w:t>
      </w:r>
    </w:p>
    <w:p>
      <w:pPr>
        <w:pStyle w:val="14"/>
        <w:widowControl w:val="0"/>
        <w:shd w:val="clear" w:color="auto" w:fill="FFFFFF"/>
        <w:autoSpaceDE w:val="0"/>
        <w:spacing w:before="0" w:beforeAutospacing="0" w:after="0" w:afterAutospacing="0" w:line="560" w:lineRule="exact"/>
        <w:ind w:firstLine="560"/>
        <w:jc w:val="both"/>
        <w:rPr>
          <w:rFonts w:hint="default" w:ascii="仿宋_GB2312" w:eastAsia="仿宋_GB2312" w:cs="宋体"/>
          <w:color w:val="000000"/>
          <w:sz w:val="32"/>
          <w:szCs w:val="32"/>
          <w:shd w:val="clear" w:color="auto" w:fill="FFFFFF"/>
          <w:lang w:val="zh-CN"/>
        </w:rPr>
      </w:pPr>
      <w:r>
        <w:rPr>
          <w:rFonts w:ascii="仿宋_GB2312" w:eastAsia="仿宋_GB2312" w:cs="宋体"/>
          <w:color w:val="000000"/>
          <w:sz w:val="32"/>
          <w:szCs w:val="32"/>
          <w:shd w:val="clear" w:color="auto" w:fill="FFFFFF"/>
          <w:lang w:val="zh-CN"/>
        </w:rPr>
        <w:t>（二）存在问题。</w:t>
      </w:r>
      <w:r>
        <w:rPr>
          <w:rFonts w:ascii="仿宋_GB2312" w:eastAsia="仿宋_GB2312" w:cs="宋体"/>
          <w:color w:val="000000"/>
          <w:sz w:val="32"/>
          <w:szCs w:val="32"/>
          <w:shd w:val="clear" w:color="auto" w:fill="FFFFFF"/>
        </w:rPr>
        <w:t>一是巴中市民政局对南江县白马村、白梁村进行对口帮扶，驻村第一书记、驻村工作组常驻两个村及帮扶干部每月进村入户开展帮扶工作，需预算的扶贫帮扶经费严重不足，需求缺口较大；二是巴中市民政局承担社区治理创文工作任务，政策宣传、社区治理经费无预算。</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（三）改进建议。</w:t>
      </w:r>
      <w:r>
        <w:rPr>
          <w:rFonts w:hint="eastAsia" w:ascii="仿宋_GB2312" w:hAnsi="宋体" w:eastAsia="仿宋_GB2312" w:cs="宋体"/>
          <w:color w:val="000000"/>
          <w:kern w:val="0"/>
          <w:sz w:val="32"/>
          <w:szCs w:val="32"/>
          <w:shd w:val="clear" w:color="auto" w:fill="FFFFFF"/>
        </w:rPr>
        <w:t>一是细化预算编制工作，进一步加强单位内部机构各科室的预算管理意识，严格按照预算编制的相关制度和要求进行预算编制。二是进一步完善资产管理，规范各类资产的购置审批制度、资产处置和报废审批制度、资产管理岗位职责制度等，加强单位内部的资产管理工作，三是加强对社会救助、社会福利、儿童福利等公益事业购买服务经费保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巴中市民政局</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sz w:val="44"/>
          <w:szCs w:val="44"/>
        </w:rPr>
        <w:t>购买社会救助服务</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widowControl/>
        <w:adjustRightInd w:val="0"/>
        <w:snapToGrid w:val="0"/>
        <w:spacing w:line="580" w:lineRule="exact"/>
        <w:ind w:firstLine="643" w:firstLineChars="200"/>
        <w:contextualSpacing/>
        <w:jc w:val="left"/>
        <w:rPr>
          <w:rFonts w:ascii="黑体" w:hAnsi="宋体" w:eastAsia="黑体" w:cs="宋体"/>
          <w:b/>
          <w:bCs/>
          <w:color w:val="000000"/>
          <w:kern w:val="0"/>
          <w:sz w:val="32"/>
          <w:szCs w:val="32"/>
          <w:shd w:val="clear" w:color="auto" w:fill="FFFFFF"/>
          <w:lang w:val="zh-CN"/>
        </w:rPr>
      </w:pPr>
      <w:r>
        <w:rPr>
          <w:rFonts w:hint="eastAsia" w:ascii="黑体" w:hAnsi="宋体" w:eastAsia="黑体" w:cs="宋体"/>
          <w:b/>
          <w:bCs/>
          <w:color w:val="000000"/>
          <w:kern w:val="0"/>
          <w:sz w:val="32"/>
          <w:szCs w:val="32"/>
          <w:shd w:val="clear" w:color="auto" w:fill="FFFFFF"/>
        </w:rPr>
        <w:t>一、</w:t>
      </w:r>
      <w:r>
        <w:rPr>
          <w:rFonts w:hint="eastAsia" w:ascii="黑体" w:hAnsi="宋体" w:eastAsia="黑体" w:cs="宋体"/>
          <w:b/>
          <w:bCs/>
          <w:color w:val="000000"/>
          <w:kern w:val="0"/>
          <w:sz w:val="32"/>
          <w:szCs w:val="32"/>
          <w:shd w:val="clear" w:color="auto" w:fill="FFFFFF"/>
          <w:lang w:val="zh-CN"/>
        </w:rPr>
        <w:t>项目概况</w:t>
      </w:r>
    </w:p>
    <w:p>
      <w:pPr>
        <w:widowControl/>
        <w:adjustRightInd w:val="0"/>
        <w:snapToGrid w:val="0"/>
        <w:spacing w:line="580" w:lineRule="exact"/>
        <w:ind w:firstLine="643" w:firstLineChars="200"/>
        <w:contextualSpacing/>
        <w:jc w:val="left"/>
        <w:rPr>
          <w:rFonts w:ascii="楷体" w:hAnsi="楷体" w:eastAsia="楷体" w:cs="楷体"/>
          <w:sz w:val="32"/>
          <w:szCs w:val="32"/>
          <w:lang w:val="zh-CN"/>
        </w:rPr>
      </w:pPr>
      <w:r>
        <w:rPr>
          <w:rFonts w:hint="eastAsia" w:ascii="楷体" w:hAnsi="楷体" w:eastAsia="楷体" w:cs="楷体"/>
          <w:b/>
          <w:bCs/>
          <w:sz w:val="32"/>
          <w:szCs w:val="32"/>
          <w:lang w:val="zh-CN"/>
        </w:rPr>
        <w:t>（一）项目基本情况</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b/>
          <w:bCs/>
          <w:color w:val="000000"/>
          <w:kern w:val="0"/>
          <w:sz w:val="32"/>
          <w:szCs w:val="32"/>
          <w:shd w:val="clear" w:color="auto" w:fill="FFFFFF"/>
        </w:rPr>
        <w:t>1.主要职能。</w:t>
      </w:r>
      <w:r>
        <w:rPr>
          <w:rFonts w:hint="eastAsia" w:ascii="仿宋_GB2312" w:hAnsi="宋体" w:eastAsia="仿宋_GB2312" w:cs="宋体"/>
          <w:color w:val="000000"/>
          <w:kern w:val="0"/>
          <w:sz w:val="32"/>
          <w:szCs w:val="32"/>
          <w:shd w:val="clear" w:color="auto" w:fill="FFFFFF"/>
        </w:rPr>
        <w:t>督促和指导社会救助政策使用情况的绩效评价，全面衡量社会救助工作质量和效果，走访所辖区域低保户、特困供养人员及重病、重残等特殊困难户，通过数据比对、查资料、现场走访等方式对救助资金发放、使用，救助审核审批程序，是否存在“脱保”“漏保”和“死人保”，救助政策知晓度和满意度等情况进行调查，确保各项社会救助政策落实，全面客观评价社会救助专项预算资金的使用绩效，规范和加强资金使用管理，有力提升困难群众救助工作管理服务水平、维护困难群众基本生活权益、提高资金使用效益，进一步健全完善各项救助制度，加大困难群众基本生活保障工作力度，切实保障困难群众基本生活，织密织牢民生兜底保障安全网。</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2.项目立项、资金申报依据。</w:t>
      </w:r>
      <w:r>
        <w:rPr>
          <w:rFonts w:hint="eastAsia" w:ascii="仿宋_GB2312" w:hAnsi="宋体" w:eastAsia="仿宋_GB2312" w:cs="宋体"/>
          <w:color w:val="000000"/>
          <w:kern w:val="0"/>
          <w:sz w:val="32"/>
          <w:szCs w:val="32"/>
          <w:shd w:val="clear" w:color="auto" w:fill="FFFFFF"/>
          <w:lang w:val="zh-CN"/>
        </w:rPr>
        <w:t>为积极推进社会救助工作管理水平，提升救助资金使用绩效，切实保障困难群众生活，全面落实救助政策，助推脱贫攻坚，根据四川省财政厅、四川省民政厅、四川省工商局《关于印发&lt;四川省政府购买服务管理办法（暂行）&gt;的通知》（川财综﹝2015﹞63号）的规定及《四川省政府向社会力量购买服务指导目录》，《巴中市人民政府城乡居民最低生活保障实施办法》（巴中市人民政府令第39号）、结合巴中市民政局《关于在“不忘初心、牢记使命”主题教育中深化农村低保专项治理工作的通知》的要求。我局填报了项目绩效申报表，主要用于最低生活保障、特困人员救助供养、困境儿童救助、临时救助工作的对象排查、家庭调查。委托第三方机构开展社会救助绩效评价,利用微信、报刊、网络媒体等对全市38.6万低保、1.42万特困供养等对象进行宣传，提高社会救助对象政策知晓度、大力发展社工购买服务，促进民政事业科学发展。</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b/>
          <w:bCs/>
          <w:color w:val="000000"/>
          <w:kern w:val="0"/>
          <w:sz w:val="32"/>
          <w:szCs w:val="32"/>
          <w:shd w:val="clear" w:color="auto" w:fill="FFFFFF"/>
          <w:lang w:val="zh-CN"/>
        </w:rPr>
        <w:t>3.资金管理办法制定情况，资金支持具体项目的条件、范围与支持方式概况。</w:t>
      </w:r>
      <w:r>
        <w:rPr>
          <w:rFonts w:hint="eastAsia" w:ascii="仿宋_GB2312" w:hAnsi="宋体" w:eastAsia="仿宋_GB2312" w:cs="宋体"/>
          <w:color w:val="000000"/>
          <w:kern w:val="0"/>
          <w:sz w:val="32"/>
          <w:szCs w:val="32"/>
          <w:shd w:val="clear" w:color="auto" w:fill="FFFFFF"/>
          <w:lang w:val="zh-CN"/>
        </w:rPr>
        <w:t>依据《四川省</w:t>
      </w:r>
      <w:r>
        <w:rPr>
          <w:rFonts w:hint="eastAsia" w:ascii="仿宋_GB2312" w:hAnsi="宋体" w:eastAsia="仿宋_GB2312" w:cs="宋体"/>
          <w:color w:val="000000"/>
          <w:kern w:val="0"/>
          <w:sz w:val="32"/>
          <w:szCs w:val="32"/>
          <w:shd w:val="clear" w:color="auto" w:fill="FFFFFF"/>
        </w:rPr>
        <w:t>政府购买服务管理办法的通知</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暂</w:t>
      </w:r>
      <w:r>
        <w:rPr>
          <w:rFonts w:hint="eastAsia" w:ascii="仿宋_GB2312" w:hAnsi="宋体" w:eastAsia="仿宋_GB2312" w:cs="宋体"/>
          <w:color w:val="000000"/>
          <w:kern w:val="0"/>
          <w:sz w:val="32"/>
          <w:szCs w:val="32"/>
          <w:shd w:val="clear" w:color="auto" w:fill="FFFFFF"/>
          <w:lang w:val="zh-CN"/>
        </w:rPr>
        <w:t>行）》和《市民政局</w:t>
      </w:r>
      <w:r>
        <w:rPr>
          <w:rFonts w:hint="eastAsia" w:ascii="仿宋_GB2312" w:hAnsi="宋体" w:eastAsia="仿宋_GB2312" w:cs="宋体"/>
          <w:color w:val="000000"/>
          <w:kern w:val="0"/>
          <w:sz w:val="32"/>
          <w:szCs w:val="32"/>
          <w:shd w:val="clear" w:color="auto" w:fill="FFFFFF"/>
        </w:rPr>
        <w:t>财务管理办法</w:t>
      </w:r>
      <w:r>
        <w:rPr>
          <w:rFonts w:hint="eastAsia" w:ascii="仿宋_GB2312" w:hAnsi="宋体" w:eastAsia="仿宋_GB2312" w:cs="宋体"/>
          <w:color w:val="000000"/>
          <w:kern w:val="0"/>
          <w:sz w:val="32"/>
          <w:szCs w:val="32"/>
          <w:shd w:val="clear" w:color="auto" w:fill="FFFFFF"/>
          <w:lang w:val="zh-CN"/>
        </w:rPr>
        <w:t>》，加强</w:t>
      </w:r>
      <w:r>
        <w:rPr>
          <w:rFonts w:hint="eastAsia" w:ascii="仿宋_GB2312" w:hAnsi="宋体" w:eastAsia="仿宋_GB2312" w:cs="宋体"/>
          <w:color w:val="000000"/>
          <w:kern w:val="0"/>
          <w:sz w:val="32"/>
          <w:szCs w:val="32"/>
          <w:shd w:val="clear" w:color="auto" w:fill="FFFFFF"/>
        </w:rPr>
        <w:t>对购买服务项目资金的财务管理和规范会计核算</w:t>
      </w:r>
      <w:r>
        <w:rPr>
          <w:rFonts w:hint="eastAsia" w:ascii="仿宋_GB2312" w:hAnsi="宋体" w:eastAsia="仿宋_GB2312" w:cs="宋体"/>
          <w:color w:val="000000"/>
          <w:kern w:val="0"/>
          <w:sz w:val="32"/>
          <w:szCs w:val="32"/>
          <w:shd w:val="clear" w:color="auto" w:fill="FFFFFF"/>
          <w:lang w:val="zh-CN"/>
        </w:rPr>
        <w:t>；该项目主要用于社会救助政策执行情况绩效评价、社会救助</w:t>
      </w:r>
      <w:r>
        <w:rPr>
          <w:rFonts w:hint="eastAsia" w:ascii="仿宋_GB2312" w:hAnsi="宋体" w:eastAsia="仿宋_GB2312" w:cs="宋体"/>
          <w:color w:val="000000"/>
          <w:kern w:val="0"/>
          <w:sz w:val="32"/>
          <w:szCs w:val="32"/>
          <w:shd w:val="clear" w:color="auto" w:fill="FFFFFF"/>
        </w:rPr>
        <w:t>购买服务及</w:t>
      </w:r>
      <w:r>
        <w:rPr>
          <w:rFonts w:hint="eastAsia" w:ascii="仿宋_GB2312" w:hAnsi="宋体" w:eastAsia="仿宋_GB2312" w:cs="宋体"/>
          <w:color w:val="000000"/>
          <w:kern w:val="0"/>
          <w:sz w:val="32"/>
          <w:szCs w:val="32"/>
          <w:shd w:val="clear" w:color="auto" w:fill="FFFFFF"/>
          <w:lang w:val="zh-CN"/>
        </w:rPr>
        <w:t>社会救助政策宣传等。</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4.资金分配的原则及考虑因素。</w:t>
      </w:r>
      <w:r>
        <w:rPr>
          <w:rFonts w:hint="eastAsia" w:ascii="仿宋_GB2312" w:hAnsi="宋体" w:eastAsia="仿宋_GB2312" w:cs="宋体"/>
          <w:color w:val="000000"/>
          <w:kern w:val="0"/>
          <w:sz w:val="32"/>
          <w:szCs w:val="32"/>
          <w:shd w:val="clear" w:color="auto" w:fill="FFFFFF"/>
          <w:lang w:val="zh-CN"/>
        </w:rPr>
        <w:t>按照项目据实的原则，资金主要</w:t>
      </w:r>
      <w:r>
        <w:rPr>
          <w:rFonts w:hint="eastAsia" w:ascii="仿宋_GB2312" w:hAnsi="宋体" w:eastAsia="仿宋_GB2312" w:cs="宋体"/>
          <w:color w:val="000000"/>
          <w:kern w:val="0"/>
          <w:sz w:val="32"/>
          <w:szCs w:val="32"/>
          <w:shd w:val="clear" w:color="auto" w:fill="FFFFFF"/>
        </w:rPr>
        <w:t>用于</w:t>
      </w:r>
      <w:r>
        <w:rPr>
          <w:rFonts w:hint="eastAsia" w:ascii="仿宋_GB2312" w:hAnsi="宋体" w:eastAsia="仿宋_GB2312" w:cs="宋体"/>
          <w:color w:val="000000"/>
          <w:kern w:val="0"/>
          <w:sz w:val="32"/>
          <w:szCs w:val="32"/>
          <w:shd w:val="clear" w:color="auto" w:fill="FFFFFF"/>
          <w:lang w:val="zh-CN"/>
        </w:rPr>
        <w:t>最低生活保障、特困人员救助供养、困境儿童救助、临时救助对象排查、家庭调查</w:t>
      </w:r>
      <w:r>
        <w:rPr>
          <w:rFonts w:hint="eastAsia" w:ascii="仿宋_GB2312" w:hAnsi="宋体" w:eastAsia="仿宋_GB2312" w:cs="宋体"/>
          <w:color w:val="000000"/>
          <w:kern w:val="0"/>
          <w:sz w:val="32"/>
          <w:szCs w:val="32"/>
          <w:shd w:val="clear" w:color="auto" w:fill="FFFFFF"/>
        </w:rPr>
        <w:t>和低收入认定等工作；</w:t>
      </w:r>
      <w:r>
        <w:rPr>
          <w:rFonts w:hint="eastAsia" w:ascii="仿宋_GB2312" w:hAnsi="宋体" w:eastAsia="仿宋_GB2312" w:cs="宋体"/>
          <w:color w:val="000000"/>
          <w:kern w:val="0"/>
          <w:sz w:val="32"/>
          <w:szCs w:val="32"/>
          <w:shd w:val="clear" w:color="auto" w:fill="FFFFFF"/>
          <w:lang w:val="zh-CN"/>
        </w:rPr>
        <w:t>委托第三方机构开展社会救助绩效评价</w:t>
      </w:r>
      <w:r>
        <w:rPr>
          <w:rFonts w:hint="eastAsia"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lang w:val="zh-CN"/>
        </w:rPr>
        <w:t>微信、报刊、网络媒体</w:t>
      </w:r>
      <w:r>
        <w:rPr>
          <w:rFonts w:hint="eastAsia" w:ascii="仿宋_GB2312" w:hAnsi="宋体" w:eastAsia="仿宋_GB2312" w:cs="宋体"/>
          <w:color w:val="000000"/>
          <w:kern w:val="0"/>
          <w:sz w:val="32"/>
          <w:szCs w:val="32"/>
          <w:shd w:val="clear" w:color="auto" w:fill="FFFFFF"/>
        </w:rPr>
        <w:t>宣传；</w:t>
      </w:r>
      <w:r>
        <w:rPr>
          <w:rFonts w:hint="eastAsia" w:ascii="仿宋_GB2312" w:hAnsi="宋体" w:eastAsia="仿宋_GB2312" w:cs="宋体"/>
          <w:color w:val="000000"/>
          <w:kern w:val="0"/>
          <w:sz w:val="32"/>
          <w:szCs w:val="32"/>
          <w:shd w:val="clear" w:color="auto" w:fill="FFFFFF"/>
          <w:lang w:val="zh-CN"/>
        </w:rPr>
        <w:t>购买第三方服务</w:t>
      </w:r>
      <w:r>
        <w:rPr>
          <w:rFonts w:hint="eastAsia" w:ascii="仿宋_GB2312" w:hAnsi="宋体" w:eastAsia="仿宋_GB2312" w:cs="宋体"/>
          <w:color w:val="000000"/>
          <w:kern w:val="0"/>
          <w:sz w:val="32"/>
          <w:szCs w:val="32"/>
          <w:shd w:val="clear" w:color="auto" w:fill="FFFFFF"/>
        </w:rPr>
        <w:t>救助</w:t>
      </w:r>
      <w:r>
        <w:rPr>
          <w:rFonts w:hint="eastAsia" w:ascii="仿宋_GB2312" w:hAnsi="宋体" w:eastAsia="仿宋_GB2312" w:cs="宋体"/>
          <w:color w:val="000000"/>
          <w:kern w:val="0"/>
          <w:sz w:val="32"/>
          <w:szCs w:val="32"/>
          <w:shd w:val="clear" w:color="auto" w:fill="FFFFFF"/>
          <w:lang w:val="zh-CN"/>
        </w:rPr>
        <w:t>机构服务</w:t>
      </w:r>
      <w:r>
        <w:rPr>
          <w:rFonts w:hint="eastAsia" w:ascii="仿宋_GB2312" w:hAnsi="宋体" w:eastAsia="仿宋_GB2312" w:cs="宋体"/>
          <w:color w:val="000000"/>
          <w:kern w:val="0"/>
          <w:sz w:val="32"/>
          <w:szCs w:val="32"/>
          <w:shd w:val="clear" w:color="auto" w:fill="FFFFFF"/>
        </w:rPr>
        <w:t>等</w:t>
      </w:r>
      <w:r>
        <w:rPr>
          <w:rFonts w:hint="eastAsia" w:ascii="仿宋_GB2312" w:hAnsi="宋体" w:eastAsia="仿宋_GB2312" w:cs="宋体"/>
          <w:color w:val="000000"/>
          <w:kern w:val="0"/>
          <w:sz w:val="32"/>
          <w:szCs w:val="32"/>
          <w:shd w:val="clear" w:color="auto" w:fill="FFFFFF"/>
          <w:lang w:val="zh-CN"/>
        </w:rPr>
        <w:t>经费支出。</w:t>
      </w:r>
    </w:p>
    <w:p>
      <w:pPr>
        <w:adjustRightInd w:val="0"/>
        <w:snapToGrid w:val="0"/>
        <w:spacing w:line="560" w:lineRule="exact"/>
        <w:ind w:firstLine="720"/>
        <w:rPr>
          <w:rFonts w:ascii="楷体" w:hAnsi="楷体" w:eastAsia="楷体" w:cs="楷体"/>
          <w:b/>
          <w:bCs/>
          <w:sz w:val="32"/>
          <w:szCs w:val="32"/>
          <w:lang w:val="zh-CN"/>
        </w:rPr>
      </w:pPr>
      <w:r>
        <w:rPr>
          <w:rFonts w:hint="eastAsia" w:ascii="楷体" w:hAnsi="楷体" w:eastAsia="楷体" w:cs="楷体"/>
          <w:b/>
          <w:bCs/>
          <w:sz w:val="32"/>
          <w:szCs w:val="32"/>
          <w:lang w:val="zh-CN"/>
        </w:rPr>
        <w:t>（二）项目绩效目标</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1.主要内容。</w:t>
      </w:r>
      <w:r>
        <w:rPr>
          <w:rFonts w:hint="eastAsia" w:ascii="仿宋_GB2312" w:hAnsi="宋体" w:eastAsia="仿宋_GB2312" w:cs="宋体"/>
          <w:color w:val="000000"/>
          <w:kern w:val="0"/>
          <w:sz w:val="32"/>
          <w:szCs w:val="32"/>
          <w:shd w:val="clear" w:color="auto" w:fill="FFFFFF"/>
          <w:lang w:val="zh-CN"/>
        </w:rPr>
        <w:t>一是精准对象认定，减少救助成本;二是提高社会救助对象政策知晓度、大力发展</w:t>
      </w:r>
      <w:r>
        <w:rPr>
          <w:rFonts w:hint="eastAsia" w:ascii="仿宋_GB2312" w:hAnsi="宋体" w:eastAsia="仿宋_GB2312" w:cs="宋体"/>
          <w:color w:val="000000"/>
          <w:kern w:val="0"/>
          <w:sz w:val="32"/>
          <w:szCs w:val="32"/>
          <w:shd w:val="clear" w:color="auto" w:fill="FFFFFF"/>
        </w:rPr>
        <w:t>社会救助、社会福利、儿童福利等</w:t>
      </w:r>
      <w:r>
        <w:rPr>
          <w:rFonts w:hint="eastAsia" w:ascii="仿宋_GB2312" w:hAnsi="宋体" w:eastAsia="仿宋_GB2312" w:cs="宋体"/>
          <w:color w:val="000000"/>
          <w:kern w:val="0"/>
          <w:sz w:val="32"/>
          <w:szCs w:val="32"/>
          <w:shd w:val="clear" w:color="auto" w:fill="FFFFFF"/>
          <w:lang w:val="zh-CN"/>
        </w:rPr>
        <w:t>购买服务，促进民政事业科学发展;三是救助资金</w:t>
      </w:r>
      <w:r>
        <w:rPr>
          <w:rFonts w:hint="eastAsia" w:ascii="仿宋_GB2312" w:hAnsi="宋体" w:eastAsia="仿宋_GB2312" w:cs="宋体"/>
          <w:color w:val="000000"/>
          <w:kern w:val="0"/>
          <w:sz w:val="32"/>
          <w:szCs w:val="32"/>
          <w:shd w:val="clear" w:color="auto" w:fill="FFFFFF"/>
        </w:rPr>
        <w:t>分配、到位、使用情况的绩效评价</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四</w:t>
      </w:r>
      <w:r>
        <w:rPr>
          <w:rFonts w:hint="eastAsia" w:ascii="仿宋_GB2312" w:hAnsi="宋体" w:eastAsia="仿宋_GB2312" w:cs="宋体"/>
          <w:color w:val="000000"/>
          <w:kern w:val="0"/>
          <w:sz w:val="32"/>
          <w:szCs w:val="32"/>
          <w:shd w:val="clear" w:color="auto" w:fill="FFFFFF"/>
          <w:lang w:val="zh-CN"/>
        </w:rPr>
        <w:t>是救助政策</w:t>
      </w:r>
      <w:r>
        <w:rPr>
          <w:rFonts w:hint="eastAsia" w:ascii="仿宋_GB2312" w:hAnsi="宋体" w:eastAsia="仿宋_GB2312" w:cs="宋体"/>
          <w:color w:val="000000"/>
          <w:kern w:val="0"/>
          <w:sz w:val="32"/>
          <w:szCs w:val="32"/>
          <w:shd w:val="clear" w:color="auto" w:fill="FFFFFF"/>
        </w:rPr>
        <w:t>宣传，提高民众</w:t>
      </w:r>
      <w:r>
        <w:rPr>
          <w:rFonts w:hint="eastAsia" w:ascii="仿宋_GB2312" w:hAnsi="宋体" w:eastAsia="仿宋_GB2312" w:cs="宋体"/>
          <w:color w:val="000000"/>
          <w:kern w:val="0"/>
          <w:sz w:val="32"/>
          <w:szCs w:val="32"/>
          <w:shd w:val="clear" w:color="auto" w:fill="FFFFFF"/>
          <w:lang w:val="zh-CN"/>
        </w:rPr>
        <w:t>知晓度和满意度。</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2.绩效目标。</w:t>
      </w:r>
      <w:r>
        <w:rPr>
          <w:rFonts w:hint="eastAsia" w:ascii="仿宋_GB2312" w:hAnsi="宋体" w:eastAsia="仿宋_GB2312" w:cs="宋体"/>
          <w:color w:val="000000"/>
          <w:kern w:val="0"/>
          <w:sz w:val="32"/>
          <w:szCs w:val="32"/>
          <w:shd w:val="clear" w:color="auto" w:fill="FFFFFF"/>
        </w:rPr>
        <w:t>本项目资金用于</w:t>
      </w:r>
      <w:r>
        <w:rPr>
          <w:rFonts w:hint="eastAsia" w:ascii="仿宋_GB2312" w:hAnsi="宋体" w:eastAsia="仿宋_GB2312" w:cs="宋体"/>
          <w:color w:val="000000"/>
          <w:kern w:val="0"/>
          <w:sz w:val="32"/>
          <w:szCs w:val="32"/>
          <w:shd w:val="clear" w:color="auto" w:fill="FFFFFF"/>
          <w:lang w:val="zh-CN"/>
        </w:rPr>
        <w:t>提高社会救助对象政策知晓度、促进民政事业科学发展</w:t>
      </w:r>
      <w:r>
        <w:rPr>
          <w:rFonts w:hint="eastAsia"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lang w:val="zh-CN"/>
        </w:rPr>
        <w:t>大力发展社工购买服务、</w:t>
      </w:r>
      <w:r>
        <w:rPr>
          <w:rFonts w:hint="eastAsia" w:ascii="仿宋_GB2312" w:hAnsi="宋体" w:eastAsia="仿宋_GB2312" w:cs="宋体"/>
          <w:color w:val="000000"/>
          <w:kern w:val="0"/>
          <w:sz w:val="32"/>
          <w:szCs w:val="32"/>
          <w:shd w:val="clear" w:color="auto" w:fill="FFFFFF"/>
        </w:rPr>
        <w:t>使</w:t>
      </w:r>
      <w:r>
        <w:rPr>
          <w:rFonts w:hint="eastAsia" w:ascii="仿宋_GB2312" w:hAnsi="宋体" w:eastAsia="仿宋_GB2312" w:cs="宋体"/>
          <w:color w:val="000000"/>
          <w:kern w:val="0"/>
          <w:sz w:val="32"/>
          <w:szCs w:val="32"/>
          <w:shd w:val="clear" w:color="auto" w:fill="FFFFFF"/>
          <w:lang w:val="zh-CN"/>
        </w:rPr>
        <w:t>社会救助服务能力增强</w:t>
      </w:r>
      <w:r>
        <w:rPr>
          <w:rFonts w:hint="eastAsia" w:ascii="仿宋_GB2312" w:hAnsi="宋体" w:eastAsia="仿宋_GB2312" w:cs="宋体"/>
          <w:color w:val="000000"/>
          <w:kern w:val="0"/>
          <w:sz w:val="32"/>
          <w:szCs w:val="32"/>
          <w:shd w:val="clear" w:color="auto" w:fill="FFFFFF"/>
        </w:rPr>
        <w:t>；在</w:t>
      </w:r>
      <w:r>
        <w:rPr>
          <w:rFonts w:hint="eastAsia" w:ascii="仿宋_GB2312" w:hAnsi="宋体" w:eastAsia="仿宋_GB2312" w:cs="宋体"/>
          <w:color w:val="000000"/>
          <w:kern w:val="0"/>
          <w:sz w:val="32"/>
          <w:szCs w:val="32"/>
          <w:shd w:val="clear" w:color="auto" w:fill="FFFFFF"/>
          <w:lang w:val="zh-CN"/>
        </w:rPr>
        <w:t>对象认定精准</w:t>
      </w:r>
      <w:r>
        <w:rPr>
          <w:rFonts w:hint="eastAsia" w:ascii="仿宋_GB2312" w:hAnsi="宋体" w:eastAsia="仿宋_GB2312" w:cs="宋体"/>
          <w:color w:val="000000"/>
          <w:kern w:val="0"/>
          <w:sz w:val="32"/>
          <w:szCs w:val="32"/>
          <w:shd w:val="clear" w:color="auto" w:fill="FFFFFF"/>
        </w:rPr>
        <w:t>的基础上</w:t>
      </w:r>
      <w:r>
        <w:rPr>
          <w:rFonts w:hint="eastAsia" w:ascii="仿宋_GB2312" w:hAnsi="宋体" w:eastAsia="仿宋_GB2312" w:cs="宋体"/>
          <w:color w:val="000000"/>
          <w:kern w:val="0"/>
          <w:sz w:val="32"/>
          <w:szCs w:val="32"/>
          <w:shd w:val="clear" w:color="auto" w:fill="FFFFFF"/>
          <w:lang w:val="zh-CN"/>
        </w:rPr>
        <w:t>，减少救助成本，</w:t>
      </w:r>
      <w:r>
        <w:rPr>
          <w:rFonts w:hint="eastAsia" w:ascii="仿宋_GB2312" w:hAnsi="宋体" w:eastAsia="仿宋_GB2312" w:cs="宋体"/>
          <w:color w:val="000000"/>
          <w:kern w:val="0"/>
          <w:sz w:val="32"/>
          <w:szCs w:val="32"/>
          <w:shd w:val="clear" w:color="auto" w:fill="FFFFFF"/>
        </w:rPr>
        <w:t>从而</w:t>
      </w:r>
      <w:r>
        <w:rPr>
          <w:rFonts w:hint="eastAsia" w:ascii="仿宋_GB2312" w:hAnsi="宋体" w:eastAsia="仿宋_GB2312" w:cs="宋体"/>
          <w:color w:val="000000"/>
          <w:kern w:val="0"/>
          <w:sz w:val="32"/>
          <w:szCs w:val="32"/>
          <w:shd w:val="clear" w:color="auto" w:fill="FFFFFF"/>
          <w:lang w:val="zh-CN"/>
        </w:rPr>
        <w:t>促进社会救助工作精准化、规范化发展。</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b/>
          <w:bCs/>
          <w:color w:val="000000"/>
          <w:kern w:val="0"/>
          <w:sz w:val="32"/>
          <w:szCs w:val="32"/>
          <w:shd w:val="clear" w:color="auto" w:fill="FFFFFF"/>
          <w:lang w:val="zh-CN"/>
        </w:rPr>
        <w:t>3.</w:t>
      </w:r>
      <w:r>
        <w:rPr>
          <w:rFonts w:hint="eastAsia" w:ascii="仿宋_GB2312" w:hAnsi="宋体" w:eastAsia="仿宋_GB2312" w:cs="宋体"/>
          <w:b/>
          <w:bCs/>
          <w:color w:val="000000"/>
          <w:kern w:val="0"/>
          <w:sz w:val="32"/>
          <w:szCs w:val="32"/>
          <w:shd w:val="clear" w:color="auto" w:fill="FFFFFF"/>
        </w:rPr>
        <w:t>项目资金申报相符性。</w:t>
      </w:r>
      <w:r>
        <w:rPr>
          <w:rFonts w:hint="eastAsia" w:ascii="仿宋_GB2312" w:hAnsi="宋体" w:eastAsia="仿宋_GB2312" w:cs="宋体"/>
          <w:color w:val="000000"/>
          <w:kern w:val="0"/>
          <w:sz w:val="32"/>
          <w:szCs w:val="32"/>
          <w:shd w:val="clear" w:color="auto" w:fill="FFFFFF"/>
        </w:rPr>
        <w:t>该项目申报内容与具体实施相符。申报目标与实际工作开展相结合。一是2019年救助资金使用是否规范完整，救助资金是否到户到人、本人领用，救助资金是否按月发放，救助资金有无被抵扣用于贷款担保等，县区救助价格补贴是否发放到位;二是救助申请审核审批程序是否规范完整;三是救助资金匹配情况是否到位;四是临时救助资金到乡镇使用情况;五是救助政策动态调整管理是否落实到位;六是救助政策知晓度和满意度情况;七是特殊困难家庭是否存在漏保、脱保情形;八是残疾人两项补贴(重度残疾护理补贴、低保残疾生活补)是否到位。</w:t>
      </w:r>
      <w:r>
        <w:rPr>
          <w:rFonts w:hint="eastAsia" w:ascii="仿宋_GB2312" w:hAnsi="宋体" w:eastAsia="仿宋_GB2312" w:cs="宋体"/>
          <w:color w:val="000000"/>
          <w:kern w:val="0"/>
          <w:sz w:val="32"/>
          <w:szCs w:val="32"/>
          <w:shd w:val="clear" w:color="auto" w:fill="FFFFFF"/>
          <w:lang w:val="zh-CN"/>
        </w:rPr>
        <w:t>将</w:t>
      </w:r>
      <w:r>
        <w:rPr>
          <w:rFonts w:hint="eastAsia" w:ascii="仿宋_GB2312" w:hAnsi="宋体" w:eastAsia="仿宋_GB2312" w:cs="宋体"/>
          <w:color w:val="000000"/>
          <w:kern w:val="0"/>
          <w:sz w:val="32"/>
          <w:szCs w:val="32"/>
          <w:shd w:val="clear" w:color="auto" w:fill="FFFFFF"/>
        </w:rPr>
        <w:t>政府购买社会救助政策落实绩效评价服务</w:t>
      </w:r>
      <w:r>
        <w:rPr>
          <w:rFonts w:hint="eastAsia" w:ascii="仿宋_GB2312" w:hAnsi="宋体" w:eastAsia="仿宋_GB2312" w:cs="宋体"/>
          <w:color w:val="000000"/>
          <w:kern w:val="0"/>
          <w:sz w:val="32"/>
          <w:szCs w:val="32"/>
          <w:shd w:val="clear" w:color="auto" w:fill="FFFFFF"/>
          <w:lang w:val="zh-CN"/>
        </w:rPr>
        <w:t>纳入</w:t>
      </w:r>
      <w:r>
        <w:rPr>
          <w:rFonts w:hint="eastAsia" w:ascii="仿宋_GB2312" w:hAnsi="宋体" w:eastAsia="仿宋_GB2312" w:cs="宋体"/>
          <w:color w:val="000000"/>
          <w:kern w:val="0"/>
          <w:sz w:val="32"/>
          <w:szCs w:val="32"/>
          <w:shd w:val="clear" w:color="auto" w:fill="FFFFFF"/>
        </w:rPr>
        <w:t>2019年部门预算项目支出绩效目标申报。</w:t>
      </w:r>
    </w:p>
    <w:p>
      <w:pPr>
        <w:adjustRightInd w:val="0"/>
        <w:snapToGrid w:val="0"/>
        <w:spacing w:line="560" w:lineRule="exact"/>
        <w:ind w:firstLine="720"/>
        <w:rPr>
          <w:rFonts w:ascii="黑体" w:hAnsi="宋体" w:eastAsia="黑体"/>
          <w:b/>
          <w:bCs/>
          <w:sz w:val="32"/>
          <w:szCs w:val="32"/>
        </w:rPr>
      </w:pPr>
      <w:r>
        <w:rPr>
          <w:rFonts w:hint="eastAsia" w:ascii="黑体" w:hAnsi="宋体" w:eastAsia="黑体"/>
          <w:b/>
          <w:bCs/>
          <w:sz w:val="32"/>
          <w:szCs w:val="32"/>
        </w:rPr>
        <w:t>二、项目资金申报及使用情况</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楷体" w:hAnsi="楷体" w:eastAsia="楷体" w:cs="楷体"/>
          <w:b/>
          <w:bCs/>
          <w:sz w:val="32"/>
          <w:szCs w:val="32"/>
          <w:lang w:val="zh-CN"/>
        </w:rPr>
        <w:t>（一）项目资金申报及批复情况。</w:t>
      </w:r>
      <w:r>
        <w:rPr>
          <w:rFonts w:hint="eastAsia" w:ascii="仿宋_GB2312" w:hAnsi="宋体" w:eastAsia="仿宋_GB2312" w:cs="宋体"/>
          <w:color w:val="000000"/>
          <w:kern w:val="0"/>
          <w:sz w:val="32"/>
          <w:szCs w:val="32"/>
          <w:shd w:val="clear" w:color="auto" w:fill="FFFFFF"/>
        </w:rPr>
        <w:t>该项目服务经费2019年我局申报项目绩效金额为30万元，财政一般公共预算安排资金30万元，通过巴财预[2019]1号文件批复年初预算，资金到位100%。</w:t>
      </w:r>
    </w:p>
    <w:p>
      <w:pPr>
        <w:adjustRightInd w:val="0"/>
        <w:snapToGrid w:val="0"/>
        <w:spacing w:line="560" w:lineRule="exact"/>
        <w:ind w:firstLine="720"/>
        <w:rPr>
          <w:rFonts w:ascii="楷体" w:hAnsi="楷体" w:eastAsia="楷体" w:cs="楷体"/>
          <w:b/>
          <w:bCs/>
          <w:sz w:val="32"/>
          <w:szCs w:val="32"/>
          <w:lang w:val="zh-CN"/>
        </w:rPr>
      </w:pPr>
      <w:r>
        <w:rPr>
          <w:rFonts w:hint="eastAsia" w:ascii="楷体" w:hAnsi="楷体" w:eastAsia="楷体" w:cs="楷体"/>
          <w:b/>
          <w:bCs/>
          <w:sz w:val="32"/>
          <w:szCs w:val="32"/>
          <w:lang w:val="zh-CN"/>
        </w:rPr>
        <w:t>（二）资金计划、到位及使用情况</w:t>
      </w:r>
    </w:p>
    <w:p>
      <w:pPr>
        <w:pStyle w:val="7"/>
        <w:spacing w:after="0" w:line="560" w:lineRule="exact"/>
        <w:ind w:left="0" w:leftChars="0" w:firstLine="643" w:firstLineChars="200"/>
        <w:rPr>
          <w:rFonts w:hAnsi="宋体" w:cs="宋体"/>
          <w:color w:val="000000"/>
          <w:kern w:val="0"/>
          <w:shd w:val="clear" w:color="auto" w:fill="FFFFFF"/>
          <w:lang w:val="zh-CN"/>
        </w:rPr>
      </w:pPr>
      <w:r>
        <w:rPr>
          <w:rFonts w:hint="eastAsia" w:hAnsi="宋体" w:cs="宋体"/>
          <w:b/>
          <w:bCs/>
          <w:color w:val="000000"/>
          <w:kern w:val="0"/>
          <w:shd w:val="clear" w:color="auto" w:fill="FFFFFF"/>
          <w:lang w:val="zh-CN"/>
        </w:rPr>
        <w:t>1．资金计划。</w:t>
      </w:r>
      <w:r>
        <w:rPr>
          <w:rFonts w:hint="eastAsia" w:hAnsi="宋体" w:cs="宋体"/>
          <w:color w:val="000000"/>
          <w:kern w:val="0"/>
          <w:shd w:val="clear" w:color="auto" w:fill="FFFFFF"/>
        </w:rPr>
        <w:t>2019年度我局申报政府购买社会救助服务等经费项目金额为30万元，明确要求按规定和程序做好的项目资金使用和项目的实施，确保达到预期目标。</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b/>
          <w:bCs/>
          <w:color w:val="000000"/>
          <w:kern w:val="0"/>
          <w:sz w:val="32"/>
          <w:szCs w:val="32"/>
          <w:shd w:val="clear" w:color="auto" w:fill="FFFFFF"/>
          <w:lang w:val="zh-CN"/>
        </w:rPr>
        <w:t>2．资金到位。</w:t>
      </w:r>
      <w:r>
        <w:rPr>
          <w:rFonts w:hint="eastAsia" w:ascii="仿宋_GB2312" w:hAnsi="宋体" w:eastAsia="仿宋_GB2312" w:cs="宋体"/>
          <w:color w:val="000000"/>
          <w:kern w:val="0"/>
          <w:sz w:val="32"/>
          <w:szCs w:val="32"/>
          <w:shd w:val="clear" w:color="auto" w:fill="FFFFFF"/>
          <w:lang w:val="zh-CN"/>
        </w:rPr>
        <w:t>该项目资金计划经</w:t>
      </w:r>
      <w:r>
        <w:rPr>
          <w:rFonts w:hint="eastAsia" w:ascii="仿宋_GB2312" w:hAnsi="宋体" w:eastAsia="仿宋_GB2312" w:cs="宋体"/>
          <w:color w:val="000000"/>
          <w:kern w:val="0"/>
          <w:sz w:val="32"/>
          <w:szCs w:val="32"/>
          <w:shd w:val="clear" w:color="auto" w:fill="FFFFFF"/>
        </w:rPr>
        <w:t>《巴中市财政局关于批复2019年市级部门预算的通知》已下达项目经费中，到位率100%。</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3.资金使用。</w:t>
      </w:r>
      <w:r>
        <w:rPr>
          <w:rFonts w:hint="eastAsia" w:ascii="仿宋_GB2312" w:hAnsi="宋体" w:eastAsia="仿宋_GB2312" w:cs="宋体"/>
          <w:color w:val="000000"/>
          <w:kern w:val="0"/>
          <w:sz w:val="32"/>
          <w:szCs w:val="32"/>
          <w:shd w:val="clear" w:color="auto" w:fill="FFFFFF"/>
        </w:rPr>
        <w:t>2019年度该项目下达预算30万元。一是使用金额为16.34万元</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主要用于</w:t>
      </w:r>
      <w:r>
        <w:rPr>
          <w:rFonts w:hint="eastAsia" w:ascii="仿宋_GB2312" w:hAnsi="宋体" w:eastAsia="仿宋_GB2312" w:cs="宋体"/>
          <w:color w:val="000000"/>
          <w:kern w:val="0"/>
          <w:sz w:val="32"/>
          <w:szCs w:val="32"/>
          <w:shd w:val="clear" w:color="auto" w:fill="FFFFFF"/>
          <w:lang w:val="zh-CN"/>
        </w:rPr>
        <w:t>困境儿童救助、</w:t>
      </w:r>
      <w:r>
        <w:rPr>
          <w:rFonts w:hint="eastAsia" w:ascii="仿宋_GB2312" w:hAnsi="宋体" w:eastAsia="仿宋_GB2312" w:cs="宋体"/>
          <w:color w:val="000000"/>
          <w:kern w:val="0"/>
          <w:sz w:val="32"/>
          <w:szCs w:val="32"/>
          <w:shd w:val="clear" w:color="auto" w:fill="FFFFFF"/>
        </w:rPr>
        <w:t>蓝天救援服务、两微信息平台、新闻媒体救助政策宣传、绩效评价等支出；二是2019年结余资金为13.66万元，主要用于购买第三方服务机构对救助政策绩效评价。该项目合同金额为16.90万元，因受疫情影响未进行，故费用未进行结算，待验收合格后再进行支付）</w:t>
      </w:r>
      <w:r>
        <w:rPr>
          <w:rFonts w:hint="eastAsia" w:ascii="仿宋_GB2312" w:hAnsi="宋体" w:eastAsia="仿宋_GB2312" w:cs="宋体"/>
          <w:color w:val="000000"/>
          <w:kern w:val="0"/>
          <w:sz w:val="32"/>
          <w:szCs w:val="32"/>
          <w:shd w:val="clear" w:color="auto" w:fill="FFFFFF"/>
          <w:lang w:val="zh-CN"/>
        </w:rPr>
        <w:t>。</w:t>
      </w:r>
    </w:p>
    <w:p>
      <w:pPr>
        <w:adjustRightInd w:val="0"/>
        <w:snapToGrid w:val="0"/>
        <w:spacing w:line="560" w:lineRule="exact"/>
        <w:ind w:firstLine="720"/>
        <w:rPr>
          <w:rFonts w:ascii="楷体" w:hAnsi="楷体" w:eastAsia="楷体" w:cs="楷体"/>
          <w:b/>
          <w:bCs/>
          <w:sz w:val="32"/>
          <w:szCs w:val="32"/>
          <w:lang w:val="zh-CN"/>
        </w:rPr>
      </w:pPr>
      <w:r>
        <w:rPr>
          <w:rFonts w:hint="eastAsia" w:ascii="楷体" w:hAnsi="楷体" w:eastAsia="楷体" w:cs="楷体"/>
          <w:b/>
          <w:bCs/>
          <w:sz w:val="32"/>
          <w:szCs w:val="32"/>
          <w:lang w:val="zh-CN"/>
        </w:rPr>
        <w:t>（三）项目财务管理情况</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健立建全财务管理制度，制定了《巴中市民政局</w:t>
      </w:r>
      <w:r>
        <w:rPr>
          <w:rFonts w:hint="eastAsia" w:ascii="仿宋_GB2312" w:hAnsi="宋体" w:eastAsia="仿宋_GB2312" w:cs="宋体"/>
          <w:color w:val="000000"/>
          <w:kern w:val="0"/>
          <w:sz w:val="32"/>
          <w:szCs w:val="32"/>
          <w:shd w:val="clear" w:color="auto" w:fill="FFFFFF"/>
        </w:rPr>
        <w:t>财务管理办法</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和六大经济业务的《巴中市民政局内部控制手册》</w:t>
      </w:r>
      <w:r>
        <w:rPr>
          <w:rFonts w:hint="eastAsia" w:ascii="仿宋_GB2312" w:hAnsi="宋体" w:eastAsia="仿宋_GB2312" w:cs="宋体"/>
          <w:color w:val="000000"/>
          <w:kern w:val="0"/>
          <w:sz w:val="32"/>
          <w:szCs w:val="32"/>
          <w:shd w:val="clear" w:color="auto" w:fill="FFFFFF"/>
          <w:lang w:val="zh-CN"/>
        </w:rPr>
        <w:t>，对项目实施中进行全程监督管理，</w:t>
      </w:r>
      <w:r>
        <w:rPr>
          <w:rFonts w:hint="eastAsia" w:ascii="仿宋_GB2312" w:hAnsi="宋体" w:eastAsia="仿宋_GB2312" w:cs="宋体"/>
          <w:color w:val="000000"/>
          <w:kern w:val="0"/>
          <w:sz w:val="32"/>
          <w:szCs w:val="32"/>
          <w:shd w:val="clear" w:color="auto" w:fill="FFFFFF"/>
        </w:rPr>
        <w:t>资金支付和</w:t>
      </w:r>
      <w:r>
        <w:rPr>
          <w:rFonts w:hint="eastAsia" w:ascii="仿宋_GB2312" w:hAnsi="宋体" w:eastAsia="仿宋_GB2312" w:cs="宋体"/>
          <w:color w:val="000000"/>
          <w:kern w:val="0"/>
          <w:sz w:val="32"/>
          <w:szCs w:val="32"/>
          <w:shd w:val="clear" w:color="auto" w:fill="FFFFFF"/>
          <w:lang w:val="zh-CN"/>
        </w:rPr>
        <w:t>会计核算规范。</w:t>
      </w:r>
    </w:p>
    <w:p>
      <w:pPr>
        <w:adjustRightInd w:val="0"/>
        <w:snapToGrid w:val="0"/>
        <w:spacing w:line="560" w:lineRule="exact"/>
        <w:ind w:firstLine="720"/>
        <w:rPr>
          <w:rFonts w:ascii="黑体" w:hAnsi="宋体" w:eastAsia="黑体"/>
          <w:b/>
          <w:bCs/>
          <w:sz w:val="32"/>
          <w:szCs w:val="32"/>
        </w:rPr>
      </w:pPr>
      <w:r>
        <w:rPr>
          <w:rFonts w:hint="eastAsia" w:ascii="黑体" w:hAnsi="宋体" w:eastAsia="黑体"/>
          <w:b/>
          <w:bCs/>
          <w:sz w:val="32"/>
          <w:szCs w:val="32"/>
        </w:rPr>
        <w:t>三、项目实施及管理情况</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楷体" w:hAnsi="楷体" w:eastAsia="楷体" w:cs="楷体"/>
          <w:b/>
          <w:bCs/>
          <w:sz w:val="32"/>
          <w:szCs w:val="32"/>
          <w:lang w:val="zh-CN"/>
        </w:rPr>
        <w:t>（一）项目组织架构及实施流程。</w:t>
      </w:r>
      <w:r>
        <w:rPr>
          <w:rFonts w:hint="eastAsia" w:ascii="仿宋_GB2312" w:hAnsi="宋体" w:eastAsia="仿宋_GB2312" w:cs="宋体"/>
          <w:color w:val="000000"/>
          <w:kern w:val="0"/>
          <w:sz w:val="32"/>
          <w:szCs w:val="32"/>
          <w:shd w:val="clear" w:color="auto" w:fill="FFFFFF"/>
        </w:rPr>
        <w:t>一是救助救济政策宣传、绩效评价、购买服务发生前制定方案，金额5万元以上报局党会研究；二是购买服务承接对象的选择严格按政府采购程序或内控制度执行；三是规范签订购买服务合同，项目结束后严格按照合同组织验收并支付资金。</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楷体" w:hAnsi="楷体" w:eastAsia="楷体" w:cs="楷体"/>
          <w:b/>
          <w:bCs/>
          <w:sz w:val="32"/>
          <w:szCs w:val="32"/>
          <w:lang w:val="zh-CN"/>
        </w:rPr>
        <w:t>（二）项目管理情况。</w:t>
      </w:r>
      <w:r>
        <w:rPr>
          <w:rFonts w:hint="eastAsia" w:ascii="仿宋_GB2312" w:hAnsi="宋体" w:eastAsia="仿宋_GB2312" w:cs="宋体"/>
          <w:color w:val="000000"/>
          <w:kern w:val="0"/>
          <w:sz w:val="32"/>
          <w:szCs w:val="32"/>
          <w:shd w:val="clear" w:color="auto" w:fill="FFFFFF"/>
          <w:lang w:val="zh-CN"/>
        </w:rPr>
        <w:t>项目实施单位严格执行相关法律法规及项目管理制度，按要求完成项目招标、项目公示等程序，项目实施合法规范。</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楷体" w:hAnsi="楷体" w:eastAsia="楷体" w:cs="楷体"/>
          <w:b/>
          <w:bCs/>
          <w:sz w:val="32"/>
          <w:szCs w:val="32"/>
          <w:lang w:val="zh-CN"/>
        </w:rPr>
        <w:t>（三）项目监管情况。</w:t>
      </w:r>
      <w:r>
        <w:rPr>
          <w:rFonts w:hint="eastAsia" w:ascii="仿宋_GB2312" w:hAnsi="宋体" w:eastAsia="仿宋_GB2312" w:cs="宋体"/>
          <w:color w:val="000000"/>
          <w:kern w:val="0"/>
          <w:sz w:val="32"/>
          <w:szCs w:val="32"/>
          <w:shd w:val="clear" w:color="auto" w:fill="FFFFFF"/>
          <w:lang w:val="zh-CN"/>
        </w:rPr>
        <w:t>项目在局机关纪委、局规划财务科的全程监督下实施，对项目进展、项目实时推进、项目目标完成情况进行适时监督管理。在项目推进中，局救助科落实专人同服务方一同深入到项目各地，全程指导绩效评价开展，全面保证了项目实施的准确性和真实性。</w:t>
      </w:r>
    </w:p>
    <w:p>
      <w:pPr>
        <w:adjustRightInd w:val="0"/>
        <w:snapToGrid w:val="0"/>
        <w:spacing w:line="560" w:lineRule="exact"/>
        <w:ind w:firstLine="720"/>
        <w:rPr>
          <w:rFonts w:ascii="黑体" w:hAnsi="宋体" w:eastAsia="黑体"/>
          <w:b/>
          <w:bCs/>
          <w:sz w:val="32"/>
          <w:szCs w:val="32"/>
          <w:lang w:val="zh-CN"/>
        </w:rPr>
      </w:pPr>
      <w:r>
        <w:rPr>
          <w:rFonts w:hint="eastAsia" w:ascii="黑体" w:hAnsi="宋体" w:eastAsia="黑体"/>
          <w:b/>
          <w:bCs/>
          <w:sz w:val="32"/>
          <w:szCs w:val="32"/>
        </w:rPr>
        <w:t>四、目标及绩效完成情况</w:t>
      </w:r>
      <w:r>
        <w:rPr>
          <w:rFonts w:hint="eastAsia" w:ascii="黑体" w:hAnsi="宋体" w:eastAsia="黑体"/>
          <w:b/>
          <w:bCs/>
          <w:sz w:val="32"/>
          <w:szCs w:val="32"/>
          <w:lang w:val="zh-CN"/>
        </w:rPr>
        <w:tab/>
      </w:r>
    </w:p>
    <w:p>
      <w:pPr>
        <w:adjustRightInd w:val="0"/>
        <w:snapToGrid w:val="0"/>
        <w:spacing w:line="560" w:lineRule="exact"/>
        <w:ind w:firstLine="720"/>
        <w:rPr>
          <w:rFonts w:ascii="楷体" w:hAnsi="楷体" w:eastAsia="楷体" w:cs="楷体"/>
          <w:b/>
          <w:bCs/>
          <w:sz w:val="32"/>
          <w:szCs w:val="32"/>
          <w:lang w:val="zh-CN"/>
        </w:rPr>
      </w:pPr>
      <w:r>
        <w:rPr>
          <w:rFonts w:hint="eastAsia" w:ascii="楷体" w:hAnsi="楷体" w:eastAsia="楷体" w:cs="楷体"/>
          <w:b/>
          <w:bCs/>
          <w:sz w:val="32"/>
          <w:szCs w:val="32"/>
          <w:lang w:val="zh-CN"/>
        </w:rPr>
        <w:t>（一）目标任务完成情况</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b/>
          <w:bCs/>
          <w:color w:val="000000"/>
          <w:kern w:val="0"/>
          <w:sz w:val="32"/>
          <w:szCs w:val="32"/>
          <w:shd w:val="clear" w:color="auto" w:fill="FFFFFF"/>
          <w:lang w:val="zh-CN"/>
        </w:rPr>
        <w:t>1.目标任务量完成情况</w:t>
      </w:r>
      <w:r>
        <w:rPr>
          <w:rFonts w:hint="eastAsia" w:ascii="仿宋_GB2312" w:hAnsi="仿宋_GB2312" w:eastAsia="仿宋_GB2312" w:cs="仿宋_GB2312"/>
          <w:szCs w:val="32"/>
          <w:lang w:val="zh-CN"/>
        </w:rPr>
        <w:t>。</w:t>
      </w:r>
      <w:r>
        <w:rPr>
          <w:rFonts w:hint="eastAsia" w:ascii="仿宋_GB2312" w:hAnsi="宋体" w:eastAsia="仿宋_GB2312" w:cs="宋体"/>
          <w:color w:val="000000"/>
          <w:kern w:val="0"/>
          <w:sz w:val="32"/>
          <w:szCs w:val="32"/>
          <w:shd w:val="clear" w:color="auto" w:fill="FFFFFF"/>
          <w:lang w:val="zh-CN"/>
        </w:rPr>
        <w:t>截至2019年12月底，</w:t>
      </w:r>
      <w:r>
        <w:rPr>
          <w:rFonts w:hint="eastAsia" w:ascii="仿宋_GB2312" w:hAnsi="宋体" w:eastAsia="仿宋_GB2312" w:cs="宋体"/>
          <w:color w:val="000000"/>
          <w:kern w:val="0"/>
          <w:sz w:val="32"/>
          <w:szCs w:val="32"/>
          <w:shd w:val="clear" w:color="auto" w:fill="FFFFFF"/>
        </w:rPr>
        <w:t>完成</w:t>
      </w:r>
      <w:r>
        <w:rPr>
          <w:rFonts w:hint="eastAsia" w:ascii="仿宋_GB2312" w:hAnsi="宋体" w:eastAsia="仿宋_GB2312" w:cs="宋体"/>
          <w:color w:val="000000"/>
          <w:kern w:val="0"/>
          <w:sz w:val="32"/>
          <w:szCs w:val="32"/>
          <w:shd w:val="clear" w:color="auto" w:fill="FFFFFF"/>
          <w:lang w:val="zh-CN"/>
        </w:rPr>
        <w:t>困境儿童救助、临时救助工作的对象排查、家庭调查</w:t>
      </w:r>
      <w:r>
        <w:rPr>
          <w:rFonts w:hint="eastAsia"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lang w:val="zh-CN"/>
        </w:rPr>
        <w:t>微信、报刊、网络媒体</w:t>
      </w:r>
      <w:r>
        <w:rPr>
          <w:rFonts w:hint="eastAsia" w:ascii="仿宋_GB2312" w:hAnsi="宋体" w:eastAsia="仿宋_GB2312" w:cs="宋体"/>
          <w:color w:val="000000"/>
          <w:kern w:val="0"/>
          <w:sz w:val="32"/>
          <w:szCs w:val="32"/>
          <w:shd w:val="clear" w:color="auto" w:fill="FFFFFF"/>
        </w:rPr>
        <w:t>的宣传；购买第三方服务机构对社会救助政策进行绩效评价。</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2.目标质量完成情况。</w:t>
      </w:r>
      <w:r>
        <w:rPr>
          <w:rFonts w:hint="eastAsia" w:ascii="仿宋_GB2312" w:hAnsi="宋体" w:eastAsia="仿宋_GB2312" w:cs="宋体"/>
          <w:color w:val="000000"/>
          <w:kern w:val="0"/>
          <w:sz w:val="32"/>
          <w:szCs w:val="32"/>
          <w:shd w:val="clear" w:color="auto" w:fill="FFFFFF"/>
        </w:rPr>
        <w:t>该项目工作的开展达到</w:t>
      </w:r>
      <w:r>
        <w:rPr>
          <w:rFonts w:hint="eastAsia" w:ascii="仿宋_GB2312" w:hAnsi="宋体" w:eastAsia="仿宋_GB2312" w:cs="宋体"/>
          <w:color w:val="000000"/>
          <w:kern w:val="0"/>
          <w:sz w:val="32"/>
          <w:szCs w:val="32"/>
          <w:shd w:val="clear" w:color="auto" w:fill="FFFFFF"/>
          <w:lang w:val="zh-CN"/>
        </w:rPr>
        <w:t>精准对象认定，减少救助成本;提高</w:t>
      </w:r>
      <w:r>
        <w:rPr>
          <w:rFonts w:hint="eastAsia" w:ascii="仿宋_GB2312" w:hAnsi="宋体" w:eastAsia="仿宋_GB2312" w:cs="宋体"/>
          <w:color w:val="000000"/>
          <w:kern w:val="0"/>
          <w:sz w:val="32"/>
          <w:szCs w:val="32"/>
          <w:shd w:val="clear" w:color="auto" w:fill="FFFFFF"/>
        </w:rPr>
        <w:t>了</w:t>
      </w:r>
      <w:r>
        <w:rPr>
          <w:rFonts w:hint="eastAsia" w:ascii="仿宋_GB2312" w:hAnsi="宋体" w:eastAsia="仿宋_GB2312" w:cs="宋体"/>
          <w:color w:val="000000"/>
          <w:kern w:val="0"/>
          <w:sz w:val="32"/>
          <w:szCs w:val="32"/>
          <w:shd w:val="clear" w:color="auto" w:fill="FFFFFF"/>
          <w:lang w:val="zh-CN"/>
        </w:rPr>
        <w:t>社会救助对象</w:t>
      </w:r>
      <w:r>
        <w:rPr>
          <w:rFonts w:hint="eastAsia" w:ascii="仿宋_GB2312" w:hAnsi="宋体" w:eastAsia="仿宋_GB2312" w:cs="宋体"/>
          <w:color w:val="000000"/>
          <w:kern w:val="0"/>
          <w:sz w:val="32"/>
          <w:szCs w:val="32"/>
          <w:shd w:val="clear" w:color="auto" w:fill="FFFFFF"/>
        </w:rPr>
        <w:t>对</w:t>
      </w:r>
      <w:r>
        <w:rPr>
          <w:rFonts w:hint="eastAsia" w:ascii="仿宋_GB2312" w:hAnsi="宋体" w:eastAsia="仿宋_GB2312" w:cs="宋体"/>
          <w:color w:val="000000"/>
          <w:kern w:val="0"/>
          <w:sz w:val="32"/>
          <w:szCs w:val="32"/>
          <w:shd w:val="clear" w:color="auto" w:fill="FFFFFF"/>
          <w:lang w:val="zh-CN"/>
        </w:rPr>
        <w:t>政策知晓度、促进民政事业</w:t>
      </w:r>
      <w:r>
        <w:rPr>
          <w:rFonts w:hint="eastAsia" w:ascii="仿宋_GB2312" w:hAnsi="宋体" w:eastAsia="仿宋_GB2312" w:cs="宋体"/>
          <w:color w:val="000000"/>
          <w:kern w:val="0"/>
          <w:sz w:val="32"/>
          <w:szCs w:val="32"/>
          <w:shd w:val="clear" w:color="auto" w:fill="FFFFFF"/>
        </w:rPr>
        <w:t>的</w:t>
      </w:r>
      <w:r>
        <w:rPr>
          <w:rFonts w:hint="eastAsia" w:ascii="仿宋_GB2312" w:hAnsi="宋体" w:eastAsia="仿宋_GB2312" w:cs="宋体"/>
          <w:color w:val="000000"/>
          <w:kern w:val="0"/>
          <w:sz w:val="32"/>
          <w:szCs w:val="32"/>
          <w:shd w:val="clear" w:color="auto" w:fill="FFFFFF"/>
          <w:lang w:val="zh-CN"/>
        </w:rPr>
        <w:t>科学发展;</w:t>
      </w:r>
      <w:r>
        <w:rPr>
          <w:rFonts w:hint="eastAsia" w:ascii="仿宋_GB2312" w:hAnsi="宋体" w:eastAsia="仿宋_GB2312" w:cs="宋体"/>
          <w:color w:val="000000"/>
          <w:kern w:val="0"/>
          <w:sz w:val="32"/>
          <w:szCs w:val="32"/>
          <w:shd w:val="clear" w:color="auto" w:fill="FFFFFF"/>
        </w:rPr>
        <w:t>提升了社会各界</w:t>
      </w:r>
      <w:r>
        <w:rPr>
          <w:rFonts w:hint="eastAsia" w:ascii="仿宋_GB2312" w:hAnsi="宋体" w:eastAsia="仿宋_GB2312" w:cs="宋体"/>
          <w:color w:val="000000"/>
          <w:kern w:val="0"/>
          <w:sz w:val="32"/>
          <w:szCs w:val="32"/>
          <w:shd w:val="clear" w:color="auto" w:fill="FFFFFF"/>
          <w:lang w:val="zh-CN"/>
        </w:rPr>
        <w:t>救助政策知晓度和满意度。</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b/>
          <w:bCs/>
          <w:color w:val="000000"/>
          <w:kern w:val="0"/>
          <w:sz w:val="32"/>
          <w:szCs w:val="32"/>
          <w:shd w:val="clear" w:color="auto" w:fill="FFFFFF"/>
          <w:lang w:val="zh-CN"/>
        </w:rPr>
        <w:t>3.目标进度完成情况。</w:t>
      </w:r>
      <w:r>
        <w:rPr>
          <w:rFonts w:hint="eastAsia" w:ascii="仿宋_GB2312" w:hAnsi="宋体" w:eastAsia="仿宋_GB2312" w:cs="宋体"/>
          <w:color w:val="000000"/>
          <w:kern w:val="0"/>
          <w:sz w:val="32"/>
          <w:szCs w:val="32"/>
          <w:shd w:val="clear" w:color="auto" w:fill="FFFFFF"/>
          <w:lang w:val="zh-CN"/>
        </w:rPr>
        <w:t>截至2019年12月底，</w:t>
      </w:r>
      <w:r>
        <w:rPr>
          <w:rFonts w:hint="eastAsia" w:ascii="仿宋_GB2312" w:hAnsi="宋体" w:eastAsia="仿宋_GB2312" w:cs="宋体"/>
          <w:color w:val="000000"/>
          <w:kern w:val="0"/>
          <w:sz w:val="32"/>
          <w:szCs w:val="32"/>
          <w:shd w:val="clear" w:color="auto" w:fill="FFFFFF"/>
        </w:rPr>
        <w:t>该项目完成对</w:t>
      </w:r>
      <w:r>
        <w:rPr>
          <w:rFonts w:hint="eastAsia" w:ascii="仿宋_GB2312" w:hAnsi="宋体" w:eastAsia="仿宋_GB2312" w:cs="宋体"/>
          <w:color w:val="000000"/>
          <w:kern w:val="0"/>
          <w:sz w:val="32"/>
          <w:szCs w:val="32"/>
          <w:shd w:val="clear" w:color="auto" w:fill="FFFFFF"/>
          <w:lang w:val="zh-CN"/>
        </w:rPr>
        <w:t>困境儿童</w:t>
      </w:r>
      <w:r>
        <w:rPr>
          <w:rFonts w:hint="eastAsia" w:ascii="仿宋_GB2312" w:hAnsi="宋体" w:eastAsia="仿宋_GB2312" w:cs="宋体"/>
          <w:color w:val="000000"/>
          <w:kern w:val="0"/>
          <w:sz w:val="32"/>
          <w:szCs w:val="32"/>
          <w:shd w:val="clear" w:color="auto" w:fill="FFFFFF"/>
        </w:rPr>
        <w:t>关爱救助行动</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牵手计划”公益活动、社会救助代理招标及蓝天救援志愿协会的“9.5中华慈善日”、民政救助政策及法规法律媒体宣传等项目。</w:t>
      </w:r>
    </w:p>
    <w:p>
      <w:pPr>
        <w:adjustRightInd w:val="0"/>
        <w:snapToGrid w:val="0"/>
        <w:spacing w:line="560" w:lineRule="exact"/>
        <w:ind w:firstLine="720"/>
        <w:rPr>
          <w:rFonts w:ascii="楷体" w:hAnsi="楷体" w:eastAsia="楷体" w:cs="楷体"/>
          <w:b/>
          <w:bCs/>
          <w:sz w:val="32"/>
          <w:szCs w:val="32"/>
          <w:lang w:val="zh-CN"/>
        </w:rPr>
      </w:pPr>
      <w:r>
        <w:rPr>
          <w:rFonts w:hint="eastAsia" w:ascii="楷体" w:hAnsi="楷体" w:eastAsia="楷体" w:cs="楷体"/>
          <w:b/>
          <w:bCs/>
          <w:sz w:val="32"/>
          <w:szCs w:val="32"/>
          <w:lang w:val="zh-CN"/>
        </w:rPr>
        <w:t>（二）项目效益情况</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从项目实施情况看，政策机制进一步健全，基层社会救助经办服务能力进一步增强，为社会救助对象提供及时、高效、专业的救助服务</w:t>
      </w:r>
      <w:r>
        <w:rPr>
          <w:rFonts w:hint="eastAsia" w:ascii="仿宋_GB2312" w:hAnsi="宋体" w:eastAsia="仿宋_GB2312" w:cs="宋体"/>
          <w:color w:val="000000"/>
          <w:kern w:val="0"/>
          <w:sz w:val="32"/>
          <w:szCs w:val="32"/>
          <w:shd w:val="clear" w:color="auto" w:fill="FFFFFF"/>
        </w:rPr>
        <w:t>；加大宣传提高救助政策知晓度，</w:t>
      </w:r>
      <w:r>
        <w:rPr>
          <w:rFonts w:hint="eastAsia" w:ascii="仿宋_GB2312" w:hAnsi="宋体" w:eastAsia="仿宋_GB2312" w:cs="宋体"/>
          <w:color w:val="000000"/>
          <w:kern w:val="0"/>
          <w:sz w:val="32"/>
          <w:szCs w:val="32"/>
          <w:shd w:val="clear" w:color="auto" w:fill="FFFFFF"/>
          <w:lang w:val="zh-CN"/>
        </w:rPr>
        <w:t>困难群众对社会救助服务满意度进一步提升；解决社会救助“关系保”、“人情保”、“错保”、“漏保”以及“一卡通”管理使用中的微腐败的问题。</w:t>
      </w:r>
    </w:p>
    <w:p>
      <w:pPr>
        <w:adjustRightInd w:val="0"/>
        <w:snapToGrid w:val="0"/>
        <w:spacing w:line="560" w:lineRule="exact"/>
        <w:ind w:firstLine="720"/>
        <w:rPr>
          <w:rFonts w:ascii="黑体" w:hAnsi="宋体" w:eastAsia="黑体"/>
          <w:b/>
          <w:bCs/>
          <w:sz w:val="32"/>
          <w:szCs w:val="32"/>
          <w:lang w:val="zh-CN"/>
        </w:rPr>
      </w:pPr>
      <w:r>
        <w:rPr>
          <w:rFonts w:hint="eastAsia" w:ascii="黑体" w:hAnsi="宋体" w:eastAsia="黑体"/>
          <w:b/>
          <w:bCs/>
          <w:sz w:val="32"/>
          <w:szCs w:val="32"/>
        </w:rPr>
        <w:t>五、评价结论</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一是</w:t>
      </w:r>
      <w:r>
        <w:rPr>
          <w:rFonts w:hint="eastAsia" w:ascii="仿宋_GB2312" w:hAnsi="宋体" w:eastAsia="仿宋_GB2312" w:cs="宋体"/>
          <w:color w:val="000000"/>
          <w:kern w:val="0"/>
          <w:sz w:val="32"/>
          <w:szCs w:val="32"/>
          <w:shd w:val="clear" w:color="auto" w:fill="FFFFFF"/>
          <w:lang w:val="zh-CN"/>
        </w:rPr>
        <w:t>严格按照支出绩效评价指标体系和评价内容开展社会救助政策绩效评价，项目实施过程合法规范、数据准确、结果真实、对象准确，救助申请、审核、审批、公示制度更加规范健全，“错保”“漏保”“人情保”“关系保”等得到遏制，救助政策宣传面扩大，群众知晓度高，社会救助工作做到了“应保尽保、应救尽救、应退尽退”</w:t>
      </w:r>
      <w:r>
        <w:rPr>
          <w:rFonts w:hint="eastAsia" w:ascii="仿宋_GB2312" w:hAnsi="宋体" w:eastAsia="仿宋_GB2312" w:cs="宋体"/>
          <w:color w:val="000000"/>
          <w:kern w:val="0"/>
          <w:sz w:val="32"/>
          <w:szCs w:val="32"/>
          <w:shd w:val="clear" w:color="auto" w:fill="FFFFFF"/>
        </w:rPr>
        <w:t>；二是通过媒体宣传提升了社会各界</w:t>
      </w:r>
      <w:r>
        <w:rPr>
          <w:rFonts w:hint="eastAsia" w:ascii="仿宋_GB2312" w:hAnsi="宋体" w:eastAsia="仿宋_GB2312" w:cs="宋体"/>
          <w:color w:val="000000"/>
          <w:kern w:val="0"/>
          <w:sz w:val="32"/>
          <w:szCs w:val="32"/>
          <w:shd w:val="clear" w:color="auto" w:fill="FFFFFF"/>
          <w:lang w:val="zh-CN"/>
        </w:rPr>
        <w:t>救助政策知晓度和满意度</w:t>
      </w:r>
      <w:r>
        <w:rPr>
          <w:rFonts w:hint="eastAsia" w:ascii="仿宋_GB2312" w:hAnsi="宋体" w:eastAsia="仿宋_GB2312" w:cs="宋体"/>
          <w:color w:val="000000"/>
          <w:kern w:val="0"/>
          <w:sz w:val="32"/>
          <w:szCs w:val="32"/>
          <w:shd w:val="clear" w:color="auto" w:fill="FFFFFF"/>
        </w:rPr>
        <w:t>；三是完成的</w:t>
      </w:r>
      <w:r>
        <w:rPr>
          <w:rFonts w:hint="eastAsia" w:ascii="仿宋_GB2312" w:hAnsi="宋体" w:eastAsia="仿宋_GB2312" w:cs="宋体"/>
          <w:color w:val="000000"/>
          <w:kern w:val="0"/>
          <w:sz w:val="32"/>
          <w:szCs w:val="32"/>
          <w:shd w:val="clear" w:color="auto" w:fill="FFFFFF"/>
          <w:lang w:val="zh-CN"/>
        </w:rPr>
        <w:t>困境儿童</w:t>
      </w:r>
      <w:r>
        <w:rPr>
          <w:rFonts w:hint="eastAsia" w:ascii="仿宋_GB2312" w:hAnsi="宋体" w:eastAsia="仿宋_GB2312" w:cs="宋体"/>
          <w:color w:val="000000"/>
          <w:kern w:val="0"/>
          <w:sz w:val="32"/>
          <w:szCs w:val="32"/>
          <w:shd w:val="clear" w:color="auto" w:fill="FFFFFF"/>
        </w:rPr>
        <w:t>关爱救助行动</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牵手计划”公益活动、社会救助代理招标及蓝天救援志愿协会的“9.5中华慈善日”、民政救助政策及法规法律媒体宣传等</w:t>
      </w:r>
      <w:r>
        <w:rPr>
          <w:rFonts w:hint="eastAsia" w:ascii="仿宋_GB2312" w:hAnsi="宋体" w:eastAsia="仿宋_GB2312" w:cs="宋体"/>
          <w:color w:val="000000"/>
          <w:kern w:val="0"/>
          <w:sz w:val="32"/>
          <w:szCs w:val="32"/>
          <w:shd w:val="clear" w:color="auto" w:fill="FFFFFF"/>
          <w:lang w:val="zh-CN"/>
        </w:rPr>
        <w:t>项目实施</w:t>
      </w:r>
      <w:r>
        <w:rPr>
          <w:rFonts w:hint="eastAsia" w:ascii="仿宋_GB2312" w:hAnsi="宋体" w:eastAsia="仿宋_GB2312" w:cs="宋体"/>
          <w:color w:val="000000"/>
          <w:kern w:val="0"/>
          <w:sz w:val="32"/>
          <w:szCs w:val="32"/>
          <w:shd w:val="clear" w:color="auto" w:fill="FFFFFF"/>
        </w:rPr>
        <w:t>均</w:t>
      </w:r>
      <w:r>
        <w:rPr>
          <w:rFonts w:hint="eastAsia" w:ascii="仿宋_GB2312" w:hAnsi="宋体" w:eastAsia="仿宋_GB2312" w:cs="宋体"/>
          <w:color w:val="000000"/>
          <w:kern w:val="0"/>
          <w:sz w:val="32"/>
          <w:szCs w:val="32"/>
          <w:shd w:val="clear" w:color="auto" w:fill="FFFFFF"/>
          <w:lang w:val="zh-CN"/>
        </w:rPr>
        <w:t>达到了预期目标。</w:t>
      </w:r>
    </w:p>
    <w:p>
      <w:pPr>
        <w:adjustRightInd w:val="0"/>
        <w:snapToGrid w:val="0"/>
        <w:spacing w:line="560" w:lineRule="exact"/>
        <w:ind w:firstLine="720"/>
        <w:rPr>
          <w:rFonts w:ascii="黑体" w:hAnsi="宋体" w:eastAsia="黑体"/>
          <w:b/>
          <w:bCs/>
          <w:sz w:val="32"/>
          <w:szCs w:val="32"/>
        </w:rPr>
      </w:pPr>
      <w:r>
        <w:rPr>
          <w:rFonts w:hint="eastAsia" w:ascii="黑体" w:hAnsi="宋体" w:eastAsia="黑体"/>
          <w:b/>
          <w:bCs/>
          <w:sz w:val="32"/>
          <w:szCs w:val="32"/>
        </w:rPr>
        <w:t>六、存在的问题及建议</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lang w:val="zh-CN"/>
        </w:rPr>
      </w:pPr>
      <w:r>
        <w:rPr>
          <w:rFonts w:hint="eastAsia" w:ascii="楷体" w:hAnsi="楷体" w:eastAsia="楷体" w:cs="楷体"/>
          <w:b/>
          <w:bCs/>
          <w:sz w:val="32"/>
          <w:szCs w:val="32"/>
          <w:lang w:val="zh-CN"/>
        </w:rPr>
        <w:t>（一）存在的问题。</w:t>
      </w:r>
      <w:r>
        <w:rPr>
          <w:rFonts w:hint="eastAsia" w:ascii="仿宋_GB2312" w:hAnsi="宋体" w:eastAsia="仿宋_GB2312" w:cs="宋体"/>
          <w:color w:val="000000"/>
          <w:kern w:val="0"/>
          <w:sz w:val="32"/>
          <w:szCs w:val="32"/>
          <w:shd w:val="clear" w:color="auto" w:fill="FFFFFF"/>
        </w:rPr>
        <w:t>一是</w:t>
      </w:r>
      <w:r>
        <w:rPr>
          <w:rFonts w:hint="eastAsia" w:ascii="仿宋_GB2312" w:hAnsi="宋体" w:eastAsia="仿宋_GB2312" w:cs="宋体"/>
          <w:color w:val="000000"/>
          <w:kern w:val="0"/>
          <w:sz w:val="32"/>
          <w:szCs w:val="32"/>
          <w:shd w:val="clear" w:color="auto" w:fill="FFFFFF"/>
          <w:lang w:val="zh-CN"/>
        </w:rPr>
        <w:t>政策宣传力度</w:t>
      </w:r>
      <w:r>
        <w:rPr>
          <w:rFonts w:hint="eastAsia" w:ascii="仿宋_GB2312" w:hAnsi="宋体" w:eastAsia="仿宋_GB2312" w:cs="宋体"/>
          <w:color w:val="000000"/>
          <w:kern w:val="0"/>
          <w:sz w:val="32"/>
          <w:szCs w:val="32"/>
          <w:shd w:val="clear" w:color="auto" w:fill="FFFFFF"/>
        </w:rPr>
        <w:t>有待加强</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使</w:t>
      </w:r>
      <w:r>
        <w:rPr>
          <w:rFonts w:hint="eastAsia" w:ascii="仿宋_GB2312" w:hAnsi="宋体" w:eastAsia="仿宋_GB2312" w:cs="宋体"/>
          <w:color w:val="000000"/>
          <w:kern w:val="0"/>
          <w:sz w:val="32"/>
          <w:szCs w:val="32"/>
          <w:shd w:val="clear" w:color="auto" w:fill="FFFFFF"/>
          <w:lang w:val="zh-CN"/>
        </w:rPr>
        <w:t>群众对社会救助政策</w:t>
      </w:r>
      <w:r>
        <w:rPr>
          <w:rFonts w:hint="eastAsia" w:ascii="仿宋_GB2312" w:hAnsi="宋体" w:eastAsia="仿宋_GB2312" w:cs="宋体"/>
          <w:color w:val="000000"/>
          <w:kern w:val="0"/>
          <w:sz w:val="32"/>
          <w:szCs w:val="32"/>
          <w:shd w:val="clear" w:color="auto" w:fill="FFFFFF"/>
        </w:rPr>
        <w:t>知晓度提升；二是</w:t>
      </w:r>
      <w:r>
        <w:rPr>
          <w:rFonts w:hint="eastAsia" w:ascii="仿宋_GB2312" w:hAnsi="宋体" w:eastAsia="仿宋_GB2312" w:cs="宋体"/>
          <w:color w:val="000000"/>
          <w:kern w:val="0"/>
          <w:sz w:val="32"/>
          <w:szCs w:val="32"/>
          <w:shd w:val="clear" w:color="auto" w:fill="FFFFFF"/>
          <w:lang w:val="zh-CN"/>
        </w:rPr>
        <w:t>地方财政资金困难，</w:t>
      </w:r>
      <w:r>
        <w:rPr>
          <w:rFonts w:hint="eastAsia" w:ascii="仿宋_GB2312" w:hAnsi="宋体" w:eastAsia="仿宋_GB2312" w:cs="宋体"/>
          <w:color w:val="000000"/>
          <w:kern w:val="0"/>
          <w:sz w:val="32"/>
          <w:szCs w:val="32"/>
          <w:shd w:val="clear" w:color="auto" w:fill="FFFFFF"/>
        </w:rPr>
        <w:t>社会救助、养老服务等福利事业等购买服务相关经费严重不足</w:t>
      </w:r>
      <w:r>
        <w:rPr>
          <w:rFonts w:hint="eastAsia" w:ascii="仿宋_GB2312" w:hAnsi="宋体" w:eastAsia="仿宋_GB2312" w:cs="宋体"/>
          <w:color w:val="000000"/>
          <w:kern w:val="0"/>
          <w:sz w:val="32"/>
          <w:szCs w:val="32"/>
          <w:shd w:val="clear" w:color="auto" w:fill="FFFFFF"/>
          <w:lang w:val="zh-CN"/>
        </w:rPr>
        <w:t>。</w:t>
      </w:r>
    </w:p>
    <w:p>
      <w:pPr>
        <w:adjustRightInd w:val="0"/>
        <w:snapToGrid w:val="0"/>
        <w:spacing w:line="560" w:lineRule="exact"/>
        <w:ind w:firstLine="720"/>
        <w:rPr>
          <w:rFonts w:ascii="仿宋_GB2312" w:hAnsi="宋体" w:eastAsia="仿宋_GB2312" w:cs="宋体"/>
          <w:color w:val="000000"/>
          <w:kern w:val="0"/>
          <w:sz w:val="32"/>
          <w:szCs w:val="32"/>
          <w:shd w:val="clear" w:color="auto" w:fill="FFFFFF"/>
        </w:rPr>
      </w:pPr>
      <w:r>
        <w:rPr>
          <w:rFonts w:hint="eastAsia" w:ascii="楷体" w:hAnsi="楷体" w:eastAsia="楷体" w:cs="楷体"/>
          <w:b/>
          <w:bCs/>
          <w:sz w:val="32"/>
          <w:szCs w:val="32"/>
          <w:lang w:val="zh-CN"/>
        </w:rPr>
        <w:t>（二）相关建议。</w:t>
      </w:r>
      <w:r>
        <w:rPr>
          <w:rFonts w:hint="eastAsia" w:ascii="仿宋_GB2312" w:hAnsi="宋体" w:eastAsia="仿宋_GB2312" w:cs="宋体"/>
          <w:color w:val="000000"/>
          <w:kern w:val="0"/>
          <w:sz w:val="32"/>
          <w:szCs w:val="32"/>
          <w:shd w:val="clear" w:color="auto" w:fill="FFFFFF"/>
        </w:rPr>
        <w:t>一是</w:t>
      </w:r>
      <w:r>
        <w:rPr>
          <w:rFonts w:hint="eastAsia" w:ascii="仿宋_GB2312" w:hAnsi="宋体" w:eastAsia="仿宋_GB2312" w:cs="宋体"/>
          <w:color w:val="000000"/>
          <w:kern w:val="0"/>
          <w:sz w:val="32"/>
          <w:szCs w:val="32"/>
          <w:shd w:val="clear" w:color="auto" w:fill="FFFFFF"/>
          <w:lang w:val="zh-CN"/>
        </w:rPr>
        <w:t>加大低保等救助政策宣传，利用网站、微信公众号、宣传手册、村村响广播等多种方式加强</w:t>
      </w:r>
      <w:r>
        <w:rPr>
          <w:rFonts w:hint="eastAsia" w:ascii="仿宋_GB2312" w:hAnsi="宋体" w:eastAsia="仿宋_GB2312" w:cs="宋体"/>
          <w:color w:val="000000"/>
          <w:kern w:val="0"/>
          <w:sz w:val="32"/>
          <w:szCs w:val="32"/>
          <w:shd w:val="clear" w:color="auto" w:fill="FFFFFF"/>
        </w:rPr>
        <w:t>社会救助</w:t>
      </w:r>
      <w:r>
        <w:rPr>
          <w:rFonts w:hint="eastAsia" w:ascii="仿宋_GB2312" w:hAnsi="宋体" w:eastAsia="仿宋_GB2312" w:cs="宋体"/>
          <w:color w:val="000000"/>
          <w:kern w:val="0"/>
          <w:sz w:val="32"/>
          <w:szCs w:val="32"/>
          <w:shd w:val="clear" w:color="auto" w:fill="FFFFFF"/>
          <w:lang w:val="zh-CN"/>
        </w:rPr>
        <w:t>工作的宣传力度，</w:t>
      </w:r>
      <w:r>
        <w:rPr>
          <w:rFonts w:hint="eastAsia" w:ascii="仿宋_GB2312" w:hAnsi="宋体" w:eastAsia="仿宋_GB2312" w:cs="宋体"/>
          <w:color w:val="000000"/>
          <w:kern w:val="0"/>
          <w:sz w:val="32"/>
          <w:szCs w:val="32"/>
          <w:shd w:val="clear" w:color="auto" w:fill="FFFFFF"/>
        </w:rPr>
        <w:t>提高民众对社会救助、社会福利、儿童福利等政策的知晓度；二是加强对社会救助、社会福利、儿童福利等公益事业购买服务经费保障。</w:t>
      </w:r>
    </w:p>
    <w:p>
      <w:pPr>
        <w:adjustRightInd w:val="0"/>
        <w:snapToGrid w:val="0"/>
        <w:spacing w:line="560" w:lineRule="exact"/>
        <w:ind w:firstLine="720"/>
        <w:rPr>
          <w:rFonts w:ascii="黑体" w:hAnsi="宋体" w:eastAsia="黑体"/>
          <w:b/>
          <w:bCs/>
          <w:sz w:val="32"/>
          <w:szCs w:val="32"/>
        </w:rPr>
      </w:pPr>
      <w:r>
        <w:rPr>
          <w:rFonts w:hint="eastAsia" w:ascii="黑体" w:hAnsi="宋体" w:eastAsia="黑体"/>
          <w:b/>
          <w:bCs/>
          <w:sz w:val="32"/>
          <w:szCs w:val="32"/>
        </w:rPr>
        <w:t>七、2019年绩效评价中存在的问题整改情况</w:t>
      </w:r>
    </w:p>
    <w:p>
      <w:pPr>
        <w:adjustRightInd w:val="0"/>
        <w:snapToGrid w:val="0"/>
        <w:spacing w:line="60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一</w:t>
      </w:r>
      <w:r>
        <w:rPr>
          <w:rFonts w:hint="eastAsia" w:ascii="仿宋_GB2312" w:hAnsi="宋体" w:eastAsia="仿宋_GB2312" w:cs="宋体"/>
          <w:color w:val="000000"/>
          <w:kern w:val="0"/>
          <w:sz w:val="32"/>
          <w:szCs w:val="32"/>
          <w:shd w:val="clear" w:color="auto" w:fill="FFFFFF"/>
          <w:lang w:val="zh-CN"/>
        </w:rPr>
        <w:t>是完善抽查机制。严格落实救助对象抽查机制，采用购买服务、绩效评价、审计等方式对救助对象进行抽查，对救助政策落实情况考核考评。</w:t>
      </w:r>
      <w:r>
        <w:rPr>
          <w:rFonts w:hint="eastAsia" w:ascii="仿宋_GB2312" w:hAnsi="宋体" w:eastAsia="仿宋_GB2312" w:cs="宋体"/>
          <w:color w:val="000000"/>
          <w:kern w:val="0"/>
          <w:sz w:val="32"/>
          <w:szCs w:val="32"/>
          <w:shd w:val="clear" w:color="auto" w:fill="FFFFFF"/>
        </w:rPr>
        <w:t>二</w:t>
      </w:r>
      <w:r>
        <w:rPr>
          <w:rFonts w:hint="eastAsia" w:ascii="仿宋_GB2312" w:hAnsi="宋体" w:eastAsia="仿宋_GB2312" w:cs="宋体"/>
          <w:color w:val="000000"/>
          <w:kern w:val="0"/>
          <w:sz w:val="32"/>
          <w:szCs w:val="32"/>
          <w:shd w:val="clear" w:color="auto" w:fill="FFFFFF"/>
          <w:lang w:val="zh-CN"/>
        </w:rPr>
        <w:t>是推进社会救助综合改革试点。将低保、特困供养、临时救助审批权下放到乡镇（街道）,优化救助流程，精简申请材料和审核审批程序，压缩审批时间,动态管理经常化，确保应保尽保、应退尽退。</w:t>
      </w:r>
      <w:r>
        <w:rPr>
          <w:rFonts w:hint="eastAsia" w:ascii="仿宋_GB2312" w:hAnsi="宋体" w:eastAsia="仿宋_GB2312" w:cs="宋体"/>
          <w:color w:val="000000"/>
          <w:kern w:val="0"/>
          <w:sz w:val="32"/>
          <w:szCs w:val="32"/>
          <w:shd w:val="clear" w:color="auto" w:fill="FFFFFF"/>
        </w:rPr>
        <w:t>三是加大政府购买服务力度</w:t>
      </w:r>
      <w:r>
        <w:rPr>
          <w:rFonts w:hint="eastAsia" w:ascii="仿宋_GB2312" w:hAnsi="宋体" w:eastAsia="仿宋_GB2312" w:cs="宋体"/>
          <w:color w:val="000000"/>
          <w:kern w:val="0"/>
          <w:sz w:val="32"/>
          <w:szCs w:val="32"/>
          <w:shd w:val="clear" w:color="auto" w:fill="FFFFFF"/>
          <w:lang w:val="zh-CN"/>
        </w:rPr>
        <w:t>。</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7"/>
          <w:rFonts w:ascii="黑体" w:hAnsi="黑体" w:eastAsia="黑体"/>
          <w:b w:val="0"/>
        </w:rPr>
      </w:pPr>
    </w:p>
    <w:p>
      <w:pPr>
        <w:widowControl/>
        <w:jc w:val="left"/>
        <w:rPr>
          <w:rStyle w:val="27"/>
          <w:rFonts w:ascii="黑体" w:hAnsi="黑体" w:eastAsia="黑体"/>
          <w:b w:val="0"/>
        </w:rPr>
      </w:pPr>
      <w:r>
        <w:rPr>
          <w:rStyle w:val="27"/>
          <w:rFonts w:ascii="黑体" w:hAnsi="黑体" w:eastAsia="黑体"/>
          <w:b w:val="0"/>
        </w:rPr>
        <w:br w:type="page"/>
      </w:r>
    </w:p>
    <w:p>
      <w:pPr>
        <w:spacing w:line="600" w:lineRule="exact"/>
        <w:jc w:val="center"/>
        <w:outlineLvl w:val="0"/>
        <w:rPr>
          <w:rStyle w:val="27"/>
          <w:rFonts w:ascii="黑体" w:hAnsi="黑体" w:eastAsia="黑体"/>
          <w:b w:val="0"/>
        </w:rPr>
      </w:pPr>
    </w:p>
    <w:p>
      <w:pPr>
        <w:spacing w:line="600" w:lineRule="exact"/>
        <w:jc w:val="center"/>
        <w:outlineLvl w:val="0"/>
        <w:rPr>
          <w:rStyle w:val="27"/>
          <w:rFonts w:ascii="黑体" w:hAnsi="黑体" w:eastAsia="黑体"/>
          <w:b w:val="0"/>
        </w:rPr>
      </w:pPr>
      <w:bookmarkStart w:id="59"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8"/>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3"/>
    </w:p>
    <w:p>
      <w:pPr>
        <w:pStyle w:val="4"/>
        <w:rPr>
          <w:rStyle w:val="28"/>
          <w:rFonts w:ascii="仿宋" w:hAnsi="仿宋" w:eastAsia="仿宋"/>
          <w:b w:val="0"/>
          <w:bCs w:val="0"/>
        </w:rPr>
      </w:pPr>
      <w:bookmarkStart w:id="64"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1"/>
    </w:p>
    <w:p>
      <w:pPr>
        <w:pStyle w:val="4"/>
        <w:rPr>
          <w:rFonts w:ascii="仿宋" w:hAnsi="仿宋" w:eastAsia="仿宋"/>
          <w:color w:val="000000" w:themeColor="text1"/>
        </w:rPr>
      </w:pPr>
      <w:bookmarkStart w:id="72"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2"/>
    </w:p>
    <w:sectPr>
      <w:headerReference r:id="rId3" w:type="default"/>
      <w:footerReference r:id="rId4" w:type="default"/>
      <w:pgSz w:w="11906" w:h="16838"/>
      <w:pgMar w:top="2154" w:right="1587" w:bottom="1440"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11</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3EC5"/>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0704"/>
    <w:rsid w:val="00114E9B"/>
    <w:rsid w:val="00142216"/>
    <w:rsid w:val="00144D6A"/>
    <w:rsid w:val="0014729F"/>
    <w:rsid w:val="00157BAB"/>
    <w:rsid w:val="001654D1"/>
    <w:rsid w:val="00174518"/>
    <w:rsid w:val="0018106D"/>
    <w:rsid w:val="001877A7"/>
    <w:rsid w:val="00191536"/>
    <w:rsid w:val="00196687"/>
    <w:rsid w:val="001966FC"/>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2D84"/>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5675"/>
    <w:rsid w:val="00900B08"/>
    <w:rsid w:val="00902155"/>
    <w:rsid w:val="00902FA3"/>
    <w:rsid w:val="00923564"/>
    <w:rsid w:val="0092392E"/>
    <w:rsid w:val="009315F9"/>
    <w:rsid w:val="00933499"/>
    <w:rsid w:val="00935C98"/>
    <w:rsid w:val="00940E41"/>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3D16"/>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268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2703C"/>
    <w:rsid w:val="013900EE"/>
    <w:rsid w:val="01871E51"/>
    <w:rsid w:val="01BE2D4B"/>
    <w:rsid w:val="02EF4F65"/>
    <w:rsid w:val="02F20139"/>
    <w:rsid w:val="030D027E"/>
    <w:rsid w:val="042B75D2"/>
    <w:rsid w:val="048E0CA9"/>
    <w:rsid w:val="049A7587"/>
    <w:rsid w:val="04D64D17"/>
    <w:rsid w:val="04F66830"/>
    <w:rsid w:val="051548BE"/>
    <w:rsid w:val="05191080"/>
    <w:rsid w:val="051A2C88"/>
    <w:rsid w:val="05587ADF"/>
    <w:rsid w:val="055B50FF"/>
    <w:rsid w:val="055C02CF"/>
    <w:rsid w:val="05976F58"/>
    <w:rsid w:val="05C83A0D"/>
    <w:rsid w:val="0647767F"/>
    <w:rsid w:val="065918DA"/>
    <w:rsid w:val="068E40C1"/>
    <w:rsid w:val="06AC5A31"/>
    <w:rsid w:val="06BB1D93"/>
    <w:rsid w:val="0737687E"/>
    <w:rsid w:val="074E14CC"/>
    <w:rsid w:val="075D4907"/>
    <w:rsid w:val="078A171B"/>
    <w:rsid w:val="079C0277"/>
    <w:rsid w:val="07CD55B1"/>
    <w:rsid w:val="07D506B1"/>
    <w:rsid w:val="07E348C4"/>
    <w:rsid w:val="08001693"/>
    <w:rsid w:val="081C12CA"/>
    <w:rsid w:val="081E190B"/>
    <w:rsid w:val="083C7BA8"/>
    <w:rsid w:val="08471EB8"/>
    <w:rsid w:val="08657829"/>
    <w:rsid w:val="086E1EA5"/>
    <w:rsid w:val="089643B6"/>
    <w:rsid w:val="08966AB7"/>
    <w:rsid w:val="08D56014"/>
    <w:rsid w:val="094C52DA"/>
    <w:rsid w:val="097B14C6"/>
    <w:rsid w:val="09FB586B"/>
    <w:rsid w:val="0A4E22AF"/>
    <w:rsid w:val="0AAE309B"/>
    <w:rsid w:val="0ACE24AC"/>
    <w:rsid w:val="0B0E74D5"/>
    <w:rsid w:val="0B2E5749"/>
    <w:rsid w:val="0B521A6F"/>
    <w:rsid w:val="0BA43C1D"/>
    <w:rsid w:val="0BE90B9E"/>
    <w:rsid w:val="0BF44446"/>
    <w:rsid w:val="0C043038"/>
    <w:rsid w:val="0C216F65"/>
    <w:rsid w:val="0C577BCE"/>
    <w:rsid w:val="0C887A2D"/>
    <w:rsid w:val="0CE04249"/>
    <w:rsid w:val="0CF71FF7"/>
    <w:rsid w:val="0D730253"/>
    <w:rsid w:val="0D9724D4"/>
    <w:rsid w:val="0DF4614B"/>
    <w:rsid w:val="0DFC0EF4"/>
    <w:rsid w:val="0F232229"/>
    <w:rsid w:val="0F516FC2"/>
    <w:rsid w:val="0FE83053"/>
    <w:rsid w:val="10214DAE"/>
    <w:rsid w:val="10747C50"/>
    <w:rsid w:val="10BE41F3"/>
    <w:rsid w:val="10C055FF"/>
    <w:rsid w:val="10D11908"/>
    <w:rsid w:val="10EB5CC6"/>
    <w:rsid w:val="10EC7EDF"/>
    <w:rsid w:val="11104BFD"/>
    <w:rsid w:val="111C7150"/>
    <w:rsid w:val="11792E48"/>
    <w:rsid w:val="11804EE7"/>
    <w:rsid w:val="11977C63"/>
    <w:rsid w:val="12E00C94"/>
    <w:rsid w:val="135802C4"/>
    <w:rsid w:val="137044BC"/>
    <w:rsid w:val="13996D17"/>
    <w:rsid w:val="13A466E5"/>
    <w:rsid w:val="14116B50"/>
    <w:rsid w:val="1467393F"/>
    <w:rsid w:val="14826256"/>
    <w:rsid w:val="14D06531"/>
    <w:rsid w:val="15197A42"/>
    <w:rsid w:val="151B1DD8"/>
    <w:rsid w:val="15523F45"/>
    <w:rsid w:val="15856AA0"/>
    <w:rsid w:val="159052F7"/>
    <w:rsid w:val="159460FB"/>
    <w:rsid w:val="15D719D6"/>
    <w:rsid w:val="169737C0"/>
    <w:rsid w:val="16BB723D"/>
    <w:rsid w:val="16C2785F"/>
    <w:rsid w:val="170F6F32"/>
    <w:rsid w:val="171E12C8"/>
    <w:rsid w:val="17231630"/>
    <w:rsid w:val="1742696A"/>
    <w:rsid w:val="17727A48"/>
    <w:rsid w:val="178A71E2"/>
    <w:rsid w:val="181176FD"/>
    <w:rsid w:val="182E7852"/>
    <w:rsid w:val="192D5B0C"/>
    <w:rsid w:val="19DC52F1"/>
    <w:rsid w:val="19FF77E1"/>
    <w:rsid w:val="1A31334C"/>
    <w:rsid w:val="1B3B0DBF"/>
    <w:rsid w:val="1B6C3724"/>
    <w:rsid w:val="1B8A51C2"/>
    <w:rsid w:val="1BC24053"/>
    <w:rsid w:val="1BD719BF"/>
    <w:rsid w:val="1C311333"/>
    <w:rsid w:val="1C787A65"/>
    <w:rsid w:val="1CD85E8B"/>
    <w:rsid w:val="1D3F086F"/>
    <w:rsid w:val="1D4F0D4E"/>
    <w:rsid w:val="1D8B551C"/>
    <w:rsid w:val="1DEB318C"/>
    <w:rsid w:val="1E004ECE"/>
    <w:rsid w:val="1E5A257F"/>
    <w:rsid w:val="1E7C7885"/>
    <w:rsid w:val="1E9E3B14"/>
    <w:rsid w:val="1EF17FDB"/>
    <w:rsid w:val="1F1E1840"/>
    <w:rsid w:val="1F360D2F"/>
    <w:rsid w:val="1F3E16FB"/>
    <w:rsid w:val="1F691BDF"/>
    <w:rsid w:val="1F7921F8"/>
    <w:rsid w:val="1F7A7002"/>
    <w:rsid w:val="1F9D7201"/>
    <w:rsid w:val="1FE12D19"/>
    <w:rsid w:val="1FE65B32"/>
    <w:rsid w:val="200D32DC"/>
    <w:rsid w:val="20D64C47"/>
    <w:rsid w:val="20E53649"/>
    <w:rsid w:val="20EC1708"/>
    <w:rsid w:val="20F3665A"/>
    <w:rsid w:val="210C36D6"/>
    <w:rsid w:val="21761B21"/>
    <w:rsid w:val="21B56F48"/>
    <w:rsid w:val="21BE03C0"/>
    <w:rsid w:val="21F64672"/>
    <w:rsid w:val="221612C8"/>
    <w:rsid w:val="229A1BB0"/>
    <w:rsid w:val="23107211"/>
    <w:rsid w:val="232912FB"/>
    <w:rsid w:val="23825A6A"/>
    <w:rsid w:val="23850657"/>
    <w:rsid w:val="238638C9"/>
    <w:rsid w:val="238D638E"/>
    <w:rsid w:val="23BF67FA"/>
    <w:rsid w:val="23E703F7"/>
    <w:rsid w:val="240371BF"/>
    <w:rsid w:val="241C6BE5"/>
    <w:rsid w:val="243F4031"/>
    <w:rsid w:val="245658E1"/>
    <w:rsid w:val="248E503E"/>
    <w:rsid w:val="249C333D"/>
    <w:rsid w:val="24D018B1"/>
    <w:rsid w:val="25FA71D2"/>
    <w:rsid w:val="269D2D28"/>
    <w:rsid w:val="26A012E7"/>
    <w:rsid w:val="26B52C5C"/>
    <w:rsid w:val="26B52EEE"/>
    <w:rsid w:val="26B81A5F"/>
    <w:rsid w:val="26BA7721"/>
    <w:rsid w:val="26C71C76"/>
    <w:rsid w:val="274631F2"/>
    <w:rsid w:val="274869C8"/>
    <w:rsid w:val="27581D27"/>
    <w:rsid w:val="27587C79"/>
    <w:rsid w:val="27771161"/>
    <w:rsid w:val="280A4056"/>
    <w:rsid w:val="281E7AE7"/>
    <w:rsid w:val="29901787"/>
    <w:rsid w:val="2993438A"/>
    <w:rsid w:val="299E6C16"/>
    <w:rsid w:val="29A62739"/>
    <w:rsid w:val="29E81033"/>
    <w:rsid w:val="29F03421"/>
    <w:rsid w:val="29FD04D3"/>
    <w:rsid w:val="2A292D96"/>
    <w:rsid w:val="2A4E17E1"/>
    <w:rsid w:val="2A5D3B1C"/>
    <w:rsid w:val="2AB71993"/>
    <w:rsid w:val="2AEA1DD2"/>
    <w:rsid w:val="2B251217"/>
    <w:rsid w:val="2B6175F1"/>
    <w:rsid w:val="2B654844"/>
    <w:rsid w:val="2B7C3536"/>
    <w:rsid w:val="2BA55F05"/>
    <w:rsid w:val="2BBD1991"/>
    <w:rsid w:val="2BC735C6"/>
    <w:rsid w:val="2C5A121B"/>
    <w:rsid w:val="2C69374E"/>
    <w:rsid w:val="2C730C18"/>
    <w:rsid w:val="2C7F5900"/>
    <w:rsid w:val="2C88213B"/>
    <w:rsid w:val="2D2B0BC3"/>
    <w:rsid w:val="2D802490"/>
    <w:rsid w:val="2D8D3EEC"/>
    <w:rsid w:val="2DDF5689"/>
    <w:rsid w:val="2E1B60D7"/>
    <w:rsid w:val="2E7D1F69"/>
    <w:rsid w:val="2EA81515"/>
    <w:rsid w:val="2EEB7E7F"/>
    <w:rsid w:val="2F3C73B0"/>
    <w:rsid w:val="2F7F1BAD"/>
    <w:rsid w:val="2F850123"/>
    <w:rsid w:val="2FEB4DA4"/>
    <w:rsid w:val="300D75DF"/>
    <w:rsid w:val="302E3B1E"/>
    <w:rsid w:val="30571846"/>
    <w:rsid w:val="30856720"/>
    <w:rsid w:val="30A809AE"/>
    <w:rsid w:val="31472378"/>
    <w:rsid w:val="314F5B61"/>
    <w:rsid w:val="316C0A7C"/>
    <w:rsid w:val="31745587"/>
    <w:rsid w:val="319F7F4E"/>
    <w:rsid w:val="325605F2"/>
    <w:rsid w:val="32A15F69"/>
    <w:rsid w:val="32A902DB"/>
    <w:rsid w:val="32AB706B"/>
    <w:rsid w:val="32AF4274"/>
    <w:rsid w:val="3305756F"/>
    <w:rsid w:val="331238A7"/>
    <w:rsid w:val="333D43AD"/>
    <w:rsid w:val="33413750"/>
    <w:rsid w:val="33633474"/>
    <w:rsid w:val="33BB4080"/>
    <w:rsid w:val="33CE6313"/>
    <w:rsid w:val="33D704B7"/>
    <w:rsid w:val="33FD0AA8"/>
    <w:rsid w:val="345A7594"/>
    <w:rsid w:val="34684790"/>
    <w:rsid w:val="34D0155C"/>
    <w:rsid w:val="34D84173"/>
    <w:rsid w:val="359D5BD0"/>
    <w:rsid w:val="35AF2F46"/>
    <w:rsid w:val="35B17F2E"/>
    <w:rsid w:val="364C5BBD"/>
    <w:rsid w:val="36530818"/>
    <w:rsid w:val="36674137"/>
    <w:rsid w:val="3694562B"/>
    <w:rsid w:val="36F07EA9"/>
    <w:rsid w:val="36F1540E"/>
    <w:rsid w:val="36F64A01"/>
    <w:rsid w:val="371A6AF0"/>
    <w:rsid w:val="372D762A"/>
    <w:rsid w:val="37451CF8"/>
    <w:rsid w:val="377A14F5"/>
    <w:rsid w:val="377B2368"/>
    <w:rsid w:val="37A9747B"/>
    <w:rsid w:val="37C46B81"/>
    <w:rsid w:val="38184355"/>
    <w:rsid w:val="383D025C"/>
    <w:rsid w:val="384071F6"/>
    <w:rsid w:val="38560FAD"/>
    <w:rsid w:val="386940D4"/>
    <w:rsid w:val="3881306C"/>
    <w:rsid w:val="388830E6"/>
    <w:rsid w:val="39015800"/>
    <w:rsid w:val="39376529"/>
    <w:rsid w:val="397C3173"/>
    <w:rsid w:val="39BF44A1"/>
    <w:rsid w:val="39C204B8"/>
    <w:rsid w:val="39FB0817"/>
    <w:rsid w:val="3A0849F5"/>
    <w:rsid w:val="3A0C1682"/>
    <w:rsid w:val="3A1C5169"/>
    <w:rsid w:val="3A217803"/>
    <w:rsid w:val="3A4D1F55"/>
    <w:rsid w:val="3A6E6289"/>
    <w:rsid w:val="3A8D3888"/>
    <w:rsid w:val="3AAA28F2"/>
    <w:rsid w:val="3ADC4853"/>
    <w:rsid w:val="3B3541BB"/>
    <w:rsid w:val="3B514892"/>
    <w:rsid w:val="3B634986"/>
    <w:rsid w:val="3BAF3A47"/>
    <w:rsid w:val="3BEB3C6C"/>
    <w:rsid w:val="3C3D4F40"/>
    <w:rsid w:val="3C7D39F2"/>
    <w:rsid w:val="3CAB7F5D"/>
    <w:rsid w:val="3D3068AE"/>
    <w:rsid w:val="3D8829A8"/>
    <w:rsid w:val="3D974376"/>
    <w:rsid w:val="3E1E6BB6"/>
    <w:rsid w:val="3E534C7E"/>
    <w:rsid w:val="3E875A86"/>
    <w:rsid w:val="3EB22B12"/>
    <w:rsid w:val="3EB66EC7"/>
    <w:rsid w:val="3F4414CC"/>
    <w:rsid w:val="3F5F6DF6"/>
    <w:rsid w:val="3F616CDA"/>
    <w:rsid w:val="3F8924AB"/>
    <w:rsid w:val="3FA62AB1"/>
    <w:rsid w:val="3FED7F17"/>
    <w:rsid w:val="402F4E02"/>
    <w:rsid w:val="40DD1530"/>
    <w:rsid w:val="40E67A2D"/>
    <w:rsid w:val="41440735"/>
    <w:rsid w:val="41566D43"/>
    <w:rsid w:val="41633861"/>
    <w:rsid w:val="427E1CB7"/>
    <w:rsid w:val="42993E7D"/>
    <w:rsid w:val="42A87607"/>
    <w:rsid w:val="43246075"/>
    <w:rsid w:val="44030BC1"/>
    <w:rsid w:val="44241C54"/>
    <w:rsid w:val="44A84F99"/>
    <w:rsid w:val="44AC52A6"/>
    <w:rsid w:val="44D90564"/>
    <w:rsid w:val="44F96F50"/>
    <w:rsid w:val="45443144"/>
    <w:rsid w:val="45662F9B"/>
    <w:rsid w:val="45D41FCA"/>
    <w:rsid w:val="45D547B2"/>
    <w:rsid w:val="45E379A9"/>
    <w:rsid w:val="45F10358"/>
    <w:rsid w:val="464608E0"/>
    <w:rsid w:val="465E1445"/>
    <w:rsid w:val="465E3F78"/>
    <w:rsid w:val="465E4A71"/>
    <w:rsid w:val="46C97980"/>
    <w:rsid w:val="46CF40E0"/>
    <w:rsid w:val="46EA7D50"/>
    <w:rsid w:val="47404E77"/>
    <w:rsid w:val="47586AC5"/>
    <w:rsid w:val="47591B93"/>
    <w:rsid w:val="475B2462"/>
    <w:rsid w:val="477D0C01"/>
    <w:rsid w:val="47875247"/>
    <w:rsid w:val="482A574E"/>
    <w:rsid w:val="48352A93"/>
    <w:rsid w:val="48356B9A"/>
    <w:rsid w:val="48CA5932"/>
    <w:rsid w:val="48E55F21"/>
    <w:rsid w:val="48EB3B8D"/>
    <w:rsid w:val="49365CD2"/>
    <w:rsid w:val="49465E9E"/>
    <w:rsid w:val="49757DF2"/>
    <w:rsid w:val="498A444D"/>
    <w:rsid w:val="49B55320"/>
    <w:rsid w:val="49C64D08"/>
    <w:rsid w:val="4A030F5F"/>
    <w:rsid w:val="4AA178EB"/>
    <w:rsid w:val="4AD45118"/>
    <w:rsid w:val="4B5769B3"/>
    <w:rsid w:val="4B8A7D12"/>
    <w:rsid w:val="4B8C26CB"/>
    <w:rsid w:val="4BB22C80"/>
    <w:rsid w:val="4BDF6DC9"/>
    <w:rsid w:val="4C212606"/>
    <w:rsid w:val="4C27572D"/>
    <w:rsid w:val="4C4F1EA3"/>
    <w:rsid w:val="4CA22C47"/>
    <w:rsid w:val="4CA47B3D"/>
    <w:rsid w:val="4CD27EFD"/>
    <w:rsid w:val="4CF46A54"/>
    <w:rsid w:val="4D166F45"/>
    <w:rsid w:val="4D776785"/>
    <w:rsid w:val="4DFD65AA"/>
    <w:rsid w:val="4DFE3B31"/>
    <w:rsid w:val="4E2138FA"/>
    <w:rsid w:val="4E477C89"/>
    <w:rsid w:val="4EBE296A"/>
    <w:rsid w:val="4ECE2238"/>
    <w:rsid w:val="4EE132F0"/>
    <w:rsid w:val="4F0413BB"/>
    <w:rsid w:val="4F0E30E3"/>
    <w:rsid w:val="4F2714DF"/>
    <w:rsid w:val="4F2C0C19"/>
    <w:rsid w:val="4FF3411A"/>
    <w:rsid w:val="50127DE9"/>
    <w:rsid w:val="50326FAB"/>
    <w:rsid w:val="50450133"/>
    <w:rsid w:val="509404CA"/>
    <w:rsid w:val="50E72C04"/>
    <w:rsid w:val="50F71273"/>
    <w:rsid w:val="50FC1B45"/>
    <w:rsid w:val="51D57AFC"/>
    <w:rsid w:val="52263B18"/>
    <w:rsid w:val="522B5B34"/>
    <w:rsid w:val="526E5032"/>
    <w:rsid w:val="528E2370"/>
    <w:rsid w:val="52AE010D"/>
    <w:rsid w:val="52C92F19"/>
    <w:rsid w:val="52CD7288"/>
    <w:rsid w:val="52DE6175"/>
    <w:rsid w:val="53734B5A"/>
    <w:rsid w:val="53EF3549"/>
    <w:rsid w:val="53FF46E4"/>
    <w:rsid w:val="542964EA"/>
    <w:rsid w:val="542F5FBD"/>
    <w:rsid w:val="54432B03"/>
    <w:rsid w:val="545E68E2"/>
    <w:rsid w:val="549B20BB"/>
    <w:rsid w:val="552F4482"/>
    <w:rsid w:val="553810D6"/>
    <w:rsid w:val="55536B46"/>
    <w:rsid w:val="55DC1B80"/>
    <w:rsid w:val="564C639B"/>
    <w:rsid w:val="56F33E3F"/>
    <w:rsid w:val="57621277"/>
    <w:rsid w:val="5770374D"/>
    <w:rsid w:val="577F7795"/>
    <w:rsid w:val="579A3D48"/>
    <w:rsid w:val="58545979"/>
    <w:rsid w:val="588859F9"/>
    <w:rsid w:val="58A421F0"/>
    <w:rsid w:val="58EC593C"/>
    <w:rsid w:val="58ED4D07"/>
    <w:rsid w:val="59170501"/>
    <w:rsid w:val="59197368"/>
    <w:rsid w:val="59341C5C"/>
    <w:rsid w:val="594514E9"/>
    <w:rsid w:val="596872FA"/>
    <w:rsid w:val="59954BE7"/>
    <w:rsid w:val="59BA258B"/>
    <w:rsid w:val="59D2195D"/>
    <w:rsid w:val="5A02399A"/>
    <w:rsid w:val="5A0B6299"/>
    <w:rsid w:val="5A2E78A3"/>
    <w:rsid w:val="5A3F596A"/>
    <w:rsid w:val="5A5E38B1"/>
    <w:rsid w:val="5A622C49"/>
    <w:rsid w:val="5A6C3FB4"/>
    <w:rsid w:val="5A846752"/>
    <w:rsid w:val="5A8F0872"/>
    <w:rsid w:val="5A9D664D"/>
    <w:rsid w:val="5A9E1660"/>
    <w:rsid w:val="5B087FB3"/>
    <w:rsid w:val="5B31533D"/>
    <w:rsid w:val="5B432A54"/>
    <w:rsid w:val="5B4401E8"/>
    <w:rsid w:val="5B464E22"/>
    <w:rsid w:val="5BA17B01"/>
    <w:rsid w:val="5BE56E7E"/>
    <w:rsid w:val="5BF4421D"/>
    <w:rsid w:val="5C4221A2"/>
    <w:rsid w:val="5C4F2DFA"/>
    <w:rsid w:val="5C6E74C8"/>
    <w:rsid w:val="5C795F1D"/>
    <w:rsid w:val="5CA619EA"/>
    <w:rsid w:val="5CC32E68"/>
    <w:rsid w:val="5D022B19"/>
    <w:rsid w:val="5D4035D9"/>
    <w:rsid w:val="5D405E92"/>
    <w:rsid w:val="5D434F12"/>
    <w:rsid w:val="5EC33C77"/>
    <w:rsid w:val="5F5E3DB7"/>
    <w:rsid w:val="5FAD7E9F"/>
    <w:rsid w:val="5FD51B60"/>
    <w:rsid w:val="5FDE5943"/>
    <w:rsid w:val="604D4E81"/>
    <w:rsid w:val="60743F09"/>
    <w:rsid w:val="615F5F98"/>
    <w:rsid w:val="617B0801"/>
    <w:rsid w:val="61942917"/>
    <w:rsid w:val="61967128"/>
    <w:rsid w:val="61C56E72"/>
    <w:rsid w:val="61D5795A"/>
    <w:rsid w:val="62826B76"/>
    <w:rsid w:val="629A3BF9"/>
    <w:rsid w:val="62B451E7"/>
    <w:rsid w:val="62C065E7"/>
    <w:rsid w:val="62F40D73"/>
    <w:rsid w:val="63393DC3"/>
    <w:rsid w:val="63912814"/>
    <w:rsid w:val="63BB68EA"/>
    <w:rsid w:val="63E1280E"/>
    <w:rsid w:val="63F07123"/>
    <w:rsid w:val="63F71A97"/>
    <w:rsid w:val="642C3076"/>
    <w:rsid w:val="64733E7E"/>
    <w:rsid w:val="647B58BC"/>
    <w:rsid w:val="647E33C4"/>
    <w:rsid w:val="64CD32A7"/>
    <w:rsid w:val="64D463A8"/>
    <w:rsid w:val="64D61FE6"/>
    <w:rsid w:val="653E43E4"/>
    <w:rsid w:val="65963ACE"/>
    <w:rsid w:val="65A75D66"/>
    <w:rsid w:val="65D02B48"/>
    <w:rsid w:val="662D366E"/>
    <w:rsid w:val="66553109"/>
    <w:rsid w:val="666641E7"/>
    <w:rsid w:val="66764604"/>
    <w:rsid w:val="66C51BD8"/>
    <w:rsid w:val="66C96227"/>
    <w:rsid w:val="66ED71AA"/>
    <w:rsid w:val="672C481A"/>
    <w:rsid w:val="675B5A9A"/>
    <w:rsid w:val="67E85910"/>
    <w:rsid w:val="68214817"/>
    <w:rsid w:val="688C107E"/>
    <w:rsid w:val="68EF2A0B"/>
    <w:rsid w:val="68F07BDB"/>
    <w:rsid w:val="69065D80"/>
    <w:rsid w:val="69385D7F"/>
    <w:rsid w:val="694208C7"/>
    <w:rsid w:val="69951127"/>
    <w:rsid w:val="69AB74E1"/>
    <w:rsid w:val="69C34A19"/>
    <w:rsid w:val="69C84A39"/>
    <w:rsid w:val="69D04B71"/>
    <w:rsid w:val="6A106D6F"/>
    <w:rsid w:val="6A164390"/>
    <w:rsid w:val="6A1D0429"/>
    <w:rsid w:val="6A265FBA"/>
    <w:rsid w:val="6A901E87"/>
    <w:rsid w:val="6A963636"/>
    <w:rsid w:val="6ABF7DD2"/>
    <w:rsid w:val="6AF042AF"/>
    <w:rsid w:val="6B255EA1"/>
    <w:rsid w:val="6B4D6F90"/>
    <w:rsid w:val="6B6B15BB"/>
    <w:rsid w:val="6B807D4D"/>
    <w:rsid w:val="6B8C41ED"/>
    <w:rsid w:val="6BFE2080"/>
    <w:rsid w:val="6C113A9A"/>
    <w:rsid w:val="6C157ACC"/>
    <w:rsid w:val="6C2751E9"/>
    <w:rsid w:val="6C2F6F4F"/>
    <w:rsid w:val="6C955952"/>
    <w:rsid w:val="6CD629FC"/>
    <w:rsid w:val="6CD85B7D"/>
    <w:rsid w:val="6D947CE9"/>
    <w:rsid w:val="6DA6659A"/>
    <w:rsid w:val="6EC8235A"/>
    <w:rsid w:val="6EED1C4E"/>
    <w:rsid w:val="6F593671"/>
    <w:rsid w:val="6F5C5D8D"/>
    <w:rsid w:val="6FD36725"/>
    <w:rsid w:val="6FF567A2"/>
    <w:rsid w:val="70156708"/>
    <w:rsid w:val="701B55DA"/>
    <w:rsid w:val="703376D1"/>
    <w:rsid w:val="70883815"/>
    <w:rsid w:val="70A1762B"/>
    <w:rsid w:val="70D61EFA"/>
    <w:rsid w:val="71635825"/>
    <w:rsid w:val="717C0210"/>
    <w:rsid w:val="723C7A7B"/>
    <w:rsid w:val="72516822"/>
    <w:rsid w:val="72734D90"/>
    <w:rsid w:val="72E860CB"/>
    <w:rsid w:val="73B534F0"/>
    <w:rsid w:val="73E02D87"/>
    <w:rsid w:val="742579AB"/>
    <w:rsid w:val="7431432E"/>
    <w:rsid w:val="743E5B8A"/>
    <w:rsid w:val="745255B2"/>
    <w:rsid w:val="74886FC8"/>
    <w:rsid w:val="75270554"/>
    <w:rsid w:val="75995119"/>
    <w:rsid w:val="75AB70D7"/>
    <w:rsid w:val="75AF5B36"/>
    <w:rsid w:val="76347742"/>
    <w:rsid w:val="767A0891"/>
    <w:rsid w:val="767B6EBC"/>
    <w:rsid w:val="76801C8D"/>
    <w:rsid w:val="769A72BD"/>
    <w:rsid w:val="76FD5CF2"/>
    <w:rsid w:val="77141185"/>
    <w:rsid w:val="77277088"/>
    <w:rsid w:val="77C95E8C"/>
    <w:rsid w:val="785E77FE"/>
    <w:rsid w:val="7868490F"/>
    <w:rsid w:val="79260ADA"/>
    <w:rsid w:val="79376640"/>
    <w:rsid w:val="79B903C4"/>
    <w:rsid w:val="7A1846B8"/>
    <w:rsid w:val="7A516861"/>
    <w:rsid w:val="7A66311E"/>
    <w:rsid w:val="7AA05C7A"/>
    <w:rsid w:val="7ABA3795"/>
    <w:rsid w:val="7AC8798E"/>
    <w:rsid w:val="7AF60AC4"/>
    <w:rsid w:val="7AFE15A0"/>
    <w:rsid w:val="7B1D2FB7"/>
    <w:rsid w:val="7B292BE6"/>
    <w:rsid w:val="7B786088"/>
    <w:rsid w:val="7B7A2D86"/>
    <w:rsid w:val="7B7B5A1C"/>
    <w:rsid w:val="7BEC6A77"/>
    <w:rsid w:val="7BF246A2"/>
    <w:rsid w:val="7BF51572"/>
    <w:rsid w:val="7C176397"/>
    <w:rsid w:val="7C2C5C4D"/>
    <w:rsid w:val="7C3D12A9"/>
    <w:rsid w:val="7C776010"/>
    <w:rsid w:val="7CAE5E1B"/>
    <w:rsid w:val="7CB60447"/>
    <w:rsid w:val="7CC56FD4"/>
    <w:rsid w:val="7CCB3A38"/>
    <w:rsid w:val="7D1E51CC"/>
    <w:rsid w:val="7D6E68F5"/>
    <w:rsid w:val="7E017328"/>
    <w:rsid w:val="7E2864E6"/>
    <w:rsid w:val="7E4952F9"/>
    <w:rsid w:val="7E9E4509"/>
    <w:rsid w:val="7ECB691B"/>
    <w:rsid w:val="7FC975E2"/>
    <w:rsid w:val="7FD76C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Salutation"/>
    <w:basedOn w:val="1"/>
    <w:next w:val="1"/>
    <w:unhideWhenUsed/>
    <w:qFormat/>
    <w:uiPriority w:val="99"/>
  </w:style>
  <w:style w:type="paragraph" w:styleId="7">
    <w:name w:val="Body Text Indent"/>
    <w:basedOn w:val="1"/>
    <w:qFormat/>
    <w:uiPriority w:val="0"/>
    <w:pPr>
      <w:spacing w:after="120"/>
      <w:ind w:left="420" w:leftChars="200"/>
    </w:pPr>
    <w:rPr>
      <w:rFonts w:ascii="仿宋_GB2312" w:eastAsia="仿宋_GB2312"/>
      <w:color w:val="FF9900"/>
      <w:sz w:val="3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widowControl/>
      <w:spacing w:before="100" w:beforeAutospacing="1" w:after="100" w:afterAutospacing="1"/>
      <w:jc w:val="left"/>
    </w:pPr>
    <w:rPr>
      <w:rFonts w:hint="eastAsia" w:ascii="宋体" w:hAnsi="宋体"/>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p16"/>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34">
    <w:name w:val="font11"/>
    <w:basedOn w:val="16"/>
    <w:qFormat/>
    <w:uiPriority w:val="0"/>
    <w:rPr>
      <w:rFonts w:hint="default"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91E7B-B3F6-4839-8551-18EFD895FD0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2371</Words>
  <Characters>13515</Characters>
  <Lines>112</Lines>
  <Paragraphs>31</Paragraphs>
  <TotalTime>0</TotalTime>
  <ScaleCrop>false</ScaleCrop>
  <LinksUpToDate>false</LinksUpToDate>
  <CharactersWithSpaces>15855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向金平</cp:lastModifiedBy>
  <cp:lastPrinted>2020-10-09T03:20:00Z</cp:lastPrinted>
  <dcterms:modified xsi:type="dcterms:W3CDTF">2020-10-12T01:07:48Z</dcterms:modified>
  <dc:title>四川省***</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