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FF" w:rsidRPr="008D6B11" w:rsidRDefault="002D5AFF" w:rsidP="002D5AFF">
      <w:pPr>
        <w:pStyle w:val="1"/>
        <w:snapToGrid w:val="0"/>
        <w:spacing w:before="0" w:after="0" w:line="240" w:lineRule="auto"/>
        <w:jc w:val="center"/>
        <w:rPr>
          <w:rFonts w:ascii="方正小标宋简体" w:eastAsia="方正小标宋简体"/>
          <w:b w:val="0"/>
          <w:sz w:val="32"/>
          <w:szCs w:val="32"/>
        </w:rPr>
      </w:pPr>
      <w:bookmarkStart w:id="0" w:name="_Toc430935778"/>
      <w:r w:rsidRPr="008D6B11">
        <w:rPr>
          <w:rFonts w:ascii="方正小标宋简体" w:eastAsia="方正小标宋简体" w:hint="eastAsia"/>
          <w:b w:val="0"/>
          <w:sz w:val="32"/>
          <w:szCs w:val="32"/>
        </w:rPr>
        <w:t>巴中市财政局关于实施市级</w:t>
      </w:r>
      <w:bookmarkStart w:id="1" w:name="_GoBack"/>
      <w:r w:rsidRPr="008D6B11">
        <w:rPr>
          <w:rFonts w:ascii="方正小标宋简体" w:eastAsia="方正小标宋简体" w:hint="eastAsia"/>
          <w:b w:val="0"/>
          <w:sz w:val="32"/>
          <w:szCs w:val="32"/>
        </w:rPr>
        <w:t>公务卡强制结算目录制度的通知</w:t>
      </w:r>
      <w:bookmarkEnd w:id="0"/>
    </w:p>
    <w:bookmarkEnd w:id="1"/>
    <w:p w:rsidR="002D5AFF" w:rsidRDefault="002D5AFF" w:rsidP="002D5AFF">
      <w:pPr>
        <w:snapToGrid w:val="0"/>
        <w:spacing w:line="276" w:lineRule="auto"/>
        <w:jc w:val="center"/>
        <w:rPr>
          <w:rFonts w:ascii="方正书宋简体" w:eastAsia="方正书宋简体" w:hAnsi="宋体"/>
          <w:sz w:val="24"/>
        </w:rPr>
      </w:pPr>
    </w:p>
    <w:p w:rsidR="002D5AFF" w:rsidRPr="008D6B11" w:rsidRDefault="002D5AFF" w:rsidP="002D5AFF">
      <w:pPr>
        <w:snapToGrid w:val="0"/>
        <w:spacing w:line="276" w:lineRule="auto"/>
        <w:jc w:val="center"/>
        <w:rPr>
          <w:rFonts w:ascii="方正楷体简体" w:eastAsia="方正楷体简体" w:hAnsi="华文中宋"/>
          <w:b/>
          <w:sz w:val="24"/>
        </w:rPr>
      </w:pPr>
      <w:r w:rsidRPr="008D6B11">
        <w:rPr>
          <w:rFonts w:ascii="方正楷体简体" w:eastAsia="方正楷体简体" w:hAnsi="宋体" w:hint="eastAsia"/>
          <w:b/>
          <w:sz w:val="24"/>
        </w:rPr>
        <w:t>（巴财库〔2013〕35号）</w:t>
      </w:r>
    </w:p>
    <w:p w:rsidR="002D5AFF" w:rsidRPr="00CF1A15" w:rsidRDefault="002D5AFF" w:rsidP="002D5AFF">
      <w:pPr>
        <w:snapToGrid w:val="0"/>
        <w:spacing w:line="276" w:lineRule="auto"/>
        <w:rPr>
          <w:rFonts w:ascii="方正书宋简体" w:eastAsia="方正书宋简体"/>
          <w:sz w:val="24"/>
        </w:rPr>
      </w:pPr>
    </w:p>
    <w:p w:rsidR="002D5AFF" w:rsidRPr="00CF1A15" w:rsidRDefault="002D5AFF" w:rsidP="002D5AFF">
      <w:pPr>
        <w:snapToGrid w:val="0"/>
        <w:spacing w:line="276" w:lineRule="auto"/>
        <w:rPr>
          <w:rFonts w:ascii="方正书宋简体" w:eastAsia="方正书宋简体"/>
          <w:sz w:val="24"/>
        </w:rPr>
      </w:pPr>
      <w:r w:rsidRPr="00CF1A15">
        <w:rPr>
          <w:rFonts w:ascii="方正书宋简体" w:eastAsia="方正书宋简体" w:hint="eastAsia"/>
          <w:sz w:val="24"/>
        </w:rPr>
        <w:t>市级各有关部门和预算单位、经济开发区管委会：</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为贯彻落实国务院和省、市政府廉政工作会议精神，加快推进公务卡改革，切实减少公务支出中的现金提取和使用，规范和加强公务支出管理，根据《巴中市财政局  中国人民银行巴中市中心支行关于印发〈巴中市市级预算单位公务卡管理办法（试行）〉的通知》（巴财库[2010]35号），参照《四川省财政厅关于实施省级公务卡强制结算目录制度的通知》等有关规定，决定制定市级公务卡强制结算目录制度，从2014年1月1日起实施。现将有关事项通知如下：</w:t>
      </w:r>
    </w:p>
    <w:p w:rsidR="002D5AFF" w:rsidRPr="008D6B11" w:rsidRDefault="002D5AFF" w:rsidP="002D5AFF">
      <w:pPr>
        <w:snapToGrid w:val="0"/>
        <w:spacing w:line="276" w:lineRule="auto"/>
        <w:ind w:firstLineChars="200" w:firstLine="480"/>
        <w:rPr>
          <w:rFonts w:ascii="方正黑体简体" w:eastAsia="方正黑体简体"/>
          <w:sz w:val="24"/>
        </w:rPr>
      </w:pPr>
      <w:r w:rsidRPr="008D6B11">
        <w:rPr>
          <w:rFonts w:ascii="方正黑体简体" w:eastAsia="方正黑体简体" w:hint="eastAsia"/>
          <w:sz w:val="24"/>
        </w:rPr>
        <w:t>一、市级公务卡强制结算目录制度的主要内容</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（一）所有应实行公务</w:t>
      </w:r>
      <w:proofErr w:type="gramStart"/>
      <w:r w:rsidRPr="00CF1A15">
        <w:rPr>
          <w:rFonts w:ascii="方正书宋简体" w:eastAsia="方正书宋简体" w:hint="eastAsia"/>
          <w:sz w:val="24"/>
        </w:rPr>
        <w:t>卡改革</w:t>
      </w:r>
      <w:proofErr w:type="gramEnd"/>
      <w:r w:rsidRPr="00CF1A15">
        <w:rPr>
          <w:rFonts w:ascii="方正书宋简体" w:eastAsia="方正书宋简体" w:hint="eastAsia"/>
          <w:sz w:val="24"/>
        </w:rPr>
        <w:t>的市级部门及所属各级单位，都应严格执行市级公务卡强制结算目录制度。</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（二）凡纳入公务卡强制结算目录的支出事项，按规定应使用公务卡结算，也可使用转账方式结算，原则上不得使用现金结算。未纳入公务卡强制结算目录的支出事项，若具备刷卡条件，鼓励使用公务卡结算。</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Ansi="宋体" w:hint="eastAsia"/>
          <w:sz w:val="24"/>
        </w:rPr>
        <w:t>（三）</w:t>
      </w:r>
      <w:r w:rsidRPr="00CF1A15">
        <w:rPr>
          <w:rFonts w:ascii="方正书宋简体" w:eastAsia="方正书宋简体" w:hint="eastAsia"/>
          <w:sz w:val="24"/>
        </w:rPr>
        <w:t>除按规定支付给个人的支出以及只能使用现</w:t>
      </w:r>
      <w:r w:rsidRPr="00CF1A15">
        <w:rPr>
          <w:rFonts w:ascii="方正书宋简体" w:eastAsia="方正书宋简体" w:hint="eastAsia"/>
          <w:sz w:val="24"/>
        </w:rPr>
        <w:lastRenderedPageBreak/>
        <w:t>金结算的支出外，因特殊情形确实不能使用公务卡结算的，须由经办人员在原始报销凭证上载明原因。</w:t>
      </w:r>
    </w:p>
    <w:p w:rsidR="002D5AFF" w:rsidRPr="008D6B11" w:rsidRDefault="002D5AFF" w:rsidP="002D5AFF">
      <w:pPr>
        <w:snapToGrid w:val="0"/>
        <w:spacing w:line="276" w:lineRule="auto"/>
        <w:ind w:firstLineChars="200" w:firstLine="480"/>
        <w:rPr>
          <w:rFonts w:ascii="方正黑体简体" w:eastAsia="方正黑体简体"/>
          <w:sz w:val="24"/>
        </w:rPr>
      </w:pPr>
      <w:r w:rsidRPr="008D6B11">
        <w:rPr>
          <w:rFonts w:ascii="方正黑体简体" w:eastAsia="方正黑体简体" w:hint="eastAsia"/>
          <w:sz w:val="24"/>
        </w:rPr>
        <w:t>二、完善制度，严格执行</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为落实公务卡强制结算目录制度，各部门、各单位应重点做好以下工作：</w:t>
      </w:r>
    </w:p>
    <w:p w:rsidR="002D5AFF" w:rsidRPr="00CF1A15" w:rsidRDefault="002D5AFF" w:rsidP="002D5AFF">
      <w:pPr>
        <w:snapToGrid w:val="0"/>
        <w:spacing w:line="276" w:lineRule="auto"/>
        <w:ind w:firstLineChars="200" w:firstLine="482"/>
        <w:rPr>
          <w:rFonts w:ascii="方正书宋简体" w:eastAsia="方正书宋简体"/>
          <w:sz w:val="24"/>
        </w:rPr>
      </w:pPr>
      <w:r w:rsidRPr="008D6B11">
        <w:rPr>
          <w:rFonts w:ascii="方正楷体简体" w:eastAsia="方正楷体简体" w:hint="eastAsia"/>
          <w:b/>
          <w:sz w:val="24"/>
        </w:rPr>
        <w:t>（一）健全相关财务制度。</w:t>
      </w:r>
      <w:r w:rsidRPr="00CF1A15">
        <w:rPr>
          <w:rFonts w:ascii="方正书宋简体" w:eastAsia="方正书宋简体" w:hint="eastAsia"/>
          <w:sz w:val="24"/>
        </w:rPr>
        <w:t>要根据公务</w:t>
      </w:r>
      <w:proofErr w:type="gramStart"/>
      <w:r w:rsidRPr="00CF1A15">
        <w:rPr>
          <w:rFonts w:ascii="方正书宋简体" w:eastAsia="方正书宋简体" w:hint="eastAsia"/>
          <w:sz w:val="24"/>
        </w:rPr>
        <w:t>卡改革</w:t>
      </w:r>
      <w:proofErr w:type="gramEnd"/>
      <w:r w:rsidRPr="00CF1A15">
        <w:rPr>
          <w:rFonts w:ascii="方正书宋简体" w:eastAsia="方正书宋简体" w:hint="eastAsia"/>
          <w:sz w:val="24"/>
        </w:rPr>
        <w:t>和公务卡强制结算目录等制度要求，建立健全单位财务内控机制，规范财务费用报销和会计核算程序，制定本单位实施公务卡强制结算目录制度的管理办法，重点明确特殊情况下未使用公务卡结算的财务审批程序和报销手续。</w:t>
      </w:r>
    </w:p>
    <w:p w:rsidR="002D5AFF" w:rsidRPr="00CF1A15" w:rsidRDefault="002D5AFF" w:rsidP="002D5AFF">
      <w:pPr>
        <w:snapToGrid w:val="0"/>
        <w:spacing w:line="276" w:lineRule="auto"/>
        <w:ind w:firstLineChars="200" w:firstLine="482"/>
        <w:rPr>
          <w:rFonts w:ascii="方正书宋简体" w:eastAsia="方正书宋简体"/>
          <w:sz w:val="24"/>
        </w:rPr>
      </w:pPr>
      <w:r w:rsidRPr="008D6B11">
        <w:rPr>
          <w:rFonts w:ascii="方正楷体简体" w:eastAsia="方正楷体简体" w:hint="eastAsia"/>
          <w:b/>
          <w:sz w:val="24"/>
        </w:rPr>
        <w:t>（二）严格控制现金支出。</w:t>
      </w:r>
      <w:r w:rsidRPr="00CF1A15">
        <w:rPr>
          <w:rFonts w:ascii="方正书宋简体" w:eastAsia="方正书宋简体" w:hint="eastAsia"/>
          <w:sz w:val="24"/>
        </w:rPr>
        <w:t>严格执行《中华人民共和国现金管理暂行条例》，从严控制现金支出。明确现金结算的范围、额度、程序、权限等具体内容及操作规范，确保现金使用管理有章可循。使用现金的报销事项，财务人员应认真、严格核实。</w:t>
      </w:r>
    </w:p>
    <w:p w:rsidR="002D5AFF" w:rsidRPr="00CF1A15" w:rsidRDefault="002D5AFF" w:rsidP="002D5AFF">
      <w:pPr>
        <w:snapToGrid w:val="0"/>
        <w:spacing w:line="276" w:lineRule="auto"/>
        <w:ind w:firstLineChars="200" w:firstLine="482"/>
        <w:rPr>
          <w:rFonts w:ascii="方正书宋简体" w:eastAsia="方正书宋简体"/>
          <w:sz w:val="24"/>
        </w:rPr>
      </w:pPr>
      <w:r w:rsidRPr="008D6B11">
        <w:rPr>
          <w:rFonts w:ascii="方正楷体简体" w:eastAsia="方正楷体简体" w:hint="eastAsia"/>
          <w:b/>
          <w:sz w:val="24"/>
        </w:rPr>
        <w:t>（三）加强宣传培训。</w:t>
      </w:r>
      <w:r w:rsidRPr="00CF1A15">
        <w:rPr>
          <w:rFonts w:ascii="方正书宋简体" w:eastAsia="方正书宋简体" w:hint="eastAsia"/>
          <w:sz w:val="24"/>
        </w:rPr>
        <w:t>推行公务卡强制结算目录制度是全国全省的统一要求，贯彻执行党中央、国务院公布的《党政机关厉行节约反对浪费条例》的一项重要举措。各部门、各单位要加强宣传培训，提高认识，熟练掌握公务卡强制结算目录制度的内容，积极扩大公务卡结算范围，督促持卡人规范使用公务卡，在本单位形成习惯用卡、主动用卡的良好氛围。</w:t>
      </w:r>
    </w:p>
    <w:p w:rsidR="002D5AFF" w:rsidRDefault="002D5AFF" w:rsidP="002D5AFF">
      <w:pPr>
        <w:snapToGrid w:val="0"/>
        <w:spacing w:line="276" w:lineRule="auto"/>
        <w:ind w:firstLineChars="200" w:firstLine="482"/>
        <w:rPr>
          <w:rFonts w:ascii="方正书宋简体" w:eastAsia="方正书宋简体"/>
          <w:sz w:val="24"/>
        </w:rPr>
      </w:pPr>
      <w:r w:rsidRPr="008D6B11">
        <w:rPr>
          <w:rFonts w:ascii="方正楷体简体" w:eastAsia="方正楷体简体" w:hint="eastAsia"/>
          <w:b/>
          <w:sz w:val="24"/>
        </w:rPr>
        <w:lastRenderedPageBreak/>
        <w:t>（四）落实目标责任。</w:t>
      </w:r>
      <w:r w:rsidRPr="00CF1A15">
        <w:rPr>
          <w:rFonts w:ascii="方正书宋简体" w:eastAsia="方正书宋简体" w:hint="eastAsia"/>
          <w:sz w:val="24"/>
        </w:rPr>
        <w:t>各部门、单位要采取有效措施，确保2013年底前将公务卡消费制度和公务卡强制结算目录制度推进到所属各基层单位。各部门要严格督促所属各级单位全面执行公务卡强制结算目录制度，并加强对执行情况的监督、检查。</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特此通知</w:t>
      </w:r>
    </w:p>
    <w:p w:rsidR="002D5AFF" w:rsidRPr="00CF1A15" w:rsidRDefault="002D5AFF" w:rsidP="002D5AFF">
      <w:pPr>
        <w:snapToGrid w:val="0"/>
        <w:spacing w:line="276" w:lineRule="auto"/>
        <w:ind w:firstLineChars="200" w:firstLine="480"/>
        <w:rPr>
          <w:rFonts w:ascii="方正书宋简体" w:eastAsia="方正书宋简体"/>
          <w:sz w:val="24"/>
        </w:rPr>
      </w:pPr>
      <w:r w:rsidRPr="00CF1A15">
        <w:rPr>
          <w:rFonts w:ascii="方正书宋简体" w:eastAsia="方正书宋简体" w:hint="eastAsia"/>
          <w:sz w:val="24"/>
        </w:rPr>
        <w:t>附件：巴中市市级公务卡强制结算目录</w:t>
      </w:r>
    </w:p>
    <w:p w:rsidR="002D5AFF" w:rsidRPr="00CF1A15" w:rsidRDefault="002D5AFF" w:rsidP="002D5AFF">
      <w:pPr>
        <w:snapToGrid w:val="0"/>
        <w:spacing w:line="276" w:lineRule="auto"/>
        <w:ind w:firstLineChars="200" w:firstLine="480"/>
        <w:rPr>
          <w:rFonts w:ascii="方正书宋简体" w:eastAsia="方正书宋简体"/>
          <w:sz w:val="24"/>
        </w:rPr>
      </w:pPr>
    </w:p>
    <w:p w:rsidR="002D5AFF" w:rsidRPr="00CF1A15" w:rsidRDefault="002D5AFF" w:rsidP="002D5AFF">
      <w:pPr>
        <w:snapToGrid w:val="0"/>
        <w:spacing w:line="276" w:lineRule="auto"/>
        <w:ind w:firstLineChars="1300" w:firstLine="3120"/>
        <w:rPr>
          <w:rFonts w:ascii="方正书宋简体" w:eastAsia="方正书宋简体"/>
          <w:sz w:val="24"/>
        </w:rPr>
      </w:pPr>
      <w:smartTag w:uri="urn:schemas-microsoft-com:office:smarttags" w:element="chsdate">
        <w:smartTagPr>
          <w:attr w:name="IsROCDate" w:val="False"/>
          <w:attr w:name="IsLunarDate" w:val="False"/>
          <w:attr w:name="Day" w:val="5"/>
          <w:attr w:name="Month" w:val="12"/>
          <w:attr w:name="Year" w:val="2013"/>
        </w:smartTagPr>
        <w:r w:rsidRPr="00CF1A15">
          <w:rPr>
            <w:rFonts w:ascii="方正书宋简体" w:eastAsia="方正书宋简体" w:hint="eastAsia"/>
            <w:sz w:val="24"/>
          </w:rPr>
          <w:t>2013年12月5日</w:t>
        </w:r>
      </w:smartTag>
    </w:p>
    <w:p w:rsidR="002D5AFF" w:rsidRPr="00CF1A15" w:rsidRDefault="002D5AFF" w:rsidP="002D5AFF">
      <w:pPr>
        <w:snapToGrid w:val="0"/>
        <w:spacing w:line="276" w:lineRule="auto"/>
        <w:ind w:firstLineChars="200" w:firstLine="480"/>
        <w:rPr>
          <w:rFonts w:ascii="方正书宋简体" w:eastAsia="方正书宋简体"/>
          <w:sz w:val="24"/>
        </w:rPr>
        <w:sectPr w:rsidR="002D5AFF" w:rsidRPr="00CF1A15" w:rsidSect="00041415">
          <w:pgSz w:w="7938" w:h="11510"/>
          <w:pgMar w:top="1134" w:right="1134" w:bottom="851" w:left="1134" w:header="851" w:footer="567" w:gutter="0"/>
          <w:pgNumType w:start="1"/>
          <w:cols w:space="425"/>
          <w:docGrid w:type="lines" w:linePitch="312"/>
        </w:sectPr>
      </w:pPr>
    </w:p>
    <w:p w:rsidR="002D5AFF" w:rsidRPr="008D6B11" w:rsidRDefault="002D5AFF" w:rsidP="002D5AFF">
      <w:pPr>
        <w:snapToGrid w:val="0"/>
        <w:spacing w:line="276" w:lineRule="auto"/>
        <w:rPr>
          <w:rFonts w:ascii="方正楷体简体" w:eastAsia="方正楷体简体" w:hAnsi="仿宋_GB2312" w:cs="仿宋_GB2312"/>
          <w:sz w:val="24"/>
        </w:rPr>
      </w:pPr>
      <w:r w:rsidRPr="008D6B11">
        <w:rPr>
          <w:rFonts w:ascii="方正楷体简体" w:eastAsia="方正楷体简体" w:hAnsi="仿宋_GB2312" w:cs="仿宋_GB2312" w:hint="eastAsia"/>
          <w:sz w:val="24"/>
        </w:rPr>
        <w:lastRenderedPageBreak/>
        <w:t>附件：</w:t>
      </w:r>
    </w:p>
    <w:p w:rsidR="002D5AFF" w:rsidRPr="008D6B11" w:rsidRDefault="002D5AFF" w:rsidP="00C12828">
      <w:pPr>
        <w:snapToGrid w:val="0"/>
        <w:spacing w:afterLines="50" w:line="276" w:lineRule="auto"/>
        <w:jc w:val="center"/>
        <w:rPr>
          <w:rFonts w:ascii="方正黑体简体" w:eastAsia="方正黑体简体" w:hAnsi="黑体"/>
          <w:sz w:val="28"/>
          <w:szCs w:val="28"/>
        </w:rPr>
      </w:pPr>
      <w:r w:rsidRPr="008D6B11">
        <w:rPr>
          <w:rFonts w:ascii="方正黑体简体" w:eastAsia="方正黑体简体" w:hAnsi="黑体" w:hint="eastAsia"/>
          <w:sz w:val="28"/>
          <w:szCs w:val="28"/>
        </w:rPr>
        <w:t>巴中市市级公务卡强制结算目录</w:t>
      </w:r>
    </w:p>
    <w:tbl>
      <w:tblPr>
        <w:tblW w:w="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1488"/>
        <w:gridCol w:w="3542"/>
      </w:tblGrid>
      <w:tr w:rsidR="002D5AFF" w:rsidRPr="008D6B11" w:rsidTr="006A0E88">
        <w:trPr>
          <w:trHeight w:val="348"/>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jc w:val="center"/>
              <w:rPr>
                <w:rFonts w:ascii="方正书宋简体" w:eastAsia="方正书宋简体" w:hAnsi="黑体"/>
                <w:b/>
                <w:kern w:val="0"/>
                <w:szCs w:val="21"/>
              </w:rPr>
            </w:pPr>
            <w:r w:rsidRPr="008D6B11">
              <w:rPr>
                <w:rFonts w:ascii="方正书宋简体" w:eastAsia="方正书宋简体" w:hAnsi="黑体" w:hint="eastAsia"/>
                <w:b/>
                <w:kern w:val="0"/>
                <w:szCs w:val="21"/>
              </w:rPr>
              <w:t>序号</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jc w:val="center"/>
              <w:rPr>
                <w:rFonts w:ascii="方正书宋简体" w:eastAsia="方正书宋简体" w:hAnsi="黑体"/>
                <w:b/>
                <w:kern w:val="0"/>
                <w:szCs w:val="21"/>
              </w:rPr>
            </w:pPr>
            <w:r w:rsidRPr="008D6B11">
              <w:rPr>
                <w:rFonts w:ascii="方正书宋简体" w:eastAsia="方正书宋简体" w:hAnsi="黑体" w:hint="eastAsia"/>
                <w:b/>
                <w:kern w:val="0"/>
                <w:szCs w:val="21"/>
              </w:rPr>
              <w:t>公务卡</w:t>
            </w:r>
          </w:p>
          <w:p w:rsidR="002D5AFF" w:rsidRPr="008D6B11" w:rsidRDefault="002D5AFF" w:rsidP="006A0E88">
            <w:pPr>
              <w:snapToGrid w:val="0"/>
              <w:jc w:val="center"/>
              <w:rPr>
                <w:rFonts w:ascii="方正书宋简体" w:eastAsia="方正书宋简体" w:hAnsi="黑体"/>
                <w:b/>
                <w:kern w:val="0"/>
                <w:szCs w:val="21"/>
              </w:rPr>
            </w:pPr>
            <w:r w:rsidRPr="008D6B11">
              <w:rPr>
                <w:rFonts w:ascii="方正书宋简体" w:eastAsia="方正书宋简体" w:hAnsi="黑体" w:hint="eastAsia"/>
                <w:b/>
                <w:kern w:val="0"/>
                <w:szCs w:val="21"/>
              </w:rPr>
              <w:t>结算目录</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jc w:val="center"/>
              <w:rPr>
                <w:rFonts w:ascii="方正书宋简体" w:eastAsia="方正书宋简体" w:hAnsi="黑体"/>
                <w:b/>
                <w:kern w:val="0"/>
                <w:szCs w:val="21"/>
              </w:rPr>
            </w:pPr>
            <w:r w:rsidRPr="008D6B11">
              <w:rPr>
                <w:rFonts w:ascii="方正书宋简体" w:eastAsia="方正书宋简体" w:hAnsi="黑体" w:hint="eastAsia"/>
                <w:b/>
                <w:kern w:val="0"/>
                <w:szCs w:val="21"/>
              </w:rPr>
              <w:t>备注</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办公费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指单位购买按财务会计制度规定不符合固定资产确认标准的日常办公用品、书报杂志等支出。</w:t>
            </w:r>
          </w:p>
        </w:tc>
      </w:tr>
      <w:tr w:rsidR="002D5AFF" w:rsidRPr="008D6B11" w:rsidTr="006A0E88">
        <w:trPr>
          <w:trHeight w:val="364"/>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2</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印刷费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指单位的印刷费支出。</w:t>
            </w:r>
          </w:p>
        </w:tc>
      </w:tr>
      <w:tr w:rsidR="002D5AFF" w:rsidRPr="008D6B11" w:rsidTr="006A0E88">
        <w:trPr>
          <w:trHeight w:val="348"/>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3</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咨询费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指单位咨询方面的支出。</w:t>
            </w:r>
          </w:p>
        </w:tc>
      </w:tr>
      <w:tr w:rsidR="002D5AFF" w:rsidRPr="008D6B11" w:rsidTr="006A0E88">
        <w:trPr>
          <w:trHeight w:val="348"/>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4</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手续费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指单位支付的手续费支出。</w:t>
            </w:r>
          </w:p>
        </w:tc>
      </w:tr>
      <w:tr w:rsidR="002D5AFF" w:rsidRPr="008D6B11" w:rsidTr="006A0E88">
        <w:trPr>
          <w:trHeight w:val="364"/>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5</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水电费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指单位支付的水电费支出。</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6</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邮电费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指单位开支的电话费、电报费、传真费、网络通讯费支出。</w:t>
            </w:r>
          </w:p>
        </w:tc>
      </w:tr>
      <w:tr w:rsidR="002D5AFF" w:rsidRPr="008D6B11" w:rsidTr="006A0E88">
        <w:trPr>
          <w:trHeight w:val="1061"/>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7</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物业管理费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指单位开支的办公用房、职工及离退休人员宿舍等的物业管理费，包括综合治理、绿化、卫生等方面的支出。</w:t>
            </w:r>
          </w:p>
        </w:tc>
      </w:tr>
      <w:tr w:rsidR="002D5AFF" w:rsidRPr="008D6B11" w:rsidTr="006A0E88">
        <w:trPr>
          <w:trHeight w:val="364"/>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8</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差旅费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指单位工作人员出差的住宿费、差旅费支出。</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9</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维修（护）费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指单位日常开支的固定资产（不包括车船等交通工具）修理和维护费用，网络信息系统运行与维护费用。</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10</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租赁费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指租赁办公用房、宿舍、专用通讯网以及其他设备的费用。</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11</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会议费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proofErr w:type="gramStart"/>
            <w:r w:rsidRPr="008D6B11">
              <w:rPr>
                <w:rFonts w:ascii="方正书宋简体" w:eastAsia="方正书宋简体" w:hint="eastAsia"/>
                <w:kern w:val="0"/>
                <w:szCs w:val="21"/>
              </w:rPr>
              <w:t>指会议</w:t>
            </w:r>
            <w:proofErr w:type="gramEnd"/>
            <w:r w:rsidRPr="008D6B11">
              <w:rPr>
                <w:rFonts w:ascii="方正书宋简体" w:eastAsia="方正书宋简体" w:hint="eastAsia"/>
                <w:kern w:val="0"/>
                <w:szCs w:val="21"/>
              </w:rPr>
              <w:t>中按规定开支的房租费、伙食补助费以及文件资料的印刷费、</w:t>
            </w:r>
            <w:proofErr w:type="gramStart"/>
            <w:r w:rsidRPr="008D6B11">
              <w:rPr>
                <w:rFonts w:ascii="方正书宋简体" w:eastAsia="方正书宋简体" w:hint="eastAsia"/>
                <w:kern w:val="0"/>
                <w:szCs w:val="21"/>
              </w:rPr>
              <w:t>会议场</w:t>
            </w:r>
            <w:proofErr w:type="gramEnd"/>
            <w:r w:rsidRPr="008D6B11">
              <w:rPr>
                <w:rFonts w:ascii="方正书宋简体" w:eastAsia="方正书宋简体" w:hint="eastAsia"/>
                <w:kern w:val="0"/>
                <w:szCs w:val="21"/>
              </w:rPr>
              <w:t>地租用费。</w:t>
            </w:r>
          </w:p>
        </w:tc>
      </w:tr>
      <w:tr w:rsidR="002D5AFF" w:rsidRPr="008D6B11" w:rsidTr="006A0E88">
        <w:trPr>
          <w:trHeight w:val="348"/>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12</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培训费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指各类培训支出。</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13</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公务接待费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指单位按规定开支的各类公务接待（含外宾接待）费用。</w:t>
            </w:r>
          </w:p>
        </w:tc>
      </w:tr>
      <w:tr w:rsidR="002D5AFF" w:rsidRPr="008D6B11" w:rsidTr="006A0E88">
        <w:trPr>
          <w:trHeight w:val="1789"/>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14</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专用材料费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rsidR="002D5AFF" w:rsidRPr="008D6B11" w:rsidTr="006A0E88">
        <w:trPr>
          <w:trHeight w:val="348"/>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15</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专用燃料费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指单位用作业务工作设备的车、</w:t>
            </w:r>
            <w:proofErr w:type="gramStart"/>
            <w:r w:rsidRPr="008D6B11">
              <w:rPr>
                <w:rFonts w:ascii="方正书宋简体" w:eastAsia="方正书宋简体" w:hint="eastAsia"/>
                <w:kern w:val="0"/>
                <w:szCs w:val="21"/>
              </w:rPr>
              <w:t>船设施</w:t>
            </w:r>
            <w:proofErr w:type="gramEnd"/>
            <w:r w:rsidRPr="008D6B11">
              <w:rPr>
                <w:rFonts w:ascii="方正书宋简体" w:eastAsia="方正书宋简体" w:hint="eastAsia"/>
                <w:kern w:val="0"/>
                <w:szCs w:val="21"/>
              </w:rPr>
              <w:t>的油料支出。</w:t>
            </w:r>
          </w:p>
        </w:tc>
      </w:tr>
      <w:tr w:rsidR="002D5AFF" w:rsidRPr="008D6B11" w:rsidTr="006A0E88">
        <w:trPr>
          <w:trHeight w:val="364"/>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16</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委托业务费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指单位因委托外单位办理业务而支付的委托业务费。</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lastRenderedPageBreak/>
              <w:t>17</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公务用车运行维护费</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指公务用车燃料费、维修费、保险费支出。</w:t>
            </w:r>
          </w:p>
        </w:tc>
      </w:tr>
      <w:tr w:rsidR="002D5AFF" w:rsidRPr="008D6B11" w:rsidTr="006A0E88">
        <w:trPr>
          <w:trHeight w:val="712"/>
          <w:jc w:val="center"/>
        </w:trPr>
        <w:tc>
          <w:tcPr>
            <w:tcW w:w="814"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18</w:t>
            </w:r>
          </w:p>
        </w:tc>
        <w:tc>
          <w:tcPr>
            <w:tcW w:w="1488"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spacing w:line="276" w:lineRule="auto"/>
              <w:jc w:val="center"/>
              <w:rPr>
                <w:rFonts w:ascii="方正书宋简体" w:eastAsia="方正书宋简体"/>
                <w:kern w:val="0"/>
                <w:szCs w:val="21"/>
              </w:rPr>
            </w:pPr>
            <w:r w:rsidRPr="008D6B11">
              <w:rPr>
                <w:rFonts w:ascii="方正书宋简体" w:eastAsia="方正书宋简体" w:hint="eastAsia"/>
                <w:kern w:val="0"/>
                <w:szCs w:val="21"/>
              </w:rPr>
              <w:t>其他交通费用</w:t>
            </w:r>
          </w:p>
        </w:tc>
        <w:tc>
          <w:tcPr>
            <w:tcW w:w="3542" w:type="dxa"/>
            <w:tcBorders>
              <w:top w:val="single" w:sz="4" w:space="0" w:color="auto"/>
              <w:left w:val="single" w:sz="4" w:space="0" w:color="auto"/>
              <w:bottom w:val="single" w:sz="4" w:space="0" w:color="auto"/>
              <w:right w:val="single" w:sz="4" w:space="0" w:color="auto"/>
            </w:tcBorders>
            <w:vAlign w:val="center"/>
          </w:tcPr>
          <w:p w:rsidR="002D5AFF" w:rsidRPr="008D6B11" w:rsidRDefault="002D5AFF" w:rsidP="006A0E88">
            <w:pPr>
              <w:snapToGrid w:val="0"/>
              <w:rPr>
                <w:rFonts w:ascii="方正书宋简体" w:eastAsia="方正书宋简体"/>
                <w:kern w:val="0"/>
                <w:szCs w:val="21"/>
              </w:rPr>
            </w:pPr>
            <w:r w:rsidRPr="008D6B11">
              <w:rPr>
                <w:rFonts w:ascii="方正书宋简体" w:eastAsia="方正书宋简体" w:hint="eastAsia"/>
                <w:kern w:val="0"/>
                <w:szCs w:val="21"/>
              </w:rPr>
              <w:t>指单位除公务用车运行维护费以外的其他交通费用。如飞机、船舶等的燃油费、维修费、保险费。</w:t>
            </w:r>
          </w:p>
        </w:tc>
      </w:tr>
    </w:tbl>
    <w:p w:rsidR="002D5AFF" w:rsidRPr="00CF1A15" w:rsidRDefault="002D5AFF" w:rsidP="002D5AFF">
      <w:pPr>
        <w:snapToGrid w:val="0"/>
        <w:spacing w:line="276" w:lineRule="auto"/>
        <w:jc w:val="center"/>
        <w:rPr>
          <w:rFonts w:ascii="方正书宋简体" w:eastAsia="方正书宋简体"/>
          <w:b/>
          <w:sz w:val="24"/>
        </w:rPr>
      </w:pPr>
    </w:p>
    <w:p w:rsidR="002D5AFF" w:rsidRPr="00CF1A15" w:rsidRDefault="002D5AFF" w:rsidP="002D5AFF">
      <w:pPr>
        <w:snapToGrid w:val="0"/>
        <w:spacing w:line="276" w:lineRule="auto"/>
        <w:jc w:val="center"/>
        <w:rPr>
          <w:rFonts w:ascii="方正书宋简体" w:eastAsia="方正书宋简体"/>
          <w:b/>
          <w:sz w:val="24"/>
        </w:rPr>
      </w:pPr>
    </w:p>
    <w:p w:rsidR="00DB4436" w:rsidRPr="002D5AFF" w:rsidRDefault="00DB4436"/>
    <w:sectPr w:rsidR="00DB4436" w:rsidRPr="002D5AFF" w:rsidSect="00C128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BC" w:rsidRDefault="005B43BC" w:rsidP="00753EE6">
      <w:r>
        <w:separator/>
      </w:r>
    </w:p>
  </w:endnote>
  <w:endnote w:type="continuationSeparator" w:id="0">
    <w:p w:rsidR="005B43BC" w:rsidRDefault="005B43BC" w:rsidP="00753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书宋简体">
    <w:altName w:val="Arial Unicode MS"/>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BC" w:rsidRDefault="005B43BC" w:rsidP="00753EE6">
      <w:r>
        <w:separator/>
      </w:r>
    </w:p>
  </w:footnote>
  <w:footnote w:type="continuationSeparator" w:id="0">
    <w:p w:rsidR="005B43BC" w:rsidRDefault="005B43BC" w:rsidP="00753E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5AFF"/>
    <w:rsid w:val="002D5AFF"/>
    <w:rsid w:val="005B43BC"/>
    <w:rsid w:val="00753EE6"/>
    <w:rsid w:val="00C12828"/>
    <w:rsid w:val="00DB4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AFF"/>
    <w:pPr>
      <w:widowControl w:val="0"/>
      <w:jc w:val="both"/>
    </w:pPr>
    <w:rPr>
      <w:kern w:val="2"/>
      <w:sz w:val="21"/>
      <w:szCs w:val="24"/>
    </w:rPr>
  </w:style>
  <w:style w:type="paragraph" w:styleId="1">
    <w:name w:val="heading 1"/>
    <w:basedOn w:val="a"/>
    <w:next w:val="a"/>
    <w:link w:val="1Char"/>
    <w:qFormat/>
    <w:rsid w:val="002D5A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5AFF"/>
    <w:rPr>
      <w:b/>
      <w:bCs/>
      <w:kern w:val="44"/>
      <w:sz w:val="44"/>
      <w:szCs w:val="44"/>
    </w:rPr>
  </w:style>
  <w:style w:type="paragraph" w:styleId="a3">
    <w:name w:val="header"/>
    <w:basedOn w:val="a"/>
    <w:link w:val="Char"/>
    <w:rsid w:val="00753E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53EE6"/>
    <w:rPr>
      <w:kern w:val="2"/>
      <w:sz w:val="18"/>
      <w:szCs w:val="18"/>
    </w:rPr>
  </w:style>
  <w:style w:type="paragraph" w:styleId="a4">
    <w:name w:val="footer"/>
    <w:basedOn w:val="a"/>
    <w:link w:val="Char0"/>
    <w:rsid w:val="00753EE6"/>
    <w:pPr>
      <w:tabs>
        <w:tab w:val="center" w:pos="4153"/>
        <w:tab w:val="right" w:pos="8306"/>
      </w:tabs>
      <w:snapToGrid w:val="0"/>
      <w:jc w:val="left"/>
    </w:pPr>
    <w:rPr>
      <w:sz w:val="18"/>
      <w:szCs w:val="18"/>
    </w:rPr>
  </w:style>
  <w:style w:type="character" w:customStyle="1" w:styleId="Char0">
    <w:name w:val="页脚 Char"/>
    <w:basedOn w:val="a0"/>
    <w:link w:val="a4"/>
    <w:rsid w:val="00753EE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AFF"/>
    <w:pPr>
      <w:widowControl w:val="0"/>
      <w:jc w:val="both"/>
    </w:pPr>
    <w:rPr>
      <w:kern w:val="2"/>
      <w:sz w:val="21"/>
      <w:szCs w:val="24"/>
    </w:rPr>
  </w:style>
  <w:style w:type="paragraph" w:styleId="1">
    <w:name w:val="heading 1"/>
    <w:basedOn w:val="a"/>
    <w:next w:val="a"/>
    <w:link w:val="1Char"/>
    <w:qFormat/>
    <w:rsid w:val="002D5AF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D5AFF"/>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273</Words>
  <Characters>1557</Characters>
  <Application>Microsoft Office Word</Application>
  <DocSecurity>0</DocSecurity>
  <Lines>12</Lines>
  <Paragraphs>3</Paragraphs>
  <ScaleCrop>false</ScaleCrop>
  <Company>天马商贸</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李贞真</dc:creator>
  <cp:lastModifiedBy>杨胜理</cp:lastModifiedBy>
  <cp:revision>2</cp:revision>
  <dcterms:created xsi:type="dcterms:W3CDTF">2020-05-04T04:43:00Z</dcterms:created>
  <dcterms:modified xsi:type="dcterms:W3CDTF">2020-05-04T04:43:00Z</dcterms:modified>
</cp:coreProperties>
</file>